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宋体" w:hAnsi="宋体" w:cs="宋体"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af"/>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2"/>
        <w:numPr>
          <w:ilvl w:val="1"/>
          <w:numId w:val="5"/>
        </w:numPr>
        <w:rPr>
          <w:lang w:eastAsia="zh-CN"/>
        </w:rPr>
      </w:pPr>
      <w:r>
        <w:rPr>
          <w:lang w:eastAsia="zh-CN"/>
        </w:rPr>
        <w:t>Company contact details</w:t>
      </w:r>
    </w:p>
    <w:tbl>
      <w:tblPr>
        <w:tblStyle w:val="af5"/>
        <w:tblW w:w="0" w:type="auto"/>
        <w:tblInd w:w="6" w:type="dxa"/>
        <w:tblLook w:val="04A0" w:firstRow="1" w:lastRow="0" w:firstColumn="1" w:lastColumn="0" w:noHBand="0" w:noVBand="1"/>
      </w:tblPr>
      <w:tblGrid>
        <w:gridCol w:w="4742"/>
        <w:gridCol w:w="4881"/>
      </w:tblGrid>
      <w:tr w:rsidR="00DA26C5" w14:paraId="2895CE3D" w14:textId="77777777" w:rsidTr="00F3583D">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F3583D">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F3583D">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F84413" w14:paraId="28D515DD" w14:textId="77777777" w:rsidTr="00F3583D">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F3583D">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F3583D">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F3583D">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F3583D">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F3583D">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F3583D">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F3583D">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F3583D">
        <w:tc>
          <w:tcPr>
            <w:tcW w:w="4742" w:type="dxa"/>
          </w:tcPr>
          <w:p w14:paraId="44CE2B66" w14:textId="4B3078C0" w:rsidR="00733747" w:rsidRPr="00733747" w:rsidRDefault="00733747" w:rsidP="00012CE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hint="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 / yitao.mo@vivo.com</w:t>
            </w:r>
          </w:p>
        </w:tc>
      </w:tr>
      <w:tr w:rsidR="00733747" w:rsidRPr="00CF2D94" w14:paraId="76974C78" w14:textId="77777777" w:rsidTr="00F3583D">
        <w:tc>
          <w:tcPr>
            <w:tcW w:w="4742" w:type="dxa"/>
          </w:tcPr>
          <w:p w14:paraId="7D62D217" w14:textId="77777777" w:rsidR="00733747" w:rsidRDefault="00733747" w:rsidP="00012CEB">
            <w:pPr>
              <w:rPr>
                <w:rFonts w:eastAsia="MS Mincho"/>
                <w:lang w:eastAsia="ja-JP"/>
              </w:rPr>
            </w:pPr>
          </w:p>
        </w:tc>
        <w:tc>
          <w:tcPr>
            <w:tcW w:w="4881" w:type="dxa"/>
          </w:tcPr>
          <w:p w14:paraId="5322BC1B" w14:textId="77777777" w:rsidR="00733747" w:rsidRDefault="00733747" w:rsidP="00012CEB">
            <w:pPr>
              <w:rPr>
                <w:rFonts w:eastAsia="MS Mincho"/>
                <w:lang w:eastAsia="ja-JP"/>
              </w:rPr>
            </w:pPr>
          </w:p>
        </w:tc>
      </w:tr>
    </w:tbl>
    <w:p w14:paraId="0925FD9C" w14:textId="77777777" w:rsidR="00DA26C5" w:rsidRPr="00F84413" w:rsidRDefault="00DA26C5">
      <w:pPr>
        <w:rPr>
          <w:lang w:val="fi-FI" w:eastAsia="zh-CN"/>
        </w:rPr>
      </w:pPr>
    </w:p>
    <w:p w14:paraId="117F046B" w14:textId="77777777" w:rsidR="00DA26C5" w:rsidRDefault="00977A79">
      <w:pPr>
        <w:pStyle w:val="1"/>
        <w:numPr>
          <w:ilvl w:val="0"/>
          <w:numId w:val="0"/>
        </w:numPr>
        <w:ind w:left="567" w:hanging="567"/>
      </w:pPr>
      <w:r>
        <w:t>2</w:t>
      </w:r>
      <w:r>
        <w:tab/>
        <w:t>RRC open issues</w:t>
      </w:r>
    </w:p>
    <w:p w14:paraId="50D93FEE" w14:textId="77777777" w:rsidR="00DA26C5" w:rsidRDefault="00977A79">
      <w:pPr>
        <w:pStyle w:val="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4"/>
        <w:numPr>
          <w:ilvl w:val="0"/>
          <w:numId w:val="0"/>
        </w:numPr>
        <w:ind w:left="1418" w:hanging="1418"/>
      </w:pPr>
      <w:r>
        <w:t>9.1.1.</w:t>
      </w:r>
      <w:r>
        <w:rPr>
          <w:lang w:eastAsia="zh-CN"/>
        </w:rPr>
        <w:t>X</w:t>
      </w:r>
      <w:r>
        <w:tab/>
        <w:t>MCCH configuration</w:t>
      </w:r>
    </w:p>
    <w:p w14:paraId="4B8CDF83" w14:textId="77777777" w:rsidR="00DA26C5" w:rsidRDefault="00977A79">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af5"/>
        <w:tblW w:w="0" w:type="auto"/>
        <w:tblInd w:w="5" w:type="dxa"/>
        <w:tblLook w:val="04A0" w:firstRow="1" w:lastRow="0" w:firstColumn="1" w:lastColumn="0" w:noHBand="0" w:noVBand="1"/>
      </w:tblPr>
      <w:tblGrid>
        <w:gridCol w:w="2313"/>
        <w:gridCol w:w="899"/>
        <w:gridCol w:w="6412"/>
      </w:tblGrid>
      <w:tr w:rsidR="00DA26C5" w14:paraId="4897CD73" w14:textId="77777777" w:rsidTr="00F84413">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84413">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F84413">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F84413">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84413">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proofErr w:type="gramStart"/>
            <w:r>
              <w:rPr>
                <w:rFonts w:hint="eastAsia"/>
                <w:lang w:eastAsia="zh-CN"/>
              </w:rPr>
              <w:t>Yes,but</w:t>
            </w:r>
            <w:proofErr w:type="spellEnd"/>
            <w:proofErr w:type="gram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F84413">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F84413">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F84413">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F84413">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F84413">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F84413">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F84413">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F84413">
        <w:tc>
          <w:tcPr>
            <w:tcW w:w="2313" w:type="dxa"/>
          </w:tcPr>
          <w:p w14:paraId="2B7ACE39" w14:textId="45C842D3" w:rsidR="000D4D81" w:rsidRPr="000D4D81" w:rsidRDefault="000D4D81" w:rsidP="00F37D4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0D4D81" w14:paraId="7F82BC54" w14:textId="77777777" w:rsidTr="00F84413">
        <w:tc>
          <w:tcPr>
            <w:tcW w:w="2313" w:type="dxa"/>
          </w:tcPr>
          <w:p w14:paraId="5D11B4A4" w14:textId="77777777" w:rsidR="000D4D81" w:rsidRDefault="000D4D81" w:rsidP="00F37D43">
            <w:pPr>
              <w:rPr>
                <w:rFonts w:eastAsia="MS Mincho"/>
                <w:lang w:eastAsia="ja-JP"/>
              </w:rPr>
            </w:pPr>
          </w:p>
        </w:tc>
        <w:tc>
          <w:tcPr>
            <w:tcW w:w="899" w:type="dxa"/>
          </w:tcPr>
          <w:p w14:paraId="0B4BDF82" w14:textId="77777777" w:rsidR="000D4D81" w:rsidRDefault="000D4D81" w:rsidP="00F37D43">
            <w:pPr>
              <w:rPr>
                <w:rFonts w:eastAsia="MS Mincho"/>
                <w:lang w:eastAsia="ja-JP"/>
              </w:rPr>
            </w:pPr>
          </w:p>
        </w:tc>
        <w:tc>
          <w:tcPr>
            <w:tcW w:w="6412" w:type="dxa"/>
          </w:tcPr>
          <w:p w14:paraId="78CA2F3A" w14:textId="77777777" w:rsidR="000D4D81" w:rsidRDefault="000D4D81" w:rsidP="00F37D43">
            <w:pPr>
              <w:rPr>
                <w:lang w:val="en-US" w:eastAsia="zh-CN"/>
              </w:rPr>
            </w:pP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4"/>
        <w:numPr>
          <w:ilvl w:val="0"/>
          <w:numId w:val="0"/>
        </w:numPr>
        <w:ind w:left="1418" w:hanging="1418"/>
      </w:pPr>
      <w:r>
        <w:t>9.1.</w:t>
      </w:r>
      <w:proofErr w:type="gramStart"/>
      <w:r>
        <w:t>1.Y</w:t>
      </w:r>
      <w:proofErr w:type="gramEnd"/>
      <w:r>
        <w:tab/>
        <w:t>MTCH configuration for MBS broadcast</w:t>
      </w:r>
    </w:p>
    <w:p w14:paraId="196CD6D5" w14:textId="77777777" w:rsidR="00DA26C5" w:rsidRDefault="00977A79">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af5"/>
        <w:tblW w:w="0" w:type="auto"/>
        <w:tblInd w:w="5" w:type="dxa"/>
        <w:tblLook w:val="04A0" w:firstRow="1" w:lastRow="0" w:firstColumn="1" w:lastColumn="0" w:noHBand="0" w:noVBand="1"/>
      </w:tblPr>
      <w:tblGrid>
        <w:gridCol w:w="2258"/>
        <w:gridCol w:w="1083"/>
        <w:gridCol w:w="6283"/>
      </w:tblGrid>
      <w:tr w:rsidR="00DA26C5" w14:paraId="24F020AE" w14:textId="77777777" w:rsidTr="00193452">
        <w:tc>
          <w:tcPr>
            <w:tcW w:w="2269" w:type="dxa"/>
          </w:tcPr>
          <w:p w14:paraId="5323CCAC" w14:textId="77777777" w:rsidR="00DA26C5" w:rsidRDefault="00977A79">
            <w:pPr>
              <w:jc w:val="center"/>
              <w:rPr>
                <w:b/>
              </w:rPr>
            </w:pPr>
            <w:r>
              <w:rPr>
                <w:b/>
              </w:rPr>
              <w:lastRenderedPageBreak/>
              <w:t>Company</w:t>
            </w:r>
          </w:p>
        </w:tc>
        <w:tc>
          <w:tcPr>
            <w:tcW w:w="1039" w:type="dxa"/>
          </w:tcPr>
          <w:p w14:paraId="1F6FD281" w14:textId="77777777" w:rsidR="00DA26C5" w:rsidRDefault="00977A79">
            <w:pPr>
              <w:jc w:val="center"/>
              <w:rPr>
                <w:b/>
              </w:rPr>
            </w:pPr>
            <w:r>
              <w:rPr>
                <w:b/>
              </w:rPr>
              <w:t>Yes/No</w:t>
            </w:r>
          </w:p>
        </w:tc>
        <w:tc>
          <w:tcPr>
            <w:tcW w:w="6316" w:type="dxa"/>
          </w:tcPr>
          <w:p w14:paraId="1FEB678C" w14:textId="77777777" w:rsidR="00DA26C5" w:rsidRDefault="00977A79">
            <w:pPr>
              <w:jc w:val="center"/>
              <w:rPr>
                <w:b/>
              </w:rPr>
            </w:pPr>
            <w:r>
              <w:rPr>
                <w:b/>
              </w:rPr>
              <w:t>Justification / comments</w:t>
            </w:r>
          </w:p>
        </w:tc>
      </w:tr>
      <w:tr w:rsidR="00DA26C5" w14:paraId="51DD0A12" w14:textId="77777777" w:rsidTr="00193452">
        <w:tc>
          <w:tcPr>
            <w:tcW w:w="2269" w:type="dxa"/>
          </w:tcPr>
          <w:p w14:paraId="2B227D3E" w14:textId="77777777" w:rsidR="00DA26C5" w:rsidRDefault="00977A79">
            <w:r>
              <w:t>Qualcomm</w:t>
            </w:r>
          </w:p>
        </w:tc>
        <w:tc>
          <w:tcPr>
            <w:tcW w:w="1039" w:type="dxa"/>
          </w:tcPr>
          <w:p w14:paraId="652B78AE" w14:textId="77777777" w:rsidR="00DA26C5" w:rsidRDefault="00977A79">
            <w:r>
              <w:t>Yes</w:t>
            </w:r>
          </w:p>
        </w:tc>
        <w:tc>
          <w:tcPr>
            <w:tcW w:w="6316" w:type="dxa"/>
          </w:tcPr>
          <w:p w14:paraId="4FC19E26" w14:textId="77777777" w:rsidR="00DA26C5" w:rsidRDefault="00DA26C5"/>
        </w:tc>
      </w:tr>
      <w:tr w:rsidR="00DA26C5" w14:paraId="4AE13BB2" w14:textId="77777777" w:rsidTr="00193452">
        <w:tc>
          <w:tcPr>
            <w:tcW w:w="2269" w:type="dxa"/>
          </w:tcPr>
          <w:p w14:paraId="27D82E74" w14:textId="77777777" w:rsidR="00DA26C5" w:rsidRDefault="00977A79">
            <w:r>
              <w:t>MediaTek</w:t>
            </w:r>
          </w:p>
        </w:tc>
        <w:tc>
          <w:tcPr>
            <w:tcW w:w="1039" w:type="dxa"/>
          </w:tcPr>
          <w:p w14:paraId="2B7AF0C8" w14:textId="77777777" w:rsidR="00DA26C5" w:rsidRDefault="00977A79">
            <w:r>
              <w:rPr>
                <w:rFonts w:hint="eastAsia"/>
                <w:lang w:eastAsia="zh-CN"/>
              </w:rPr>
              <w:t>Y</w:t>
            </w:r>
            <w:r>
              <w:rPr>
                <w:lang w:eastAsia="zh-CN"/>
              </w:rPr>
              <w:t>es</w:t>
            </w:r>
          </w:p>
        </w:tc>
        <w:tc>
          <w:tcPr>
            <w:tcW w:w="6316" w:type="dxa"/>
          </w:tcPr>
          <w:p w14:paraId="2673FDED" w14:textId="77777777" w:rsidR="00DA26C5" w:rsidRDefault="00DA26C5"/>
        </w:tc>
      </w:tr>
      <w:tr w:rsidR="00DA26C5" w14:paraId="598B976F" w14:textId="77777777" w:rsidTr="00193452">
        <w:tc>
          <w:tcPr>
            <w:tcW w:w="2269" w:type="dxa"/>
          </w:tcPr>
          <w:p w14:paraId="3DBC0A42" w14:textId="77777777" w:rsidR="00DA26C5" w:rsidRDefault="00977A79">
            <w:r>
              <w:t>Samsung</w:t>
            </w:r>
          </w:p>
        </w:tc>
        <w:tc>
          <w:tcPr>
            <w:tcW w:w="1039" w:type="dxa"/>
          </w:tcPr>
          <w:p w14:paraId="71E263B6" w14:textId="77777777" w:rsidR="00DA26C5" w:rsidRDefault="00977A79">
            <w:r>
              <w:t>Yes</w:t>
            </w:r>
          </w:p>
        </w:tc>
        <w:tc>
          <w:tcPr>
            <w:tcW w:w="6316" w:type="dxa"/>
          </w:tcPr>
          <w:p w14:paraId="15181FE0" w14:textId="77777777" w:rsidR="00DA26C5" w:rsidRDefault="00DA26C5"/>
        </w:tc>
      </w:tr>
      <w:tr w:rsidR="00DA26C5" w14:paraId="575E4E4D" w14:textId="77777777" w:rsidTr="00193452">
        <w:tc>
          <w:tcPr>
            <w:tcW w:w="2269" w:type="dxa"/>
          </w:tcPr>
          <w:p w14:paraId="5B3D6CF7" w14:textId="77777777" w:rsidR="00DA26C5" w:rsidRDefault="00977A79">
            <w:r>
              <w:rPr>
                <w:rFonts w:hint="eastAsia"/>
                <w:lang w:eastAsia="zh-CN"/>
              </w:rPr>
              <w:t>CATT</w:t>
            </w:r>
          </w:p>
        </w:tc>
        <w:tc>
          <w:tcPr>
            <w:tcW w:w="1039" w:type="dxa"/>
          </w:tcPr>
          <w:p w14:paraId="5E8A324B" w14:textId="77777777" w:rsidR="00DA26C5" w:rsidRDefault="00977A79">
            <w:r>
              <w:rPr>
                <w:rFonts w:hint="eastAsia"/>
                <w:lang w:eastAsia="zh-CN"/>
              </w:rPr>
              <w:t>Yes, but</w:t>
            </w:r>
          </w:p>
        </w:tc>
        <w:tc>
          <w:tcPr>
            <w:tcW w:w="6316"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w:t>
            </w:r>
            <w:proofErr w:type="gramEnd"/>
            <w:r>
              <w:rPr>
                <w:lang w:eastAsia="zh-CN"/>
              </w:rPr>
              <w:t xml:space="preserve"> short SN;</w:t>
            </w:r>
          </w:p>
          <w:p w14:paraId="68FC2AAD"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short SN</w:t>
            </w:r>
          </w:p>
          <w:p w14:paraId="2CFE1461"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long SN</w:t>
            </w:r>
          </w:p>
          <w:p w14:paraId="2A609C70" w14:textId="77777777" w:rsidR="00DA26C5" w:rsidRDefault="00977A79">
            <w:proofErr w:type="gramStart"/>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w:t>
            </w:r>
            <w:proofErr w:type="gramEnd"/>
            <w:r>
              <w:rPr>
                <w:lang w:eastAsia="zh-CN"/>
              </w:rPr>
              <w:t xml:space="preserve"> with long DRX cycle</w:t>
            </w:r>
          </w:p>
        </w:tc>
      </w:tr>
      <w:tr w:rsidR="00DA26C5" w14:paraId="0E6835E2" w14:textId="77777777" w:rsidTr="00193452">
        <w:tc>
          <w:tcPr>
            <w:tcW w:w="2269" w:type="dxa"/>
          </w:tcPr>
          <w:p w14:paraId="57EEC31A" w14:textId="77777777" w:rsidR="00DA26C5" w:rsidRDefault="00977A79">
            <w:pPr>
              <w:rPr>
                <w:lang w:val="en-US" w:eastAsia="zh-CN"/>
              </w:rPr>
            </w:pPr>
            <w:r>
              <w:rPr>
                <w:rFonts w:hint="eastAsia"/>
                <w:lang w:val="en-US" w:eastAsia="zh-CN"/>
              </w:rPr>
              <w:t>ZTE</w:t>
            </w:r>
          </w:p>
        </w:tc>
        <w:tc>
          <w:tcPr>
            <w:tcW w:w="1039" w:type="dxa"/>
          </w:tcPr>
          <w:p w14:paraId="7DBFA232" w14:textId="77777777" w:rsidR="00DA26C5" w:rsidRDefault="00DA26C5">
            <w:pPr>
              <w:rPr>
                <w:lang w:eastAsia="zh-CN"/>
              </w:rPr>
            </w:pPr>
          </w:p>
        </w:tc>
        <w:tc>
          <w:tcPr>
            <w:tcW w:w="6316"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193452">
        <w:tc>
          <w:tcPr>
            <w:tcW w:w="2269"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39" w:type="dxa"/>
          </w:tcPr>
          <w:p w14:paraId="31018CDC" w14:textId="77777777" w:rsidR="00977A79" w:rsidRDefault="00977A79">
            <w:pPr>
              <w:rPr>
                <w:lang w:eastAsia="zh-CN"/>
              </w:rPr>
            </w:pPr>
            <w:proofErr w:type="gramStart"/>
            <w:r>
              <w:rPr>
                <w:lang w:eastAsia="zh-CN"/>
              </w:rPr>
              <w:t>Yes</w:t>
            </w:r>
            <w:proofErr w:type="gramEnd"/>
            <w:r>
              <w:rPr>
                <w:lang w:eastAsia="zh-CN"/>
              </w:rPr>
              <w:t xml:space="preserve"> with comments</w:t>
            </w:r>
          </w:p>
        </w:tc>
        <w:tc>
          <w:tcPr>
            <w:tcW w:w="6316" w:type="dxa"/>
          </w:tcPr>
          <w:p w14:paraId="238590EA" w14:textId="77777777" w:rsidR="00977A79" w:rsidRDefault="00977A79" w:rsidP="00977A79">
            <w:pPr>
              <w:pStyle w:val="afa"/>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afa"/>
              <w:numPr>
                <w:ilvl w:val="0"/>
                <w:numId w:val="17"/>
              </w:numPr>
            </w:pPr>
            <w:r>
              <w:t xml:space="preserve">We also think </w:t>
            </w:r>
            <w:r w:rsidR="00977A79">
              <w:t>RLC SN</w:t>
            </w:r>
            <w:r>
              <w:t xml:space="preserve"> is 6bit and it align with MCCH.</w:t>
            </w:r>
          </w:p>
        </w:tc>
      </w:tr>
      <w:tr w:rsidR="00911212" w14:paraId="594C14A2" w14:textId="77777777" w:rsidTr="00193452">
        <w:tc>
          <w:tcPr>
            <w:tcW w:w="2269" w:type="dxa"/>
          </w:tcPr>
          <w:p w14:paraId="44CAEA1B" w14:textId="77777777" w:rsidR="00911212" w:rsidRDefault="00911212" w:rsidP="00012CEB">
            <w:pPr>
              <w:rPr>
                <w:lang w:val="en-US" w:eastAsia="zh-CN"/>
              </w:rPr>
            </w:pPr>
            <w:r>
              <w:rPr>
                <w:lang w:val="en-US" w:eastAsia="zh-CN"/>
              </w:rPr>
              <w:t>Apple</w:t>
            </w:r>
          </w:p>
        </w:tc>
        <w:tc>
          <w:tcPr>
            <w:tcW w:w="1039" w:type="dxa"/>
          </w:tcPr>
          <w:p w14:paraId="3783EB78" w14:textId="77777777" w:rsidR="00911212" w:rsidRDefault="00911212" w:rsidP="00012CEB">
            <w:pPr>
              <w:rPr>
                <w:lang w:eastAsia="zh-CN"/>
              </w:rPr>
            </w:pPr>
          </w:p>
        </w:tc>
        <w:tc>
          <w:tcPr>
            <w:tcW w:w="6316"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193452">
        <w:tc>
          <w:tcPr>
            <w:tcW w:w="2269" w:type="dxa"/>
          </w:tcPr>
          <w:p w14:paraId="23125B37" w14:textId="218502BD" w:rsidR="00A47B20" w:rsidRDefault="00A47B20" w:rsidP="00012CEB">
            <w:pPr>
              <w:rPr>
                <w:lang w:val="en-US" w:eastAsia="zh-CN"/>
              </w:rPr>
            </w:pPr>
            <w:r>
              <w:rPr>
                <w:lang w:val="en-US" w:eastAsia="zh-CN"/>
              </w:rPr>
              <w:t>Xiaomi</w:t>
            </w:r>
          </w:p>
        </w:tc>
        <w:tc>
          <w:tcPr>
            <w:tcW w:w="1039" w:type="dxa"/>
          </w:tcPr>
          <w:p w14:paraId="12421AFC" w14:textId="4BFE5AD1" w:rsidR="00A47B20" w:rsidRDefault="00A47B20" w:rsidP="00012CEB">
            <w:pPr>
              <w:rPr>
                <w:lang w:eastAsia="zh-CN"/>
              </w:rPr>
            </w:pPr>
            <w:r>
              <w:rPr>
                <w:lang w:eastAsia="zh-CN"/>
              </w:rPr>
              <w:t>Yes, but</w:t>
            </w:r>
          </w:p>
        </w:tc>
        <w:tc>
          <w:tcPr>
            <w:tcW w:w="6316"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193452">
        <w:tc>
          <w:tcPr>
            <w:tcW w:w="2269" w:type="dxa"/>
          </w:tcPr>
          <w:p w14:paraId="5F8BEB8A" w14:textId="77777777" w:rsidR="00F84413" w:rsidRDefault="00F84413" w:rsidP="00012CEB">
            <w:pPr>
              <w:rPr>
                <w:lang w:val="en-US" w:eastAsia="zh-CN"/>
              </w:rPr>
            </w:pPr>
            <w:r>
              <w:rPr>
                <w:lang w:val="en-US" w:eastAsia="zh-CN"/>
              </w:rPr>
              <w:t>Nokia</w:t>
            </w:r>
          </w:p>
        </w:tc>
        <w:tc>
          <w:tcPr>
            <w:tcW w:w="1039" w:type="dxa"/>
          </w:tcPr>
          <w:p w14:paraId="15D7F18A" w14:textId="77777777" w:rsidR="00F84413" w:rsidRDefault="00F84413" w:rsidP="00012CEB">
            <w:pPr>
              <w:rPr>
                <w:lang w:eastAsia="zh-CN"/>
              </w:rPr>
            </w:pPr>
            <w:r>
              <w:rPr>
                <w:lang w:eastAsia="zh-CN"/>
              </w:rPr>
              <w:t>Yes</w:t>
            </w:r>
          </w:p>
        </w:tc>
        <w:tc>
          <w:tcPr>
            <w:tcW w:w="6316" w:type="dxa"/>
          </w:tcPr>
          <w:p w14:paraId="1859FDE6" w14:textId="77777777" w:rsidR="00F84413" w:rsidRDefault="00F84413" w:rsidP="00012CEB">
            <w:pPr>
              <w:rPr>
                <w:lang w:val="en-US" w:eastAsia="zh-CN"/>
              </w:rPr>
            </w:pPr>
          </w:p>
        </w:tc>
      </w:tr>
      <w:tr w:rsidR="00F37D43" w14:paraId="120F7ADB" w14:textId="77777777" w:rsidTr="00193452">
        <w:tc>
          <w:tcPr>
            <w:tcW w:w="2269"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39"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316" w:type="dxa"/>
          </w:tcPr>
          <w:p w14:paraId="649DBAAD" w14:textId="77777777" w:rsidR="00F37D43" w:rsidRDefault="00F37D43" w:rsidP="00F37D43">
            <w:pPr>
              <w:rPr>
                <w:lang w:val="en-US" w:eastAsia="zh-CN"/>
              </w:rPr>
            </w:pPr>
          </w:p>
        </w:tc>
      </w:tr>
      <w:tr w:rsidR="00193452" w14:paraId="4BA63C28" w14:textId="77777777" w:rsidTr="00193452">
        <w:tc>
          <w:tcPr>
            <w:tcW w:w="2269" w:type="dxa"/>
          </w:tcPr>
          <w:p w14:paraId="6AEBED18" w14:textId="2732866B" w:rsidR="00193452" w:rsidRDefault="00193452" w:rsidP="00012CEB">
            <w:pPr>
              <w:rPr>
                <w:rFonts w:eastAsia="MS Mincho"/>
                <w:lang w:eastAsia="ja-JP"/>
              </w:rPr>
            </w:pPr>
            <w:r>
              <w:rPr>
                <w:rFonts w:eastAsia="MS Mincho"/>
                <w:lang w:eastAsia="ja-JP"/>
              </w:rPr>
              <w:t>Ericsson</w:t>
            </w:r>
          </w:p>
        </w:tc>
        <w:tc>
          <w:tcPr>
            <w:tcW w:w="1039" w:type="dxa"/>
          </w:tcPr>
          <w:p w14:paraId="77F3AFBF" w14:textId="527E5AD0" w:rsidR="00193452" w:rsidRDefault="00193452" w:rsidP="00012CEB">
            <w:pPr>
              <w:rPr>
                <w:rFonts w:eastAsia="MS Mincho"/>
                <w:lang w:eastAsia="ja-JP"/>
              </w:rPr>
            </w:pPr>
            <w:r>
              <w:rPr>
                <w:rFonts w:eastAsia="MS Mincho"/>
                <w:lang w:eastAsia="ja-JP"/>
              </w:rPr>
              <w:t>Yes</w:t>
            </w:r>
          </w:p>
        </w:tc>
        <w:tc>
          <w:tcPr>
            <w:tcW w:w="6316" w:type="dxa"/>
          </w:tcPr>
          <w:p w14:paraId="5AAA204E" w14:textId="77777777" w:rsidR="00193452" w:rsidRDefault="00193452" w:rsidP="00012CEB">
            <w:pPr>
              <w:rPr>
                <w:lang w:val="en-US" w:eastAsia="zh-CN"/>
              </w:rPr>
            </w:pPr>
          </w:p>
        </w:tc>
      </w:tr>
      <w:tr w:rsidR="00472D7A" w14:paraId="46027A53" w14:textId="77777777" w:rsidTr="00193452">
        <w:tc>
          <w:tcPr>
            <w:tcW w:w="2269" w:type="dxa"/>
          </w:tcPr>
          <w:p w14:paraId="6A5CE9CD" w14:textId="21230FCA" w:rsidR="00472D7A" w:rsidRPr="00472D7A" w:rsidRDefault="00472D7A" w:rsidP="00012CE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039" w:type="dxa"/>
          </w:tcPr>
          <w:p w14:paraId="09824D7E" w14:textId="27428F3E" w:rsidR="00472D7A" w:rsidRPr="00472D7A" w:rsidRDefault="00472D7A" w:rsidP="00012CEB">
            <w:pPr>
              <w:rPr>
                <w:rFonts w:eastAsiaTheme="minorEastAsia" w:hint="eastAsia"/>
                <w:lang w:eastAsia="zh-CN"/>
              </w:rPr>
            </w:pPr>
            <w:r>
              <w:rPr>
                <w:rFonts w:eastAsiaTheme="minorEastAsia" w:hint="eastAsia"/>
                <w:lang w:eastAsia="zh-CN"/>
              </w:rPr>
              <w:t>C</w:t>
            </w:r>
            <w:r>
              <w:rPr>
                <w:rFonts w:eastAsiaTheme="minorEastAsia"/>
                <w:lang w:eastAsia="zh-CN"/>
              </w:rPr>
              <w:t>omments</w:t>
            </w:r>
          </w:p>
        </w:tc>
        <w:tc>
          <w:tcPr>
            <w:tcW w:w="6316"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proofErr w:type="spellStart"/>
            <w:r>
              <w:rPr>
                <w:rFonts w:hint="eastAsia"/>
                <w:lang w:val="en-US" w:eastAsia="zh-CN"/>
              </w:rPr>
              <w:t>side</w:t>
            </w:r>
            <w:r>
              <w:rPr>
                <w:lang w:val="en-US" w:eastAsia="zh-CN"/>
              </w:rPr>
              <w:t>link</w:t>
            </w:r>
            <w:proofErr w:type="spellEnd"/>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472D7A" w14:paraId="461F4376" w14:textId="77777777" w:rsidTr="00193452">
        <w:tc>
          <w:tcPr>
            <w:tcW w:w="2269" w:type="dxa"/>
          </w:tcPr>
          <w:p w14:paraId="33099CC7" w14:textId="77777777" w:rsidR="00472D7A" w:rsidRDefault="00472D7A" w:rsidP="00012CEB">
            <w:pPr>
              <w:rPr>
                <w:rFonts w:eastAsia="MS Mincho"/>
                <w:lang w:eastAsia="ja-JP"/>
              </w:rPr>
            </w:pPr>
          </w:p>
        </w:tc>
        <w:tc>
          <w:tcPr>
            <w:tcW w:w="1039" w:type="dxa"/>
          </w:tcPr>
          <w:p w14:paraId="12D05836" w14:textId="77777777" w:rsidR="00472D7A" w:rsidRDefault="00472D7A" w:rsidP="00012CEB">
            <w:pPr>
              <w:rPr>
                <w:rFonts w:eastAsia="MS Mincho"/>
                <w:lang w:eastAsia="ja-JP"/>
              </w:rPr>
            </w:pPr>
          </w:p>
        </w:tc>
        <w:tc>
          <w:tcPr>
            <w:tcW w:w="6316" w:type="dxa"/>
          </w:tcPr>
          <w:p w14:paraId="5DD4C1E5" w14:textId="77777777" w:rsidR="00472D7A" w:rsidRDefault="00472D7A" w:rsidP="00012CEB">
            <w:pPr>
              <w:rPr>
                <w:lang w:val="en-US" w:eastAsia="zh-CN"/>
              </w:rPr>
            </w:pPr>
          </w:p>
        </w:tc>
      </w:tr>
    </w:tbl>
    <w:p w14:paraId="5D7E5A58" w14:textId="77777777" w:rsidR="00DA26C5" w:rsidRPr="00911212" w:rsidRDefault="00DA26C5">
      <w:pPr>
        <w:rPr>
          <w:lang w:val="en-US"/>
        </w:rPr>
      </w:pPr>
    </w:p>
    <w:p w14:paraId="535CBAD5" w14:textId="77777777" w:rsidR="00DA26C5" w:rsidRDefault="00977A79">
      <w:r>
        <w:t xml:space="preserve">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w:t>
      </w:r>
      <w:proofErr w:type="gramStart"/>
      <w:r>
        <w:t>a</w:t>
      </w:r>
      <w:proofErr w:type="gramEnd"/>
      <w:r>
        <w:t xml:space="preserve">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af5"/>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lastRenderedPageBreak/>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 xml:space="preserve">this seems speculative. Although if not used it seems fine to keep this for </w:t>
            </w:r>
            <w:proofErr w:type="spellStart"/>
            <w:r w:rsidR="00A951D6">
              <w:rPr>
                <w:lang w:val="en-US" w:eastAsia="zh-CN"/>
              </w:rPr>
              <w:t>gNB</w:t>
            </w:r>
            <w:proofErr w:type="spellEnd"/>
            <w:r w:rsidR="00A951D6">
              <w:rPr>
                <w:lang w:val="en-US" w:eastAsia="zh-CN"/>
              </w:rPr>
              <w:t xml:space="preserve">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96724A" w14:paraId="694B2CDE" w14:textId="77777777" w:rsidTr="000E4BDF">
        <w:tc>
          <w:tcPr>
            <w:tcW w:w="2312" w:type="dxa"/>
          </w:tcPr>
          <w:p w14:paraId="62666B4D" w14:textId="77777777" w:rsidR="0096724A" w:rsidRDefault="0096724A" w:rsidP="00012CEB">
            <w:pPr>
              <w:rPr>
                <w:rFonts w:eastAsia="MS Mincho"/>
                <w:lang w:eastAsia="ja-JP"/>
              </w:rPr>
            </w:pPr>
          </w:p>
        </w:tc>
        <w:tc>
          <w:tcPr>
            <w:tcW w:w="899" w:type="dxa"/>
          </w:tcPr>
          <w:p w14:paraId="0E2F5B04" w14:textId="77777777" w:rsidR="0096724A" w:rsidRDefault="0096724A" w:rsidP="00012CEB">
            <w:pPr>
              <w:rPr>
                <w:rFonts w:eastAsia="MS Mincho"/>
                <w:lang w:eastAsia="ja-JP"/>
              </w:rPr>
            </w:pPr>
          </w:p>
        </w:tc>
        <w:tc>
          <w:tcPr>
            <w:tcW w:w="6413" w:type="dxa"/>
          </w:tcPr>
          <w:p w14:paraId="49C36D76" w14:textId="77777777" w:rsidR="0096724A" w:rsidRDefault="0096724A" w:rsidP="00012CEB">
            <w:pPr>
              <w:rPr>
                <w:lang w:val="en-US" w:eastAsia="zh-CN"/>
              </w:rPr>
            </w:pP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w:t>
      </w:r>
      <w:r>
        <w:rPr>
          <w:rFonts w:eastAsia="Times New Roman"/>
          <w:color w:val="000000"/>
        </w:rPr>
        <w:lastRenderedPageBreak/>
        <w:t xml:space="preserve">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 xml:space="preserve">Based on this, RAN2 has to specify MTCH scheduling window somehow and in [5], it was </w:t>
      </w:r>
      <w:proofErr w:type="gramStart"/>
      <w:r>
        <w:t>propose</w:t>
      </w:r>
      <w:proofErr w:type="gramEnd"/>
      <w:r>
        <w:t xml:space="preserve"> to do this in the following way:</w:t>
      </w:r>
    </w:p>
    <w:p w14:paraId="26F2A697" w14:textId="77777777" w:rsidR="00DA26C5" w:rsidRDefault="00977A79">
      <w:pPr>
        <w:pStyle w:val="afa"/>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afa"/>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afa"/>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afa"/>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afa"/>
        <w:numPr>
          <w:ilvl w:val="0"/>
          <w:numId w:val="8"/>
        </w:numPr>
        <w:spacing w:after="240"/>
        <w:rPr>
          <w:b/>
        </w:rPr>
      </w:pPr>
      <w:r>
        <w:rPr>
          <w:b/>
        </w:rPr>
        <w:t>Option 3: Separate MTCH scheduling window is always configured per G-RNTI.</w:t>
      </w:r>
    </w:p>
    <w:tbl>
      <w:tblPr>
        <w:tblStyle w:val="af5"/>
        <w:tblW w:w="0" w:type="auto"/>
        <w:tblInd w:w="5" w:type="dxa"/>
        <w:tblLook w:val="04A0" w:firstRow="1" w:lastRow="0" w:firstColumn="1" w:lastColumn="0" w:noHBand="0" w:noVBand="1"/>
      </w:tblPr>
      <w:tblGrid>
        <w:gridCol w:w="2263"/>
        <w:gridCol w:w="1083"/>
        <w:gridCol w:w="6278"/>
      </w:tblGrid>
      <w:tr w:rsidR="00DA26C5" w14:paraId="78A943A4" w14:textId="77777777" w:rsidTr="00D03400">
        <w:tc>
          <w:tcPr>
            <w:tcW w:w="2272" w:type="dxa"/>
          </w:tcPr>
          <w:p w14:paraId="5D8AF769" w14:textId="77777777" w:rsidR="00DA26C5" w:rsidRDefault="00977A79">
            <w:pPr>
              <w:jc w:val="center"/>
              <w:rPr>
                <w:b/>
              </w:rPr>
            </w:pPr>
            <w:r>
              <w:rPr>
                <w:b/>
              </w:rPr>
              <w:t>Company</w:t>
            </w:r>
          </w:p>
        </w:tc>
        <w:tc>
          <w:tcPr>
            <w:tcW w:w="1049" w:type="dxa"/>
          </w:tcPr>
          <w:p w14:paraId="37425B53" w14:textId="77777777" w:rsidR="00DA26C5" w:rsidRDefault="00977A79">
            <w:pPr>
              <w:jc w:val="center"/>
              <w:rPr>
                <w:b/>
              </w:rPr>
            </w:pPr>
            <w:r>
              <w:rPr>
                <w:b/>
              </w:rPr>
              <w:t>Preferred option</w:t>
            </w:r>
          </w:p>
        </w:tc>
        <w:tc>
          <w:tcPr>
            <w:tcW w:w="6303" w:type="dxa"/>
          </w:tcPr>
          <w:p w14:paraId="07B65360" w14:textId="77777777" w:rsidR="00DA26C5" w:rsidRDefault="00977A79">
            <w:pPr>
              <w:jc w:val="center"/>
              <w:rPr>
                <w:b/>
              </w:rPr>
            </w:pPr>
            <w:r>
              <w:rPr>
                <w:b/>
              </w:rPr>
              <w:t>Justification / comments</w:t>
            </w:r>
          </w:p>
        </w:tc>
      </w:tr>
      <w:tr w:rsidR="00DA26C5" w14:paraId="7E05E1BE" w14:textId="77777777" w:rsidTr="00D03400">
        <w:tc>
          <w:tcPr>
            <w:tcW w:w="2272" w:type="dxa"/>
          </w:tcPr>
          <w:p w14:paraId="1094EC82" w14:textId="77777777" w:rsidR="00DA26C5" w:rsidRDefault="00977A79">
            <w:r>
              <w:t>Qualcomm</w:t>
            </w:r>
          </w:p>
        </w:tc>
        <w:tc>
          <w:tcPr>
            <w:tcW w:w="1049" w:type="dxa"/>
          </w:tcPr>
          <w:p w14:paraId="3C41E981" w14:textId="77777777" w:rsidR="00DA26C5" w:rsidRDefault="00977A79">
            <w:r>
              <w:t>Partially Option 1 with comments</w:t>
            </w:r>
          </w:p>
        </w:tc>
        <w:tc>
          <w:tcPr>
            <w:tcW w:w="6303"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D03400">
        <w:tc>
          <w:tcPr>
            <w:tcW w:w="2272" w:type="dxa"/>
          </w:tcPr>
          <w:p w14:paraId="42B23F24" w14:textId="77777777" w:rsidR="00DA26C5" w:rsidRDefault="00977A79">
            <w:r>
              <w:t>MediaTek</w:t>
            </w:r>
          </w:p>
        </w:tc>
        <w:tc>
          <w:tcPr>
            <w:tcW w:w="1049" w:type="dxa"/>
          </w:tcPr>
          <w:p w14:paraId="4B2D3180" w14:textId="77777777" w:rsidR="00DA26C5" w:rsidRDefault="00977A79">
            <w:pPr>
              <w:rPr>
                <w:lang w:eastAsia="zh-CN"/>
              </w:rPr>
            </w:pPr>
            <w:r>
              <w:rPr>
                <w:rFonts w:hint="eastAsia"/>
                <w:lang w:eastAsia="zh-CN"/>
              </w:rPr>
              <w:t>O</w:t>
            </w:r>
            <w:r>
              <w:rPr>
                <w:lang w:eastAsia="zh-CN"/>
              </w:rPr>
              <w:t>ption-1</w:t>
            </w:r>
          </w:p>
        </w:tc>
        <w:tc>
          <w:tcPr>
            <w:tcW w:w="6303" w:type="dxa"/>
          </w:tcPr>
          <w:p w14:paraId="1FD0EB25" w14:textId="77777777" w:rsidR="00DA26C5" w:rsidRDefault="00DA26C5"/>
        </w:tc>
      </w:tr>
      <w:tr w:rsidR="00DA26C5" w14:paraId="12BD6853" w14:textId="77777777" w:rsidTr="00D03400">
        <w:tc>
          <w:tcPr>
            <w:tcW w:w="2272" w:type="dxa"/>
          </w:tcPr>
          <w:p w14:paraId="3740A75E" w14:textId="77777777" w:rsidR="00DA26C5" w:rsidRDefault="00977A79">
            <w:r>
              <w:t>Samsung</w:t>
            </w:r>
          </w:p>
        </w:tc>
        <w:tc>
          <w:tcPr>
            <w:tcW w:w="1049" w:type="dxa"/>
          </w:tcPr>
          <w:p w14:paraId="4661894E" w14:textId="77777777" w:rsidR="00DA26C5" w:rsidRDefault="00977A79">
            <w:r>
              <w:t>Option-1</w:t>
            </w:r>
          </w:p>
        </w:tc>
        <w:tc>
          <w:tcPr>
            <w:tcW w:w="6303" w:type="dxa"/>
          </w:tcPr>
          <w:p w14:paraId="26DD4C1B" w14:textId="77777777" w:rsidR="00DA26C5" w:rsidRDefault="00DA26C5"/>
        </w:tc>
      </w:tr>
      <w:tr w:rsidR="00DA26C5" w14:paraId="03989681" w14:textId="77777777" w:rsidTr="00D03400">
        <w:tc>
          <w:tcPr>
            <w:tcW w:w="2272" w:type="dxa"/>
          </w:tcPr>
          <w:p w14:paraId="0757FAB1" w14:textId="77777777" w:rsidR="00DA26C5" w:rsidRDefault="00977A79">
            <w:r>
              <w:rPr>
                <w:rFonts w:hint="eastAsia"/>
                <w:lang w:eastAsia="zh-CN"/>
              </w:rPr>
              <w:t>CATT</w:t>
            </w:r>
          </w:p>
        </w:tc>
        <w:tc>
          <w:tcPr>
            <w:tcW w:w="1049" w:type="dxa"/>
          </w:tcPr>
          <w:p w14:paraId="5539172A" w14:textId="77777777" w:rsidR="00DA26C5" w:rsidRDefault="00977A79">
            <w:r>
              <w:rPr>
                <w:rFonts w:hint="eastAsia"/>
                <w:lang w:eastAsia="zh-CN"/>
              </w:rPr>
              <w:t>Option 1</w:t>
            </w:r>
          </w:p>
        </w:tc>
        <w:tc>
          <w:tcPr>
            <w:tcW w:w="6303" w:type="dxa"/>
          </w:tcPr>
          <w:p w14:paraId="0A3A8F50" w14:textId="77777777" w:rsidR="00DA26C5" w:rsidRDefault="00DA26C5"/>
        </w:tc>
      </w:tr>
      <w:tr w:rsidR="00DA26C5" w14:paraId="1EABF629" w14:textId="77777777" w:rsidTr="00D03400">
        <w:tc>
          <w:tcPr>
            <w:tcW w:w="2272" w:type="dxa"/>
          </w:tcPr>
          <w:p w14:paraId="0FD28D50" w14:textId="77777777" w:rsidR="00DA26C5" w:rsidRDefault="00977A79">
            <w:pPr>
              <w:rPr>
                <w:lang w:val="en-US" w:eastAsia="zh-CN"/>
              </w:rPr>
            </w:pPr>
            <w:r>
              <w:rPr>
                <w:rFonts w:hint="eastAsia"/>
                <w:lang w:val="en-US" w:eastAsia="zh-CN"/>
              </w:rPr>
              <w:t>ZTE</w:t>
            </w:r>
          </w:p>
        </w:tc>
        <w:tc>
          <w:tcPr>
            <w:tcW w:w="1049" w:type="dxa"/>
          </w:tcPr>
          <w:p w14:paraId="1B83DD41" w14:textId="77777777" w:rsidR="00DA26C5" w:rsidRDefault="00977A79">
            <w:pPr>
              <w:rPr>
                <w:lang w:val="en-US" w:eastAsia="zh-CN"/>
              </w:rPr>
            </w:pPr>
            <w:r>
              <w:rPr>
                <w:rFonts w:hint="eastAsia"/>
                <w:lang w:val="en-US" w:eastAsia="zh-CN"/>
              </w:rPr>
              <w:t>option 1</w:t>
            </w:r>
          </w:p>
        </w:tc>
        <w:tc>
          <w:tcPr>
            <w:tcW w:w="6303" w:type="dxa"/>
          </w:tcPr>
          <w:p w14:paraId="2CCBBA04" w14:textId="77777777" w:rsidR="00DA26C5" w:rsidRDefault="00DA26C5"/>
        </w:tc>
      </w:tr>
      <w:tr w:rsidR="00BE5058" w14:paraId="73D09684" w14:textId="77777777" w:rsidTr="00D03400">
        <w:tc>
          <w:tcPr>
            <w:tcW w:w="2272"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49" w:type="dxa"/>
          </w:tcPr>
          <w:p w14:paraId="513285D9" w14:textId="77777777" w:rsidR="00BE5058" w:rsidRDefault="00BE5058">
            <w:pPr>
              <w:rPr>
                <w:lang w:val="en-US" w:eastAsia="zh-CN"/>
              </w:rPr>
            </w:pPr>
            <w:r>
              <w:rPr>
                <w:lang w:val="en-US" w:eastAsia="zh-CN"/>
              </w:rPr>
              <w:t>Not option 1</w:t>
            </w:r>
          </w:p>
        </w:tc>
        <w:tc>
          <w:tcPr>
            <w:tcW w:w="6303"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w:t>
            </w:r>
            <w:proofErr w:type="gramStart"/>
            <w:r>
              <w:t>So</w:t>
            </w:r>
            <w:proofErr w:type="gramEnd"/>
            <w:r>
              <w:t xml:space="preserve">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lastRenderedPageBreak/>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D03400">
        <w:tc>
          <w:tcPr>
            <w:tcW w:w="2272" w:type="dxa"/>
          </w:tcPr>
          <w:p w14:paraId="69910451" w14:textId="77777777" w:rsidR="00516627" w:rsidRDefault="00516627" w:rsidP="00012CEB">
            <w:pPr>
              <w:rPr>
                <w:lang w:val="en-US" w:eastAsia="zh-CN"/>
              </w:rPr>
            </w:pPr>
            <w:r>
              <w:rPr>
                <w:lang w:val="en-US" w:eastAsia="zh-CN"/>
              </w:rPr>
              <w:lastRenderedPageBreak/>
              <w:t>Apple</w:t>
            </w:r>
          </w:p>
        </w:tc>
        <w:tc>
          <w:tcPr>
            <w:tcW w:w="1049" w:type="dxa"/>
          </w:tcPr>
          <w:p w14:paraId="7B5F759B" w14:textId="77777777" w:rsidR="00516627" w:rsidRDefault="00516627" w:rsidP="00012CEB">
            <w:pPr>
              <w:rPr>
                <w:lang w:val="en-US" w:eastAsia="zh-CN"/>
              </w:rPr>
            </w:pPr>
            <w:r>
              <w:rPr>
                <w:lang w:val="en-US" w:eastAsia="zh-CN"/>
              </w:rPr>
              <w:t>Option 1</w:t>
            </w:r>
          </w:p>
        </w:tc>
        <w:tc>
          <w:tcPr>
            <w:tcW w:w="6303" w:type="dxa"/>
          </w:tcPr>
          <w:p w14:paraId="182FC7E0" w14:textId="77777777" w:rsidR="00516627" w:rsidRDefault="00516627" w:rsidP="00012CEB"/>
        </w:tc>
      </w:tr>
      <w:tr w:rsidR="005C1C91" w14:paraId="47FD46E6" w14:textId="77777777" w:rsidTr="00D03400">
        <w:tc>
          <w:tcPr>
            <w:tcW w:w="2272" w:type="dxa"/>
          </w:tcPr>
          <w:p w14:paraId="20C0D935" w14:textId="69E67D61" w:rsidR="005C1C91" w:rsidRDefault="005C1C91" w:rsidP="00012CEB">
            <w:pPr>
              <w:rPr>
                <w:lang w:val="en-US" w:eastAsia="zh-CN"/>
              </w:rPr>
            </w:pPr>
            <w:r>
              <w:rPr>
                <w:lang w:val="en-US" w:eastAsia="zh-CN"/>
              </w:rPr>
              <w:t>Xiaomi</w:t>
            </w:r>
          </w:p>
        </w:tc>
        <w:tc>
          <w:tcPr>
            <w:tcW w:w="1049" w:type="dxa"/>
          </w:tcPr>
          <w:p w14:paraId="21599036" w14:textId="20C73E71" w:rsidR="005C1C91" w:rsidRDefault="005C1C91" w:rsidP="00012CEB">
            <w:pPr>
              <w:rPr>
                <w:lang w:val="en-US" w:eastAsia="zh-CN"/>
              </w:rPr>
            </w:pPr>
            <w:r>
              <w:rPr>
                <w:lang w:val="en-US" w:eastAsia="zh-CN"/>
              </w:rPr>
              <w:t>Option 1</w:t>
            </w:r>
          </w:p>
        </w:tc>
        <w:tc>
          <w:tcPr>
            <w:tcW w:w="6303" w:type="dxa"/>
          </w:tcPr>
          <w:p w14:paraId="03FE25D0" w14:textId="77777777" w:rsidR="005C1C91" w:rsidRDefault="005C1C91" w:rsidP="00012CEB"/>
        </w:tc>
      </w:tr>
      <w:tr w:rsidR="00F84413" w:rsidRPr="007B70F8" w14:paraId="42275895" w14:textId="77777777" w:rsidTr="00D03400">
        <w:tc>
          <w:tcPr>
            <w:tcW w:w="2272" w:type="dxa"/>
          </w:tcPr>
          <w:p w14:paraId="60C72E3B" w14:textId="77777777" w:rsidR="00F84413" w:rsidRPr="007B70F8" w:rsidRDefault="00F84413" w:rsidP="00012CEB">
            <w:r>
              <w:t>Nokia</w:t>
            </w:r>
          </w:p>
        </w:tc>
        <w:tc>
          <w:tcPr>
            <w:tcW w:w="1049" w:type="dxa"/>
          </w:tcPr>
          <w:p w14:paraId="544571FD" w14:textId="77777777" w:rsidR="00F84413" w:rsidRPr="007B70F8" w:rsidRDefault="00F84413" w:rsidP="00012CEB">
            <w:r>
              <w:t xml:space="preserve">option 3 </w:t>
            </w:r>
          </w:p>
        </w:tc>
        <w:tc>
          <w:tcPr>
            <w:tcW w:w="6303"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D03400">
        <w:tc>
          <w:tcPr>
            <w:tcW w:w="2272"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49"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303"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D03400">
        <w:tc>
          <w:tcPr>
            <w:tcW w:w="2272" w:type="dxa"/>
          </w:tcPr>
          <w:p w14:paraId="29AC48A2" w14:textId="77777777" w:rsidR="00D03400" w:rsidRDefault="00D03400" w:rsidP="00012CEB">
            <w:pPr>
              <w:rPr>
                <w:rFonts w:eastAsia="MS Mincho"/>
                <w:lang w:eastAsia="ja-JP"/>
              </w:rPr>
            </w:pPr>
            <w:r>
              <w:rPr>
                <w:rFonts w:eastAsia="MS Mincho"/>
                <w:lang w:eastAsia="ja-JP"/>
              </w:rPr>
              <w:t>Ericsson</w:t>
            </w:r>
          </w:p>
        </w:tc>
        <w:tc>
          <w:tcPr>
            <w:tcW w:w="1049"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303"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D03400">
        <w:tc>
          <w:tcPr>
            <w:tcW w:w="2272" w:type="dxa"/>
          </w:tcPr>
          <w:p w14:paraId="4CAEBB96" w14:textId="1180EF96" w:rsidR="00A656B2" w:rsidRPr="00A656B2" w:rsidRDefault="00A656B2" w:rsidP="00012CE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049" w:type="dxa"/>
          </w:tcPr>
          <w:p w14:paraId="665F5516" w14:textId="4DD22F9A" w:rsidR="00A656B2" w:rsidRPr="00E679EC" w:rsidRDefault="00E679EC" w:rsidP="00012CEB">
            <w:pPr>
              <w:rPr>
                <w:rFonts w:eastAsiaTheme="minorEastAsia" w:hint="eastAsia"/>
                <w:lang w:eastAsia="zh-CN"/>
              </w:rPr>
            </w:pPr>
            <w:r>
              <w:rPr>
                <w:rFonts w:eastAsiaTheme="minorEastAsia" w:hint="eastAsia"/>
                <w:lang w:eastAsia="zh-CN"/>
              </w:rPr>
              <w:t>C</w:t>
            </w:r>
            <w:r>
              <w:rPr>
                <w:rFonts w:eastAsiaTheme="minorEastAsia"/>
                <w:lang w:eastAsia="zh-CN"/>
              </w:rPr>
              <w:t>omments</w:t>
            </w:r>
          </w:p>
        </w:tc>
        <w:tc>
          <w:tcPr>
            <w:tcW w:w="6303"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A656B2" w14:paraId="34A97A50" w14:textId="77777777" w:rsidTr="00D03400">
        <w:tc>
          <w:tcPr>
            <w:tcW w:w="2272" w:type="dxa"/>
          </w:tcPr>
          <w:p w14:paraId="41CD308F" w14:textId="77777777" w:rsidR="00A656B2" w:rsidRDefault="00A656B2" w:rsidP="00012CEB">
            <w:pPr>
              <w:rPr>
                <w:rFonts w:eastAsia="MS Mincho"/>
                <w:lang w:eastAsia="ja-JP"/>
              </w:rPr>
            </w:pPr>
          </w:p>
        </w:tc>
        <w:tc>
          <w:tcPr>
            <w:tcW w:w="1049" w:type="dxa"/>
          </w:tcPr>
          <w:p w14:paraId="77CCB3E4" w14:textId="77777777" w:rsidR="00A656B2" w:rsidRDefault="00A656B2" w:rsidP="00012CEB">
            <w:pPr>
              <w:rPr>
                <w:rFonts w:eastAsia="MS Mincho"/>
                <w:lang w:eastAsia="ja-JP"/>
              </w:rPr>
            </w:pPr>
          </w:p>
        </w:tc>
        <w:tc>
          <w:tcPr>
            <w:tcW w:w="6303" w:type="dxa"/>
          </w:tcPr>
          <w:p w14:paraId="031E18C9" w14:textId="77777777" w:rsidR="00A656B2" w:rsidRDefault="00A656B2" w:rsidP="00012CEB">
            <w:pPr>
              <w:rPr>
                <w:lang w:val="en-US" w:eastAsia="zh-CN"/>
              </w:rPr>
            </w:pPr>
          </w:p>
        </w:tc>
      </w:tr>
    </w:tbl>
    <w:p w14:paraId="242B317A" w14:textId="77777777" w:rsidR="00DA26C5" w:rsidRDefault="00DA26C5"/>
    <w:p w14:paraId="2815E1F9" w14:textId="77777777" w:rsidR="00DA26C5" w:rsidRDefault="00977A79">
      <w:pPr>
        <w:pStyle w:val="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af5"/>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lastRenderedPageBreak/>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af5"/>
        <w:tblW w:w="0" w:type="auto"/>
        <w:tblInd w:w="5" w:type="dxa"/>
        <w:tblLook w:val="04A0" w:firstRow="1" w:lastRow="0" w:firstColumn="1" w:lastColumn="0" w:noHBand="0" w:noVBand="1"/>
      </w:tblPr>
      <w:tblGrid>
        <w:gridCol w:w="2313"/>
        <w:gridCol w:w="899"/>
        <w:gridCol w:w="6412"/>
      </w:tblGrid>
      <w:tr w:rsidR="00DA26C5" w14:paraId="53B4E724" w14:textId="77777777" w:rsidTr="00646246">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646246">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646246">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646246">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646246">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646246">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646246">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 xml:space="preserve">The UE can receive the MBS broadcast from </w:t>
            </w:r>
            <w:proofErr w:type="spellStart"/>
            <w:r>
              <w:rPr>
                <w:lang w:val="en-US" w:eastAsia="zh-CN"/>
              </w:rPr>
              <w:t>SCell</w:t>
            </w:r>
            <w:proofErr w:type="spell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should be forwarded to the SCG via, e.g. CG-</w:t>
            </w:r>
            <w:proofErr w:type="spellStart"/>
            <w:r>
              <w:rPr>
                <w:lang w:val="en-US" w:eastAsia="zh-CN"/>
              </w:rPr>
              <w:t>ConfigInfo</w:t>
            </w:r>
            <w:proofErr w:type="spellEnd"/>
            <w:r>
              <w:rPr>
                <w:lang w:val="en-US" w:eastAsia="zh-CN"/>
              </w:rPr>
              <w:t>.</w:t>
            </w:r>
          </w:p>
        </w:tc>
      </w:tr>
      <w:tr w:rsidR="00451C2B" w14:paraId="468EB13E" w14:textId="77777777" w:rsidTr="00646246">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646246">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646246">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646246">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646246">
        <w:tc>
          <w:tcPr>
            <w:tcW w:w="2313" w:type="dxa"/>
          </w:tcPr>
          <w:p w14:paraId="0B217096" w14:textId="77777777" w:rsidR="00646246" w:rsidRDefault="00646246" w:rsidP="00012CEB">
            <w:pPr>
              <w:rPr>
                <w:rFonts w:eastAsia="MS Mincho"/>
                <w:lang w:eastAsia="ja-JP"/>
              </w:rPr>
            </w:pPr>
            <w:r>
              <w:rPr>
                <w:rFonts w:eastAsia="MS Mincho"/>
                <w:lang w:eastAsia="ja-JP"/>
              </w:rPr>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646246">
        <w:tc>
          <w:tcPr>
            <w:tcW w:w="2313" w:type="dxa"/>
          </w:tcPr>
          <w:p w14:paraId="18ECD841" w14:textId="16264C98" w:rsidR="00F953CB" w:rsidRPr="00F953CB" w:rsidRDefault="00F953CB" w:rsidP="00012CE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rFonts w:hint="eastAsia"/>
                <w:i/>
                <w:szCs w:val="21"/>
              </w:rPr>
            </w:pPr>
            <w:r w:rsidRPr="007948AB">
              <w:rPr>
                <w:i/>
                <w:szCs w:val="21"/>
              </w:rPr>
              <w:t xml:space="preserve">Focus initially on NR SA, TBD to what extent </w:t>
            </w:r>
            <w:proofErr w:type="gramStart"/>
            <w:r w:rsidRPr="007948AB">
              <w:rPr>
                <w:i/>
                <w:szCs w:val="21"/>
              </w:rPr>
              <w:t>other</w:t>
            </w:r>
            <w:proofErr w:type="gramEnd"/>
            <w:r w:rsidRPr="007948AB">
              <w:rPr>
                <w:i/>
                <w:szCs w:val="21"/>
              </w:rPr>
              <w:t xml:space="preserve"> scenarios NR DC, NE DC can be supported.</w:t>
            </w:r>
          </w:p>
        </w:tc>
      </w:tr>
      <w:tr w:rsidR="00F953CB" w14:paraId="2E6E27BB" w14:textId="77777777" w:rsidTr="00646246">
        <w:tc>
          <w:tcPr>
            <w:tcW w:w="2313" w:type="dxa"/>
          </w:tcPr>
          <w:p w14:paraId="126F50DD" w14:textId="77777777" w:rsidR="00F953CB" w:rsidRDefault="00F953CB" w:rsidP="00012CEB">
            <w:pPr>
              <w:rPr>
                <w:rFonts w:eastAsia="MS Mincho"/>
                <w:lang w:eastAsia="ja-JP"/>
              </w:rPr>
            </w:pPr>
          </w:p>
        </w:tc>
        <w:tc>
          <w:tcPr>
            <w:tcW w:w="899" w:type="dxa"/>
          </w:tcPr>
          <w:p w14:paraId="537DE090" w14:textId="77777777" w:rsidR="00F953CB" w:rsidRDefault="00F953CB" w:rsidP="00012CEB">
            <w:pPr>
              <w:rPr>
                <w:rFonts w:eastAsia="MS Mincho"/>
                <w:lang w:eastAsia="ja-JP"/>
              </w:rPr>
            </w:pPr>
          </w:p>
        </w:tc>
        <w:tc>
          <w:tcPr>
            <w:tcW w:w="6412" w:type="dxa"/>
          </w:tcPr>
          <w:p w14:paraId="1F1CC995" w14:textId="77777777" w:rsidR="00F953CB" w:rsidRDefault="00F953CB" w:rsidP="00012CEB">
            <w:pPr>
              <w:rPr>
                <w:lang w:val="en-US" w:eastAsia="zh-CN"/>
              </w:rPr>
            </w:pP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lastRenderedPageBreak/>
        <w:t xml:space="preserve">Question 6: Do you think current MII framework needs any modifications in order to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af5"/>
        <w:tblW w:w="0" w:type="auto"/>
        <w:tblInd w:w="5" w:type="dxa"/>
        <w:tblLook w:val="04A0" w:firstRow="1" w:lastRow="0" w:firstColumn="1" w:lastColumn="0" w:noHBand="0" w:noVBand="1"/>
      </w:tblPr>
      <w:tblGrid>
        <w:gridCol w:w="2313"/>
        <w:gridCol w:w="899"/>
        <w:gridCol w:w="6412"/>
      </w:tblGrid>
      <w:tr w:rsidR="00DA26C5" w14:paraId="4FBF136E" w14:textId="77777777" w:rsidTr="006F2D5B">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6F2D5B">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6F2D5B">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 xml:space="preserve">We prefer to discuss this issue before we reach the conclusion on the support of MBS broadcast on </w:t>
            </w:r>
            <w:proofErr w:type="spellStart"/>
            <w:r>
              <w:rPr>
                <w:lang w:eastAsia="zh-CN"/>
              </w:rPr>
              <w:t>SCell</w:t>
            </w:r>
            <w:proofErr w:type="spellEnd"/>
            <w:r>
              <w:rPr>
                <w:lang w:eastAsia="zh-CN"/>
              </w:rPr>
              <w:t xml:space="preserve"> and/or non-serving cell.</w:t>
            </w:r>
          </w:p>
          <w:p w14:paraId="1FD7FF3C" w14:textId="77777777" w:rsidR="00DA26C5" w:rsidRDefault="00977A79">
            <w:pPr>
              <w:rPr>
                <w:lang w:eastAsia="zh-CN"/>
              </w:rPr>
            </w:pPr>
            <w:r>
              <w:rPr>
                <w:lang w:eastAsia="zh-CN"/>
              </w:rPr>
              <w:t xml:space="preserve">If non-serving </w:t>
            </w:r>
            <w:proofErr w:type="gramStart"/>
            <w:r>
              <w:rPr>
                <w:lang w:eastAsia="zh-CN"/>
              </w:rPr>
              <w:t>cell based</w:t>
            </w:r>
            <w:proofErr w:type="gramEnd"/>
            <w:r>
              <w:rPr>
                <w:lang w:eastAsia="zh-CN"/>
              </w:rPr>
              <w:t xml:space="preserve"> broadcast reception is supported, we may need more time to discuss which type of assistance info is needed. One additional question is why not use UAI if there is a need for assistance info.  </w:t>
            </w:r>
          </w:p>
        </w:tc>
      </w:tr>
      <w:tr w:rsidR="00DA26C5" w14:paraId="10F26244" w14:textId="77777777" w:rsidTr="006F2D5B">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6F2D5B">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6F2D5B">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6F2D5B">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proofErr w:type="spellStart"/>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6F2D5B">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6F2D5B">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6F2D5B">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6F2D5B">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6F2D5B">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6F2D5B">
        <w:tc>
          <w:tcPr>
            <w:tcW w:w="2313" w:type="dxa"/>
          </w:tcPr>
          <w:p w14:paraId="5BCE9DD5" w14:textId="440BF18F" w:rsidR="00B156F4" w:rsidRPr="00B156F4" w:rsidRDefault="00B156F4" w:rsidP="00012CE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 xml:space="preserve">ciated with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B156F4" w14:paraId="7957A827" w14:textId="77777777" w:rsidTr="006F2D5B">
        <w:tc>
          <w:tcPr>
            <w:tcW w:w="2313" w:type="dxa"/>
          </w:tcPr>
          <w:p w14:paraId="43C30FD6" w14:textId="77777777" w:rsidR="00B156F4" w:rsidRDefault="00B156F4" w:rsidP="00012CEB">
            <w:pPr>
              <w:rPr>
                <w:rFonts w:eastAsia="MS Mincho"/>
                <w:lang w:eastAsia="ja-JP"/>
              </w:rPr>
            </w:pPr>
          </w:p>
        </w:tc>
        <w:tc>
          <w:tcPr>
            <w:tcW w:w="899" w:type="dxa"/>
          </w:tcPr>
          <w:p w14:paraId="2D435837" w14:textId="77777777" w:rsidR="00B156F4" w:rsidRDefault="00B156F4" w:rsidP="00012CEB">
            <w:pPr>
              <w:rPr>
                <w:rFonts w:eastAsia="MS Mincho"/>
                <w:lang w:eastAsia="ja-JP"/>
              </w:rPr>
            </w:pPr>
          </w:p>
        </w:tc>
        <w:tc>
          <w:tcPr>
            <w:tcW w:w="6412" w:type="dxa"/>
          </w:tcPr>
          <w:p w14:paraId="0B9BF6CC" w14:textId="77777777" w:rsidR="00B156F4" w:rsidRDefault="00B156F4" w:rsidP="00012CEB">
            <w:pPr>
              <w:rPr>
                <w:lang w:val="en-US" w:eastAsia="zh-CN"/>
              </w:rPr>
            </w:pPr>
          </w:p>
        </w:tc>
      </w:tr>
    </w:tbl>
    <w:p w14:paraId="6C5FF28A" w14:textId="77777777" w:rsidR="00DA26C5" w:rsidRDefault="00DA26C5">
      <w:pPr>
        <w:rPr>
          <w:b/>
          <w:lang w:eastAsia="zh-CN"/>
        </w:rPr>
      </w:pPr>
    </w:p>
    <w:p w14:paraId="37E87BF0" w14:textId="77777777" w:rsidR="00DA26C5" w:rsidRDefault="00977A79">
      <w:pPr>
        <w:pStyle w:val="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5"/>
        <w:tblW w:w="0" w:type="auto"/>
        <w:tblInd w:w="323" w:type="dxa"/>
        <w:tblLook w:val="04A0" w:firstRow="1" w:lastRow="0" w:firstColumn="1" w:lastColumn="0" w:noHBand="0" w:noVBand="1"/>
      </w:tblPr>
      <w:tblGrid>
        <w:gridCol w:w="907"/>
        <w:gridCol w:w="692"/>
        <w:gridCol w:w="7707"/>
      </w:tblGrid>
      <w:tr w:rsidR="00DA26C5" w14:paraId="18DDEE83" w14:textId="77777777" w:rsidTr="002132D7">
        <w:tc>
          <w:tcPr>
            <w:tcW w:w="949" w:type="dxa"/>
          </w:tcPr>
          <w:p w14:paraId="59A2A894" w14:textId="77777777" w:rsidR="00DA26C5" w:rsidRDefault="00977A79">
            <w:pPr>
              <w:jc w:val="center"/>
              <w:rPr>
                <w:b/>
              </w:rPr>
            </w:pPr>
            <w:r>
              <w:rPr>
                <w:b/>
              </w:rPr>
              <w:lastRenderedPageBreak/>
              <w:t>Company</w:t>
            </w:r>
          </w:p>
        </w:tc>
        <w:tc>
          <w:tcPr>
            <w:tcW w:w="736" w:type="dxa"/>
          </w:tcPr>
          <w:p w14:paraId="502A2DCD" w14:textId="77777777" w:rsidR="00DA26C5" w:rsidRDefault="00977A79">
            <w:pPr>
              <w:jc w:val="center"/>
              <w:rPr>
                <w:b/>
              </w:rPr>
            </w:pPr>
            <w:r>
              <w:rPr>
                <w:b/>
              </w:rPr>
              <w:t>Yes/No</w:t>
            </w:r>
          </w:p>
        </w:tc>
        <w:tc>
          <w:tcPr>
            <w:tcW w:w="7621" w:type="dxa"/>
          </w:tcPr>
          <w:p w14:paraId="7D2BEADC" w14:textId="77777777" w:rsidR="00DA26C5" w:rsidRDefault="00977A79">
            <w:pPr>
              <w:jc w:val="center"/>
              <w:rPr>
                <w:b/>
              </w:rPr>
            </w:pPr>
            <w:r>
              <w:rPr>
                <w:b/>
              </w:rPr>
              <w:t>Justification / comments</w:t>
            </w:r>
          </w:p>
        </w:tc>
      </w:tr>
      <w:tr w:rsidR="00DA26C5" w14:paraId="0DCDFCA2" w14:textId="77777777" w:rsidTr="002132D7">
        <w:tc>
          <w:tcPr>
            <w:tcW w:w="949" w:type="dxa"/>
          </w:tcPr>
          <w:p w14:paraId="1513E358" w14:textId="77777777" w:rsidR="00DA26C5" w:rsidRDefault="00977A79">
            <w:r>
              <w:t>Qualcomm</w:t>
            </w:r>
          </w:p>
        </w:tc>
        <w:tc>
          <w:tcPr>
            <w:tcW w:w="736" w:type="dxa"/>
          </w:tcPr>
          <w:p w14:paraId="370572F2" w14:textId="77777777" w:rsidR="00DA26C5" w:rsidRDefault="00977A79">
            <w:r>
              <w:t>Yes</w:t>
            </w:r>
          </w:p>
        </w:tc>
        <w:tc>
          <w:tcPr>
            <w:tcW w:w="7621" w:type="dxa"/>
          </w:tcPr>
          <w:p w14:paraId="67178ECB" w14:textId="77777777" w:rsidR="00DA26C5" w:rsidRDefault="00DA26C5"/>
        </w:tc>
      </w:tr>
      <w:tr w:rsidR="00DA26C5" w14:paraId="7190EFE2" w14:textId="77777777" w:rsidTr="002132D7">
        <w:tc>
          <w:tcPr>
            <w:tcW w:w="949" w:type="dxa"/>
          </w:tcPr>
          <w:p w14:paraId="32618222" w14:textId="77777777" w:rsidR="00DA26C5" w:rsidRDefault="00977A79">
            <w:r>
              <w:t>MediaTek</w:t>
            </w:r>
          </w:p>
        </w:tc>
        <w:tc>
          <w:tcPr>
            <w:tcW w:w="736" w:type="dxa"/>
          </w:tcPr>
          <w:p w14:paraId="61CA1D6E" w14:textId="77777777" w:rsidR="00DA26C5" w:rsidRDefault="00977A79">
            <w:pPr>
              <w:rPr>
                <w:lang w:eastAsia="zh-CN"/>
              </w:rPr>
            </w:pPr>
            <w:r>
              <w:rPr>
                <w:rFonts w:hint="eastAsia"/>
                <w:lang w:eastAsia="zh-CN"/>
              </w:rPr>
              <w:t>Y</w:t>
            </w:r>
            <w:r>
              <w:rPr>
                <w:lang w:eastAsia="zh-CN"/>
              </w:rPr>
              <w:t>es</w:t>
            </w:r>
          </w:p>
        </w:tc>
        <w:tc>
          <w:tcPr>
            <w:tcW w:w="7621" w:type="dxa"/>
          </w:tcPr>
          <w:p w14:paraId="21D7DEF4" w14:textId="77777777" w:rsidR="00DA26C5" w:rsidRDefault="00DA26C5"/>
        </w:tc>
      </w:tr>
      <w:tr w:rsidR="00DA26C5" w14:paraId="353CB4A5" w14:textId="77777777" w:rsidTr="002132D7">
        <w:tc>
          <w:tcPr>
            <w:tcW w:w="949" w:type="dxa"/>
          </w:tcPr>
          <w:p w14:paraId="604FA89C" w14:textId="77777777" w:rsidR="00DA26C5" w:rsidRDefault="00977A79">
            <w:r>
              <w:t>Samsung</w:t>
            </w:r>
          </w:p>
        </w:tc>
        <w:tc>
          <w:tcPr>
            <w:tcW w:w="736" w:type="dxa"/>
          </w:tcPr>
          <w:p w14:paraId="6B045E15" w14:textId="77777777" w:rsidR="00DA26C5" w:rsidRDefault="00977A79">
            <w:r>
              <w:t>Yes</w:t>
            </w:r>
          </w:p>
        </w:tc>
        <w:tc>
          <w:tcPr>
            <w:tcW w:w="7621" w:type="dxa"/>
          </w:tcPr>
          <w:p w14:paraId="219A3DAC" w14:textId="77777777" w:rsidR="00DA26C5" w:rsidRDefault="00DA26C5"/>
        </w:tc>
      </w:tr>
      <w:tr w:rsidR="00DA26C5" w14:paraId="026FBE91" w14:textId="77777777" w:rsidTr="002132D7">
        <w:tc>
          <w:tcPr>
            <w:tcW w:w="949" w:type="dxa"/>
          </w:tcPr>
          <w:p w14:paraId="74EAEA84" w14:textId="77777777" w:rsidR="00DA26C5" w:rsidRDefault="00977A79">
            <w:r>
              <w:rPr>
                <w:rFonts w:hint="eastAsia"/>
                <w:lang w:eastAsia="zh-CN"/>
              </w:rPr>
              <w:t>CATT</w:t>
            </w:r>
          </w:p>
        </w:tc>
        <w:tc>
          <w:tcPr>
            <w:tcW w:w="736" w:type="dxa"/>
          </w:tcPr>
          <w:p w14:paraId="7333BC37" w14:textId="77777777" w:rsidR="00DA26C5" w:rsidRDefault="00977A79">
            <w:r>
              <w:rPr>
                <w:rFonts w:hint="eastAsia"/>
                <w:lang w:eastAsia="zh-CN"/>
              </w:rPr>
              <w:t>Yes</w:t>
            </w:r>
          </w:p>
        </w:tc>
        <w:tc>
          <w:tcPr>
            <w:tcW w:w="7621"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2132D7">
        <w:tc>
          <w:tcPr>
            <w:tcW w:w="949" w:type="dxa"/>
          </w:tcPr>
          <w:p w14:paraId="13EE726E" w14:textId="77777777" w:rsidR="00DA26C5" w:rsidRDefault="00977A79">
            <w:pPr>
              <w:rPr>
                <w:lang w:val="en-US" w:eastAsia="zh-CN"/>
              </w:rPr>
            </w:pPr>
            <w:r>
              <w:rPr>
                <w:rFonts w:hint="eastAsia"/>
                <w:lang w:val="en-US" w:eastAsia="zh-CN"/>
              </w:rPr>
              <w:t>ZTE</w:t>
            </w:r>
          </w:p>
        </w:tc>
        <w:tc>
          <w:tcPr>
            <w:tcW w:w="736" w:type="dxa"/>
          </w:tcPr>
          <w:p w14:paraId="3DA8B0D1" w14:textId="77777777" w:rsidR="00DA26C5" w:rsidRDefault="00977A79">
            <w:pPr>
              <w:rPr>
                <w:lang w:val="en-US" w:eastAsia="zh-CN"/>
              </w:rPr>
            </w:pPr>
            <w:r>
              <w:rPr>
                <w:rFonts w:hint="eastAsia"/>
                <w:lang w:val="en-US" w:eastAsia="zh-CN"/>
              </w:rPr>
              <w:t>Yes</w:t>
            </w:r>
          </w:p>
        </w:tc>
        <w:tc>
          <w:tcPr>
            <w:tcW w:w="7621" w:type="dxa"/>
          </w:tcPr>
          <w:p w14:paraId="0B941E04" w14:textId="77777777" w:rsidR="00DA26C5" w:rsidRDefault="00DA26C5">
            <w:pPr>
              <w:rPr>
                <w:lang w:eastAsia="zh-CN"/>
              </w:rPr>
            </w:pPr>
          </w:p>
        </w:tc>
      </w:tr>
      <w:tr w:rsidR="00AF761C" w14:paraId="2D1B8305" w14:textId="77777777" w:rsidTr="002132D7">
        <w:tc>
          <w:tcPr>
            <w:tcW w:w="949"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736" w:type="dxa"/>
          </w:tcPr>
          <w:p w14:paraId="3B404C83" w14:textId="77777777" w:rsidR="00AF761C" w:rsidRDefault="00310B9E">
            <w:pPr>
              <w:rPr>
                <w:lang w:val="en-US" w:eastAsia="zh-CN"/>
              </w:rPr>
            </w:pPr>
            <w:r>
              <w:rPr>
                <w:rFonts w:hint="eastAsia"/>
                <w:lang w:val="en-US" w:eastAsia="zh-CN"/>
              </w:rPr>
              <w:t>No</w:t>
            </w:r>
          </w:p>
        </w:tc>
        <w:tc>
          <w:tcPr>
            <w:tcW w:w="7621" w:type="dxa"/>
          </w:tcPr>
          <w:p w14:paraId="2CC412C9" w14:textId="77777777" w:rsidR="00AF761C" w:rsidRDefault="00310B9E">
            <w:pPr>
              <w:rPr>
                <w:lang w:eastAsia="zh-CN"/>
              </w:rPr>
            </w:pPr>
            <w:r>
              <w:rPr>
                <w:lang w:eastAsia="zh-CN"/>
              </w:rPr>
              <w:t xml:space="preserve">In current 38331CR, the MBS id is delivered to NAS layer no matter the RRC state is RRC_IDLE or RRC_INACTIVE. </w:t>
            </w:r>
            <w:proofErr w:type="gramStart"/>
            <w:r>
              <w:rPr>
                <w:lang w:eastAsia="zh-CN"/>
              </w:rPr>
              <w:t>So</w:t>
            </w:r>
            <w:proofErr w:type="gramEnd"/>
            <w:r>
              <w:rPr>
                <w:lang w:eastAsia="zh-CN"/>
              </w:rPr>
              <w:t xml:space="preserve">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zh-CN"/>
              </w:rPr>
              <w:drawing>
                <wp:inline distT="0" distB="0" distL="0" distR="0" wp14:anchorId="695B7F32" wp14:editId="762B88C9">
                  <wp:extent cx="6120765" cy="2681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681605"/>
                          </a:xfrm>
                          <a:prstGeom prst="rect">
                            <a:avLst/>
                          </a:prstGeom>
                        </pic:spPr>
                      </pic:pic>
                    </a:graphicData>
                  </a:graphic>
                </wp:inline>
              </w:drawing>
            </w:r>
          </w:p>
        </w:tc>
      </w:tr>
      <w:tr w:rsidR="00EF09E3" w14:paraId="60F176C5" w14:textId="77777777" w:rsidTr="002132D7">
        <w:tc>
          <w:tcPr>
            <w:tcW w:w="949" w:type="dxa"/>
          </w:tcPr>
          <w:p w14:paraId="20A44C88" w14:textId="77777777" w:rsidR="00EF09E3" w:rsidRDefault="00EF09E3" w:rsidP="00012CEB">
            <w:pPr>
              <w:rPr>
                <w:lang w:val="en-US" w:eastAsia="zh-CN"/>
              </w:rPr>
            </w:pPr>
            <w:r>
              <w:rPr>
                <w:lang w:val="en-US" w:eastAsia="zh-CN"/>
              </w:rPr>
              <w:t>Apple</w:t>
            </w:r>
          </w:p>
        </w:tc>
        <w:tc>
          <w:tcPr>
            <w:tcW w:w="736" w:type="dxa"/>
          </w:tcPr>
          <w:p w14:paraId="5A18CD5A" w14:textId="77777777" w:rsidR="00EF09E3" w:rsidRDefault="00EF09E3" w:rsidP="00012CEB">
            <w:pPr>
              <w:rPr>
                <w:lang w:val="en-US" w:eastAsia="zh-CN"/>
              </w:rPr>
            </w:pPr>
            <w:r>
              <w:rPr>
                <w:lang w:val="en-US" w:eastAsia="zh-CN"/>
              </w:rPr>
              <w:t>No</w:t>
            </w:r>
          </w:p>
        </w:tc>
        <w:tc>
          <w:tcPr>
            <w:tcW w:w="7621" w:type="dxa"/>
          </w:tcPr>
          <w:p w14:paraId="048AEEA2" w14:textId="77777777" w:rsidR="00EF09E3" w:rsidRDefault="00EF09E3" w:rsidP="00012CEB">
            <w:pPr>
              <w:rPr>
                <w:lang w:eastAsia="zh-CN"/>
              </w:rPr>
            </w:pPr>
          </w:p>
        </w:tc>
      </w:tr>
      <w:tr w:rsidR="00C538B1" w14:paraId="57F0CDE2" w14:textId="77777777" w:rsidTr="002132D7">
        <w:tc>
          <w:tcPr>
            <w:tcW w:w="949" w:type="dxa"/>
          </w:tcPr>
          <w:p w14:paraId="32446839" w14:textId="6B14085E" w:rsidR="00C538B1" w:rsidRDefault="00C538B1" w:rsidP="00012CEB">
            <w:pPr>
              <w:rPr>
                <w:lang w:val="en-US" w:eastAsia="zh-CN"/>
              </w:rPr>
            </w:pPr>
            <w:r>
              <w:rPr>
                <w:lang w:val="en-US" w:eastAsia="zh-CN"/>
              </w:rPr>
              <w:t>Xiaomi</w:t>
            </w:r>
          </w:p>
        </w:tc>
        <w:tc>
          <w:tcPr>
            <w:tcW w:w="736" w:type="dxa"/>
          </w:tcPr>
          <w:p w14:paraId="055F2236" w14:textId="77777777" w:rsidR="00C538B1" w:rsidRDefault="00C538B1" w:rsidP="00012CEB">
            <w:pPr>
              <w:rPr>
                <w:lang w:val="en-US" w:eastAsia="zh-CN"/>
              </w:rPr>
            </w:pPr>
          </w:p>
        </w:tc>
        <w:tc>
          <w:tcPr>
            <w:tcW w:w="7621"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2132D7">
        <w:tc>
          <w:tcPr>
            <w:tcW w:w="949" w:type="dxa"/>
          </w:tcPr>
          <w:p w14:paraId="2286A09B" w14:textId="77777777" w:rsidR="00F84413" w:rsidRPr="007B70F8" w:rsidRDefault="00F84413" w:rsidP="00012CEB">
            <w:r>
              <w:t>Nokia</w:t>
            </w:r>
          </w:p>
        </w:tc>
        <w:tc>
          <w:tcPr>
            <w:tcW w:w="736" w:type="dxa"/>
          </w:tcPr>
          <w:p w14:paraId="21CC10C9" w14:textId="77777777" w:rsidR="00F84413" w:rsidRPr="007B70F8" w:rsidRDefault="00F84413" w:rsidP="00012CEB">
            <w:r>
              <w:t>No</w:t>
            </w:r>
          </w:p>
        </w:tc>
        <w:tc>
          <w:tcPr>
            <w:tcW w:w="7621" w:type="dxa"/>
          </w:tcPr>
          <w:p w14:paraId="2CACA485" w14:textId="77777777" w:rsidR="00F84413" w:rsidRPr="007B70F8" w:rsidRDefault="00F84413" w:rsidP="00012CEB">
            <w:r>
              <w:t>If the reason for access is something else than priority access reason there is no need to utilize those access causes.</w:t>
            </w:r>
          </w:p>
        </w:tc>
      </w:tr>
      <w:tr w:rsidR="00F37D43" w:rsidRPr="007B70F8" w14:paraId="5BB468E8" w14:textId="77777777" w:rsidTr="002132D7">
        <w:tc>
          <w:tcPr>
            <w:tcW w:w="949"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736"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621" w:type="dxa"/>
          </w:tcPr>
          <w:p w14:paraId="584149AD" w14:textId="77777777" w:rsidR="00F37D43" w:rsidRDefault="00F37D43" w:rsidP="00F37D43"/>
        </w:tc>
      </w:tr>
      <w:tr w:rsidR="002132D7" w:rsidRPr="007B70F8" w14:paraId="1233C198" w14:textId="77777777" w:rsidTr="002132D7">
        <w:tc>
          <w:tcPr>
            <w:tcW w:w="949" w:type="dxa"/>
          </w:tcPr>
          <w:p w14:paraId="059D6F1B" w14:textId="692D96A4" w:rsidR="002132D7" w:rsidRDefault="002132D7" w:rsidP="002132D7">
            <w:pPr>
              <w:rPr>
                <w:rFonts w:eastAsia="MS Mincho" w:hint="eastAsia"/>
                <w:lang w:eastAsia="ja-JP"/>
              </w:rPr>
            </w:pPr>
            <w:r>
              <w:rPr>
                <w:rFonts w:eastAsia="MS Mincho"/>
                <w:lang w:eastAsia="ja-JP"/>
              </w:rPr>
              <w:t>Ericsson</w:t>
            </w:r>
          </w:p>
        </w:tc>
        <w:tc>
          <w:tcPr>
            <w:tcW w:w="736" w:type="dxa"/>
          </w:tcPr>
          <w:p w14:paraId="03BC070D" w14:textId="14F8FA68" w:rsidR="002132D7" w:rsidRDefault="002132D7" w:rsidP="002132D7">
            <w:pPr>
              <w:rPr>
                <w:rFonts w:eastAsia="MS Mincho" w:hint="eastAsia"/>
                <w:lang w:eastAsia="ja-JP"/>
              </w:rPr>
            </w:pPr>
            <w:r>
              <w:rPr>
                <w:rFonts w:eastAsia="MS Mincho"/>
                <w:lang w:eastAsia="ja-JP"/>
              </w:rPr>
              <w:t>No</w:t>
            </w:r>
          </w:p>
        </w:tc>
        <w:tc>
          <w:tcPr>
            <w:tcW w:w="7621" w:type="dxa"/>
          </w:tcPr>
          <w:p w14:paraId="5F671F97" w14:textId="77777777" w:rsidR="002132D7" w:rsidRDefault="002132D7" w:rsidP="002132D7"/>
        </w:tc>
      </w:tr>
      <w:tr w:rsidR="002132D7" w:rsidRPr="007B70F8" w14:paraId="5FC09ACD" w14:textId="77777777" w:rsidTr="002132D7">
        <w:tc>
          <w:tcPr>
            <w:tcW w:w="949" w:type="dxa"/>
          </w:tcPr>
          <w:p w14:paraId="3ECCCFDA" w14:textId="0A7D5DB4" w:rsidR="002132D7" w:rsidRPr="002132D7" w:rsidRDefault="002132D7" w:rsidP="002132D7">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36" w:type="dxa"/>
          </w:tcPr>
          <w:p w14:paraId="524EC05A" w14:textId="52D21713" w:rsidR="002132D7" w:rsidRPr="00FF4371" w:rsidRDefault="00FF4371" w:rsidP="002132D7">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621" w:type="dxa"/>
          </w:tcPr>
          <w:p w14:paraId="32361496" w14:textId="29274D63" w:rsidR="002132D7" w:rsidRDefault="00E62660" w:rsidP="002132D7">
            <w:pPr>
              <w:rPr>
                <w:rFonts w:hint="eastAsia"/>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2132D7" w:rsidRPr="007B70F8" w14:paraId="2585E095" w14:textId="77777777" w:rsidTr="002132D7">
        <w:tc>
          <w:tcPr>
            <w:tcW w:w="949" w:type="dxa"/>
          </w:tcPr>
          <w:p w14:paraId="51BC6203" w14:textId="77777777" w:rsidR="002132D7" w:rsidRDefault="002132D7" w:rsidP="002132D7">
            <w:pPr>
              <w:rPr>
                <w:rFonts w:eastAsia="MS Mincho"/>
                <w:lang w:eastAsia="ja-JP"/>
              </w:rPr>
            </w:pPr>
          </w:p>
        </w:tc>
        <w:tc>
          <w:tcPr>
            <w:tcW w:w="736" w:type="dxa"/>
          </w:tcPr>
          <w:p w14:paraId="4308DB64" w14:textId="77777777" w:rsidR="002132D7" w:rsidRDefault="002132D7" w:rsidP="002132D7">
            <w:pPr>
              <w:rPr>
                <w:rFonts w:eastAsia="MS Mincho"/>
                <w:lang w:eastAsia="ja-JP"/>
              </w:rPr>
            </w:pPr>
          </w:p>
        </w:tc>
        <w:tc>
          <w:tcPr>
            <w:tcW w:w="7621" w:type="dxa"/>
          </w:tcPr>
          <w:p w14:paraId="45D55E0D" w14:textId="77777777" w:rsidR="002132D7" w:rsidRDefault="002132D7" w:rsidP="002132D7"/>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lastRenderedPageBreak/>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af5"/>
        <w:tblW w:w="0" w:type="auto"/>
        <w:tblInd w:w="5" w:type="dxa"/>
        <w:tblLook w:val="04A0" w:firstRow="1" w:lastRow="0" w:firstColumn="1" w:lastColumn="0" w:noHBand="0" w:noVBand="1"/>
      </w:tblPr>
      <w:tblGrid>
        <w:gridCol w:w="2313"/>
        <w:gridCol w:w="899"/>
        <w:gridCol w:w="6412"/>
      </w:tblGrid>
      <w:tr w:rsidR="00DA26C5" w14:paraId="5122EDAE" w14:textId="77777777" w:rsidTr="002D3B24">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2D3B24">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2D3B24">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2D3B24">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2D3B24">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2D3B24">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2D3B24">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2D3B24">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2D3B24">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2D3B24">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2D3B24">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2D3B24">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2D3B24">
        <w:tc>
          <w:tcPr>
            <w:tcW w:w="2313" w:type="dxa"/>
          </w:tcPr>
          <w:p w14:paraId="0E536D36" w14:textId="2F41A1F0" w:rsidR="00866C3B" w:rsidRPr="00866C3B" w:rsidRDefault="00866C3B" w:rsidP="00012CE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866C3B" w14:paraId="01EF1234" w14:textId="77777777" w:rsidTr="002D3B24">
        <w:tc>
          <w:tcPr>
            <w:tcW w:w="2313" w:type="dxa"/>
          </w:tcPr>
          <w:p w14:paraId="255363C2" w14:textId="77777777" w:rsidR="00866C3B" w:rsidRDefault="00866C3B" w:rsidP="00012CEB">
            <w:pPr>
              <w:rPr>
                <w:rFonts w:eastAsia="MS Mincho"/>
                <w:lang w:eastAsia="ja-JP"/>
              </w:rPr>
            </w:pPr>
          </w:p>
        </w:tc>
        <w:tc>
          <w:tcPr>
            <w:tcW w:w="899" w:type="dxa"/>
          </w:tcPr>
          <w:p w14:paraId="0B26D30F" w14:textId="77777777" w:rsidR="00866C3B" w:rsidRDefault="00866C3B" w:rsidP="00012CEB">
            <w:pPr>
              <w:rPr>
                <w:rFonts w:eastAsia="MS Mincho"/>
                <w:lang w:eastAsia="ja-JP"/>
              </w:rPr>
            </w:pPr>
          </w:p>
        </w:tc>
        <w:tc>
          <w:tcPr>
            <w:tcW w:w="6412" w:type="dxa"/>
          </w:tcPr>
          <w:p w14:paraId="6B7BA829" w14:textId="77777777" w:rsidR="00866C3B" w:rsidRDefault="00866C3B" w:rsidP="00012CEB">
            <w:pPr>
              <w:rPr>
                <w:lang w:val="en-US" w:eastAsia="zh-CN"/>
              </w:rPr>
            </w:pPr>
          </w:p>
        </w:tc>
      </w:tr>
    </w:tbl>
    <w:p w14:paraId="4A6FF066" w14:textId="77777777" w:rsidR="00DA26C5" w:rsidRDefault="00DA26C5">
      <w:pPr>
        <w:rPr>
          <w:lang w:eastAsia="zh-CN"/>
        </w:rPr>
      </w:pPr>
    </w:p>
    <w:p w14:paraId="43665332" w14:textId="77777777" w:rsidR="00DA26C5" w:rsidRDefault="00977A79">
      <w:pPr>
        <w:pStyle w:val="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af5"/>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w:t>
            </w:r>
            <w:r>
              <w:rPr>
                <w:lang w:eastAsia="zh-CN"/>
              </w:rPr>
              <w:lastRenderedPageBreak/>
              <w:t xml:space="preserve">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lastRenderedPageBreak/>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 xml:space="preserve">Maximum number of </w:t>
            </w:r>
            <w:proofErr w:type="gramStart"/>
            <w:r>
              <w:rPr>
                <w:lang w:eastAsia="zh-CN"/>
              </w:rPr>
              <w:t>broadcast</w:t>
            </w:r>
            <w:proofErr w:type="gramEnd"/>
            <w:r>
              <w:rPr>
                <w:lang w:eastAsia="zh-CN"/>
              </w:rPr>
              <w:t xml:space="preserve">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 xml:space="preserve">Maximum number of </w:t>
            </w:r>
            <w:proofErr w:type="gramStart"/>
            <w:r>
              <w:rPr>
                <w:lang w:eastAsia="zh-CN"/>
              </w:rPr>
              <w:t>multicast</w:t>
            </w:r>
            <w:proofErr w:type="gramEnd"/>
            <w:r>
              <w:rPr>
                <w:lang w:eastAsia="zh-CN"/>
              </w:rPr>
              <w:t xml:space="preserve">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af5"/>
        <w:tblW w:w="0" w:type="auto"/>
        <w:tblInd w:w="5" w:type="dxa"/>
        <w:tblLook w:val="04A0" w:firstRow="1" w:lastRow="0" w:firstColumn="1" w:lastColumn="0" w:noHBand="0" w:noVBand="1"/>
      </w:tblPr>
      <w:tblGrid>
        <w:gridCol w:w="2311"/>
        <w:gridCol w:w="899"/>
        <w:gridCol w:w="6414"/>
      </w:tblGrid>
      <w:tr w:rsidR="00DA26C5" w14:paraId="75B8E70B" w14:textId="77777777" w:rsidTr="0018183B">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18183B">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maxNrofMBS-ServiceListPerUE-r17 and different frequencies can be used for different services.                              </w:t>
            </w:r>
          </w:p>
        </w:tc>
      </w:tr>
      <w:tr w:rsidR="00DA26C5" w14:paraId="7FC8FA2C" w14:textId="77777777" w:rsidTr="0018183B">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18183B">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18183B">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18183B">
        <w:tc>
          <w:tcPr>
            <w:tcW w:w="2311" w:type="dxa"/>
          </w:tcPr>
          <w:p w14:paraId="6713A8C6" w14:textId="77777777" w:rsidR="00AF761C" w:rsidRDefault="00AF761C">
            <w:pPr>
              <w:rPr>
                <w:lang w:eastAsia="zh-CN"/>
              </w:rPr>
            </w:pPr>
            <w:r>
              <w:rPr>
                <w:rFonts w:hint="eastAsia"/>
                <w:lang w:eastAsia="zh-CN"/>
              </w:rPr>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 xml:space="preserve">I wonder the maximal number of </w:t>
            </w:r>
            <w:proofErr w:type="gramStart"/>
            <w:r>
              <w:rPr>
                <w:lang w:eastAsia="zh-CN"/>
              </w:rPr>
              <w:t>configuration</w:t>
            </w:r>
            <w:proofErr w:type="gramEnd"/>
            <w:r>
              <w:rPr>
                <w:lang w:eastAsia="zh-CN"/>
              </w:rPr>
              <w:t xml:space="preserve"> is decided by RAN1 or RAN2?</w:t>
            </w:r>
          </w:p>
        </w:tc>
      </w:tr>
      <w:tr w:rsidR="00CC7F4A" w14:paraId="6EB3D8B3" w14:textId="77777777" w:rsidTr="0018183B">
        <w:tc>
          <w:tcPr>
            <w:tcW w:w="2311" w:type="dxa"/>
          </w:tcPr>
          <w:p w14:paraId="453283E6" w14:textId="77777777" w:rsidR="00CC7F4A" w:rsidRDefault="00CC7F4A" w:rsidP="00012CEB">
            <w:pPr>
              <w:rPr>
                <w:lang w:eastAsia="zh-CN"/>
              </w:rPr>
            </w:pPr>
            <w:r>
              <w:rPr>
                <w:lang w:eastAsia="zh-CN"/>
              </w:rPr>
              <w:lastRenderedPageBreak/>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18183B">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18183B">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a9"/>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18183B">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a9"/>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18183B">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18183B">
        <w:tc>
          <w:tcPr>
            <w:tcW w:w="2311" w:type="dxa"/>
          </w:tcPr>
          <w:p w14:paraId="18F20DC5" w14:textId="26D09187" w:rsidR="001A35CD" w:rsidRPr="001A35CD" w:rsidRDefault="001A35CD" w:rsidP="00012CE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18183B">
        <w:tc>
          <w:tcPr>
            <w:tcW w:w="2311" w:type="dxa"/>
          </w:tcPr>
          <w:p w14:paraId="639B226C" w14:textId="77777777" w:rsidR="001A35CD" w:rsidRDefault="001A35CD" w:rsidP="00012CEB">
            <w:pPr>
              <w:rPr>
                <w:rFonts w:eastAsia="MS Mincho"/>
                <w:lang w:eastAsia="ja-JP"/>
              </w:rPr>
            </w:pPr>
          </w:p>
        </w:tc>
        <w:tc>
          <w:tcPr>
            <w:tcW w:w="899" w:type="dxa"/>
          </w:tcPr>
          <w:p w14:paraId="51847FD8" w14:textId="77777777" w:rsidR="001A35CD" w:rsidRDefault="001A35CD" w:rsidP="00012CEB">
            <w:pPr>
              <w:rPr>
                <w:rFonts w:eastAsia="MS Mincho"/>
                <w:lang w:eastAsia="ja-JP"/>
              </w:rPr>
            </w:pPr>
          </w:p>
        </w:tc>
        <w:tc>
          <w:tcPr>
            <w:tcW w:w="6414" w:type="dxa"/>
          </w:tcPr>
          <w:p w14:paraId="63296FE9" w14:textId="77777777" w:rsidR="001A35CD" w:rsidRDefault="001A35CD" w:rsidP="00012CEB">
            <w:pPr>
              <w:rPr>
                <w:lang w:val="en-US" w:eastAsia="zh-CN"/>
              </w:rPr>
            </w:pPr>
          </w:p>
        </w:tc>
      </w:tr>
    </w:tbl>
    <w:p w14:paraId="56E602F4" w14:textId="77777777" w:rsidR="00DA26C5" w:rsidRDefault="00DA26C5">
      <w:pPr>
        <w:rPr>
          <w:lang w:eastAsia="zh-CN"/>
        </w:rPr>
      </w:pPr>
    </w:p>
    <w:p w14:paraId="510C3005" w14:textId="77777777" w:rsidR="00DA26C5" w:rsidRDefault="00977A79">
      <w:pPr>
        <w:pStyle w:val="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afa"/>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afa"/>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As long as the 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af5"/>
        <w:tblW w:w="0" w:type="auto"/>
        <w:tblInd w:w="5" w:type="dxa"/>
        <w:tblLook w:val="04A0" w:firstRow="1" w:lastRow="0" w:firstColumn="1" w:lastColumn="0" w:noHBand="0" w:noVBand="1"/>
      </w:tblPr>
      <w:tblGrid>
        <w:gridCol w:w="2312"/>
        <w:gridCol w:w="899"/>
        <w:gridCol w:w="6413"/>
      </w:tblGrid>
      <w:tr w:rsidR="00DA26C5" w14:paraId="28B76104" w14:textId="77777777" w:rsidTr="00F84413">
        <w:tc>
          <w:tcPr>
            <w:tcW w:w="2312" w:type="dxa"/>
          </w:tcPr>
          <w:p w14:paraId="571F26A7" w14:textId="77777777" w:rsidR="00DA26C5" w:rsidRDefault="00977A79">
            <w:pPr>
              <w:jc w:val="center"/>
              <w:rPr>
                <w:b/>
              </w:rPr>
            </w:pPr>
            <w:r>
              <w:rPr>
                <w:b/>
              </w:rPr>
              <w:t>Company</w:t>
            </w:r>
          </w:p>
        </w:tc>
        <w:tc>
          <w:tcPr>
            <w:tcW w:w="899" w:type="dxa"/>
          </w:tcPr>
          <w:p w14:paraId="611ABACB" w14:textId="77777777" w:rsidR="00DA26C5" w:rsidRDefault="00977A79">
            <w:pPr>
              <w:jc w:val="center"/>
              <w:rPr>
                <w:b/>
              </w:rPr>
            </w:pPr>
            <w:r>
              <w:rPr>
                <w:b/>
              </w:rPr>
              <w:t>Yes/No</w:t>
            </w:r>
          </w:p>
        </w:tc>
        <w:tc>
          <w:tcPr>
            <w:tcW w:w="6413" w:type="dxa"/>
          </w:tcPr>
          <w:p w14:paraId="597CEDB0" w14:textId="77777777" w:rsidR="00DA26C5" w:rsidRDefault="00977A79">
            <w:pPr>
              <w:jc w:val="center"/>
              <w:rPr>
                <w:b/>
              </w:rPr>
            </w:pPr>
            <w:r>
              <w:rPr>
                <w:b/>
              </w:rPr>
              <w:t>Justification / comments</w:t>
            </w:r>
          </w:p>
        </w:tc>
      </w:tr>
      <w:tr w:rsidR="00DA26C5" w14:paraId="700CCC45" w14:textId="77777777" w:rsidTr="00F84413">
        <w:tc>
          <w:tcPr>
            <w:tcW w:w="2312" w:type="dxa"/>
          </w:tcPr>
          <w:p w14:paraId="1E119565" w14:textId="77777777" w:rsidR="00DA26C5" w:rsidRDefault="00977A79">
            <w:r>
              <w:t>Qualcomm</w:t>
            </w:r>
          </w:p>
        </w:tc>
        <w:tc>
          <w:tcPr>
            <w:tcW w:w="899" w:type="dxa"/>
          </w:tcPr>
          <w:p w14:paraId="239D0D59" w14:textId="77777777" w:rsidR="00DA26C5" w:rsidRDefault="00977A79">
            <w:r>
              <w:t>Yes but</w:t>
            </w:r>
          </w:p>
        </w:tc>
        <w:tc>
          <w:tcPr>
            <w:tcW w:w="6413"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F84413">
        <w:tc>
          <w:tcPr>
            <w:tcW w:w="2312" w:type="dxa"/>
          </w:tcPr>
          <w:p w14:paraId="36056376" w14:textId="77777777" w:rsidR="00DA26C5" w:rsidRDefault="00977A79">
            <w:r>
              <w:t>MediaTek</w:t>
            </w:r>
          </w:p>
        </w:tc>
        <w:tc>
          <w:tcPr>
            <w:tcW w:w="899" w:type="dxa"/>
          </w:tcPr>
          <w:p w14:paraId="07C56B08" w14:textId="77777777" w:rsidR="00DA26C5" w:rsidRDefault="00977A79">
            <w:r>
              <w:rPr>
                <w:rFonts w:hint="eastAsia"/>
                <w:lang w:eastAsia="zh-CN"/>
              </w:rPr>
              <w:t>Y</w:t>
            </w:r>
            <w:r>
              <w:rPr>
                <w:lang w:eastAsia="zh-CN"/>
              </w:rPr>
              <w:t>es</w:t>
            </w:r>
          </w:p>
        </w:tc>
        <w:tc>
          <w:tcPr>
            <w:tcW w:w="6413" w:type="dxa"/>
          </w:tcPr>
          <w:p w14:paraId="3BA7B81F" w14:textId="77777777" w:rsidR="00DA26C5" w:rsidRDefault="00DA26C5"/>
        </w:tc>
      </w:tr>
      <w:tr w:rsidR="00DA26C5" w14:paraId="488C4629" w14:textId="77777777" w:rsidTr="00F84413">
        <w:tc>
          <w:tcPr>
            <w:tcW w:w="2312" w:type="dxa"/>
          </w:tcPr>
          <w:p w14:paraId="78B6AA2B" w14:textId="77777777" w:rsidR="00DA26C5" w:rsidRDefault="00977A79">
            <w:r>
              <w:t>Samsung</w:t>
            </w:r>
          </w:p>
        </w:tc>
        <w:tc>
          <w:tcPr>
            <w:tcW w:w="899" w:type="dxa"/>
          </w:tcPr>
          <w:p w14:paraId="12AB32A1" w14:textId="77777777" w:rsidR="00DA26C5" w:rsidRDefault="00977A79">
            <w:r>
              <w:t>Yes</w:t>
            </w:r>
          </w:p>
        </w:tc>
        <w:tc>
          <w:tcPr>
            <w:tcW w:w="6413" w:type="dxa"/>
          </w:tcPr>
          <w:p w14:paraId="4CC1F978" w14:textId="77777777" w:rsidR="00DA26C5" w:rsidRDefault="00977A79">
            <w:r>
              <w:t>We are ok to support PTM only to AM MRB lossless handover</w:t>
            </w:r>
          </w:p>
        </w:tc>
      </w:tr>
      <w:tr w:rsidR="00DA26C5" w14:paraId="405FC849" w14:textId="77777777" w:rsidTr="00F84413">
        <w:tc>
          <w:tcPr>
            <w:tcW w:w="2312" w:type="dxa"/>
          </w:tcPr>
          <w:p w14:paraId="486C7D5E" w14:textId="77777777" w:rsidR="00DA26C5" w:rsidRDefault="00977A79">
            <w:r>
              <w:rPr>
                <w:rFonts w:hint="eastAsia"/>
                <w:lang w:eastAsia="zh-CN"/>
              </w:rPr>
              <w:t>CATT</w:t>
            </w:r>
          </w:p>
        </w:tc>
        <w:tc>
          <w:tcPr>
            <w:tcW w:w="899" w:type="dxa"/>
          </w:tcPr>
          <w:p w14:paraId="05125D43" w14:textId="77777777" w:rsidR="00DA26C5" w:rsidRDefault="00977A79">
            <w:r>
              <w:rPr>
                <w:rFonts w:hint="eastAsia"/>
                <w:lang w:eastAsia="zh-CN"/>
              </w:rPr>
              <w:t>Yes</w:t>
            </w:r>
          </w:p>
        </w:tc>
        <w:tc>
          <w:tcPr>
            <w:tcW w:w="6413"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F84413">
        <w:tc>
          <w:tcPr>
            <w:tcW w:w="2312" w:type="dxa"/>
          </w:tcPr>
          <w:p w14:paraId="35937C1A" w14:textId="77777777" w:rsidR="00DA26C5" w:rsidRDefault="00977A79">
            <w:pPr>
              <w:rPr>
                <w:lang w:val="en-US" w:eastAsia="zh-CN"/>
              </w:rPr>
            </w:pPr>
            <w:r>
              <w:rPr>
                <w:rFonts w:hint="eastAsia"/>
                <w:lang w:val="en-US" w:eastAsia="zh-CN"/>
              </w:rPr>
              <w:lastRenderedPageBreak/>
              <w:t>ZTE</w:t>
            </w:r>
          </w:p>
        </w:tc>
        <w:tc>
          <w:tcPr>
            <w:tcW w:w="899" w:type="dxa"/>
          </w:tcPr>
          <w:p w14:paraId="760CB447" w14:textId="77777777" w:rsidR="00DA26C5" w:rsidRDefault="00977A79">
            <w:pPr>
              <w:rPr>
                <w:lang w:val="en-US" w:eastAsia="zh-CN"/>
              </w:rPr>
            </w:pPr>
            <w:r>
              <w:rPr>
                <w:rFonts w:hint="eastAsia"/>
                <w:lang w:val="en-US" w:eastAsia="zh-CN"/>
              </w:rPr>
              <w:t>No</w:t>
            </w:r>
          </w:p>
        </w:tc>
        <w:tc>
          <w:tcPr>
            <w:tcW w:w="6413"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F84413">
        <w:tc>
          <w:tcPr>
            <w:tcW w:w="2312"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1C5D782" w14:textId="77777777" w:rsidR="00AF761C" w:rsidRDefault="00AF761C">
            <w:pPr>
              <w:rPr>
                <w:lang w:val="en-US" w:eastAsia="zh-CN"/>
              </w:rPr>
            </w:pPr>
            <w:r>
              <w:rPr>
                <w:lang w:val="en-US" w:eastAsia="zh-CN"/>
              </w:rPr>
              <w:t xml:space="preserve">Yes </w:t>
            </w:r>
          </w:p>
        </w:tc>
        <w:tc>
          <w:tcPr>
            <w:tcW w:w="6413" w:type="dxa"/>
          </w:tcPr>
          <w:p w14:paraId="4DE99A53" w14:textId="77777777" w:rsidR="00AF761C" w:rsidRDefault="00AF761C">
            <w:pPr>
              <w:rPr>
                <w:lang w:val="en-US" w:eastAsia="zh-CN"/>
              </w:rPr>
            </w:pPr>
          </w:p>
        </w:tc>
      </w:tr>
      <w:tr w:rsidR="00544628" w14:paraId="60EDD853" w14:textId="77777777" w:rsidTr="00F84413">
        <w:tc>
          <w:tcPr>
            <w:tcW w:w="2312" w:type="dxa"/>
          </w:tcPr>
          <w:p w14:paraId="7949FB67" w14:textId="77777777" w:rsidR="00544628" w:rsidRDefault="00544628" w:rsidP="00012CEB">
            <w:pPr>
              <w:rPr>
                <w:lang w:val="en-US" w:eastAsia="zh-CN"/>
              </w:rPr>
            </w:pPr>
            <w:r>
              <w:rPr>
                <w:lang w:val="en-US" w:eastAsia="zh-CN"/>
              </w:rPr>
              <w:t>Apple</w:t>
            </w:r>
          </w:p>
        </w:tc>
        <w:tc>
          <w:tcPr>
            <w:tcW w:w="899" w:type="dxa"/>
          </w:tcPr>
          <w:p w14:paraId="263E8A3E" w14:textId="77777777" w:rsidR="00544628" w:rsidRDefault="00544628" w:rsidP="00012CEB">
            <w:pPr>
              <w:rPr>
                <w:lang w:val="en-US" w:eastAsia="zh-CN"/>
              </w:rPr>
            </w:pPr>
            <w:r>
              <w:rPr>
                <w:lang w:val="en-US" w:eastAsia="zh-CN"/>
              </w:rPr>
              <w:t>Yes</w:t>
            </w:r>
          </w:p>
        </w:tc>
        <w:tc>
          <w:tcPr>
            <w:tcW w:w="6413" w:type="dxa"/>
          </w:tcPr>
          <w:p w14:paraId="484A2EAF" w14:textId="77777777" w:rsidR="00544628" w:rsidRDefault="00544628" w:rsidP="00012CEB">
            <w:pPr>
              <w:rPr>
                <w:lang w:val="en-US" w:eastAsia="zh-CN"/>
              </w:rPr>
            </w:pPr>
            <w:r>
              <w:rPr>
                <w:lang w:val="en-US" w:eastAsia="zh-CN"/>
              </w:rPr>
              <w:t xml:space="preserve">It’s </w:t>
            </w:r>
            <w:proofErr w:type="gramStart"/>
            <w:r>
              <w:rPr>
                <w:lang w:val="en-US" w:eastAsia="zh-CN"/>
              </w:rPr>
              <w:t>benefit</w:t>
            </w:r>
            <w:proofErr w:type="gramEnd"/>
            <w:r>
              <w:rPr>
                <w:lang w:val="en-US" w:eastAsia="zh-CN"/>
              </w:rPr>
              <w:t xml:space="preserve">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F84413">
        <w:tc>
          <w:tcPr>
            <w:tcW w:w="2312" w:type="dxa"/>
          </w:tcPr>
          <w:p w14:paraId="27D1B528" w14:textId="06C2FB4D" w:rsidR="00B3076C" w:rsidRDefault="00B3076C" w:rsidP="00012CEB">
            <w:pPr>
              <w:rPr>
                <w:lang w:val="en-US" w:eastAsia="zh-CN"/>
              </w:rPr>
            </w:pPr>
            <w:r>
              <w:rPr>
                <w:lang w:val="en-US" w:eastAsia="zh-CN"/>
              </w:rPr>
              <w:t>Xiaomi</w:t>
            </w:r>
          </w:p>
        </w:tc>
        <w:tc>
          <w:tcPr>
            <w:tcW w:w="899" w:type="dxa"/>
          </w:tcPr>
          <w:p w14:paraId="331F7974" w14:textId="373249ED" w:rsidR="00B3076C" w:rsidRDefault="00B3076C" w:rsidP="00012CEB">
            <w:pPr>
              <w:rPr>
                <w:lang w:val="en-US" w:eastAsia="zh-CN"/>
              </w:rPr>
            </w:pPr>
            <w:r>
              <w:rPr>
                <w:lang w:val="en-US" w:eastAsia="zh-CN"/>
              </w:rPr>
              <w:t>Yes</w:t>
            </w:r>
          </w:p>
        </w:tc>
        <w:tc>
          <w:tcPr>
            <w:tcW w:w="6413" w:type="dxa"/>
          </w:tcPr>
          <w:p w14:paraId="59831A46" w14:textId="77777777" w:rsidR="00B3076C" w:rsidRDefault="00B3076C" w:rsidP="00012CEB">
            <w:pPr>
              <w:rPr>
                <w:lang w:val="en-US" w:eastAsia="zh-CN"/>
              </w:rPr>
            </w:pPr>
          </w:p>
        </w:tc>
      </w:tr>
      <w:tr w:rsidR="00F84413" w:rsidRPr="00722C0C" w14:paraId="3D7D1A5E" w14:textId="77777777" w:rsidTr="00F84413">
        <w:tc>
          <w:tcPr>
            <w:tcW w:w="2312"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49205B1F"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F84413">
        <w:tc>
          <w:tcPr>
            <w:tcW w:w="2312"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89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413"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F84413">
        <w:tc>
          <w:tcPr>
            <w:tcW w:w="2312" w:type="dxa"/>
          </w:tcPr>
          <w:p w14:paraId="27F0495C" w14:textId="21A1B7E0" w:rsidR="00342222" w:rsidRDefault="00677F62" w:rsidP="00F37D43">
            <w:pPr>
              <w:rPr>
                <w:rFonts w:eastAsia="MS Mincho"/>
                <w:lang w:eastAsia="ja-JP"/>
              </w:rPr>
            </w:pPr>
            <w:r>
              <w:rPr>
                <w:rFonts w:eastAsia="MS Mincho"/>
                <w:lang w:eastAsia="ja-JP"/>
              </w:rPr>
              <w:t>Ericsson</w:t>
            </w:r>
          </w:p>
        </w:tc>
        <w:tc>
          <w:tcPr>
            <w:tcW w:w="899" w:type="dxa"/>
          </w:tcPr>
          <w:p w14:paraId="483B06FE" w14:textId="5417CF96" w:rsidR="00342222" w:rsidRDefault="004F5F3C" w:rsidP="00F37D43">
            <w:pPr>
              <w:rPr>
                <w:rFonts w:eastAsia="MS Mincho"/>
                <w:lang w:eastAsia="ja-JP"/>
              </w:rPr>
            </w:pPr>
            <w:r>
              <w:rPr>
                <w:rFonts w:eastAsia="MS Mincho"/>
                <w:lang w:eastAsia="ja-JP"/>
              </w:rPr>
              <w:t>No</w:t>
            </w:r>
          </w:p>
        </w:tc>
        <w:tc>
          <w:tcPr>
            <w:tcW w:w="6413"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F84413">
        <w:tc>
          <w:tcPr>
            <w:tcW w:w="2312" w:type="dxa"/>
          </w:tcPr>
          <w:p w14:paraId="1DC985D8" w14:textId="3073BB22" w:rsidR="008D63A2" w:rsidRPr="00667088" w:rsidRDefault="008D63A2" w:rsidP="00F37D43">
            <w:pPr>
              <w:rPr>
                <w:rFonts w:eastAsia="MS Mincho" w:hint="eastAsia"/>
                <w:lang w:eastAsia="ja-JP"/>
              </w:rPr>
            </w:pPr>
            <w:r w:rsidRPr="00667088">
              <w:rPr>
                <w:rFonts w:eastAsia="MS Mincho" w:hint="eastAsia"/>
                <w:lang w:eastAsia="ja-JP"/>
              </w:rPr>
              <w:t>v</w:t>
            </w:r>
            <w:r w:rsidRPr="00667088">
              <w:rPr>
                <w:rFonts w:eastAsia="MS Mincho"/>
                <w:lang w:eastAsia="ja-JP"/>
              </w:rPr>
              <w:t>ivo</w:t>
            </w:r>
          </w:p>
        </w:tc>
        <w:tc>
          <w:tcPr>
            <w:tcW w:w="899" w:type="dxa"/>
          </w:tcPr>
          <w:p w14:paraId="572074A0" w14:textId="3C52E4F9" w:rsidR="008D63A2" w:rsidRPr="00667088" w:rsidRDefault="00BC70CC" w:rsidP="00F37D43">
            <w:pPr>
              <w:rPr>
                <w:rFonts w:eastAsia="MS Mincho" w:hint="eastAsia"/>
                <w:lang w:eastAsia="ja-JP"/>
              </w:rPr>
            </w:pPr>
            <w:r w:rsidRPr="00667088">
              <w:rPr>
                <w:rFonts w:eastAsia="MS Mincho" w:hint="eastAsia"/>
                <w:lang w:eastAsia="ja-JP"/>
              </w:rPr>
              <w:t>Y</w:t>
            </w:r>
            <w:r w:rsidRPr="00667088">
              <w:rPr>
                <w:rFonts w:eastAsia="MS Mincho"/>
                <w:lang w:eastAsia="ja-JP"/>
              </w:rPr>
              <w:t>es</w:t>
            </w:r>
          </w:p>
        </w:tc>
        <w:tc>
          <w:tcPr>
            <w:tcW w:w="6413" w:type="dxa"/>
          </w:tcPr>
          <w:p w14:paraId="13271111" w14:textId="0CB9FBDC" w:rsidR="008D63A2" w:rsidRDefault="003433DB" w:rsidP="00F37D43">
            <w:pPr>
              <w:rPr>
                <w:rFonts w:eastAsia="MS Mincho"/>
                <w:lang w:eastAsia="ja-JP"/>
              </w:rPr>
            </w:pPr>
            <w:r w:rsidRPr="00667088">
              <w:rPr>
                <w:rFonts w:eastAsia="MS Mincho"/>
                <w:lang w:eastAsia="ja-JP"/>
              </w:rPr>
              <w:t>T</w:t>
            </w:r>
            <w:r w:rsidRPr="00667088">
              <w:rPr>
                <w:rFonts w:eastAsia="MS Mincho"/>
                <w:lang w:eastAsia="ja-JP"/>
              </w:rPr>
              <w:t>he target cell may have already buffered some data (e.g.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w:t>
            </w:r>
            <w:r w:rsidR="00383CB1" w:rsidRPr="00667088">
              <w:rPr>
                <w:rFonts w:eastAsia="MS Mincho"/>
                <w:lang w:eastAsia="ja-JP"/>
              </w:rPr>
              <w:t xml:space="preserve">after </w:t>
            </w:r>
            <w:r w:rsidR="00383CB1" w:rsidRPr="00667088">
              <w:rPr>
                <w:rFonts w:eastAsia="MS Mincho"/>
                <w:lang w:eastAsia="ja-JP"/>
              </w:rPr>
              <w:t xml:space="preserve">receiving UE’s </w:t>
            </w:r>
            <w:r w:rsidR="00383CB1" w:rsidRPr="00667088">
              <w:rPr>
                <w:rFonts w:eastAsia="MS Mincho"/>
                <w:lang w:eastAsia="ja-JP"/>
              </w:rPr>
              <w:t>SR</w:t>
            </w:r>
            <w:r w:rsidRPr="00667088">
              <w:rPr>
                <w:rFonts w:eastAsia="MS Mincho"/>
                <w:lang w:eastAsia="ja-JP"/>
              </w:rPr>
              <w:t>.</w:t>
            </w:r>
          </w:p>
        </w:tc>
      </w:tr>
      <w:tr w:rsidR="008D63A2" w:rsidRPr="00722C0C" w14:paraId="60CD7584" w14:textId="77777777" w:rsidTr="00F84413">
        <w:tc>
          <w:tcPr>
            <w:tcW w:w="2312" w:type="dxa"/>
          </w:tcPr>
          <w:p w14:paraId="353C767B" w14:textId="77777777" w:rsidR="008D63A2" w:rsidRDefault="008D63A2" w:rsidP="00F37D43">
            <w:pPr>
              <w:rPr>
                <w:rFonts w:eastAsia="MS Mincho"/>
                <w:lang w:eastAsia="ja-JP"/>
              </w:rPr>
            </w:pPr>
          </w:p>
        </w:tc>
        <w:tc>
          <w:tcPr>
            <w:tcW w:w="899" w:type="dxa"/>
          </w:tcPr>
          <w:p w14:paraId="6B9A22D9" w14:textId="77777777" w:rsidR="008D63A2" w:rsidRDefault="008D63A2" w:rsidP="00F37D43">
            <w:pPr>
              <w:rPr>
                <w:rFonts w:eastAsia="MS Mincho"/>
                <w:lang w:eastAsia="ja-JP"/>
              </w:rPr>
            </w:pPr>
          </w:p>
        </w:tc>
        <w:tc>
          <w:tcPr>
            <w:tcW w:w="6413" w:type="dxa"/>
          </w:tcPr>
          <w:p w14:paraId="1337DAB1" w14:textId="77777777" w:rsidR="008D63A2" w:rsidRDefault="008D63A2" w:rsidP="00F37D43">
            <w:pPr>
              <w:rPr>
                <w:rFonts w:eastAsia="MS Mincho"/>
                <w:lang w:eastAsia="ja-JP"/>
              </w:rPr>
            </w:pPr>
          </w:p>
        </w:tc>
      </w:tr>
    </w:tbl>
    <w:p w14:paraId="3EAD416D" w14:textId="77777777" w:rsidR="00DA26C5" w:rsidRPr="00F84413" w:rsidRDefault="00DA26C5">
      <w:pPr>
        <w:rPr>
          <w:b/>
          <w:lang w:val="en-US"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afa"/>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afa"/>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afa"/>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afa"/>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Pr>
          <w:rFonts w:eastAsiaTheme="minorEastAsia"/>
          <w:lang w:val="en-US" w:eastAsia="zh-CN"/>
        </w:rPr>
        <w:t>gNB</w:t>
      </w:r>
      <w:proofErr w:type="spellEnd"/>
      <w:r>
        <w:rPr>
          <w:rFonts w:eastAsiaTheme="minorEastAsia"/>
          <w:lang w:val="en-US" w:eastAsia="zh-CN"/>
        </w:rPr>
        <w:t xml:space="preserve"> and pre-Rel-17 </w:t>
      </w:r>
      <w:proofErr w:type="spellStart"/>
      <w:r>
        <w:rPr>
          <w:rFonts w:eastAsiaTheme="minorEastAsia"/>
          <w:lang w:val="en-US" w:eastAsia="zh-CN"/>
        </w:rPr>
        <w:t>gNB</w:t>
      </w:r>
      <w:proofErr w:type="spellEnd"/>
      <w:r>
        <w:rPr>
          <w:rFonts w:eastAsiaTheme="minorEastAsia"/>
          <w:lang w:val="en-US" w:eastAsia="zh-CN"/>
        </w:rPr>
        <w:t xml:space="preserve">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w:t>
      </w:r>
      <w:proofErr w:type="spellStart"/>
      <w:r>
        <w:rPr>
          <w:rFonts w:eastAsiaTheme="minorEastAsia"/>
          <w:lang w:val="en-US" w:eastAsia="zh-CN"/>
        </w:rPr>
        <w:t>gNB</w:t>
      </w:r>
      <w:proofErr w:type="spellEnd"/>
      <w:r>
        <w:rPr>
          <w:rFonts w:eastAsiaTheme="minorEastAsia"/>
          <w:lang w:val="en-US" w:eastAsia="zh-CN"/>
        </w:rPr>
        <w:t xml:space="preserve"> can know which SN was successfully delivered to the UE in the source cell. The knowledge of the last delivered SN can come from either the source </w:t>
      </w:r>
      <w:proofErr w:type="spellStart"/>
      <w:r>
        <w:rPr>
          <w:rFonts w:eastAsiaTheme="minorEastAsia"/>
          <w:lang w:val="en-US" w:eastAsia="zh-CN"/>
        </w:rPr>
        <w:t>gNB</w:t>
      </w:r>
      <w:proofErr w:type="spellEnd"/>
      <w:r>
        <w:rPr>
          <w:rFonts w:eastAsiaTheme="minorEastAsia"/>
          <w:lang w:val="en-US" w:eastAsia="zh-CN"/>
        </w:rPr>
        <w:t xml:space="preserve"> (for both Solution 1 and 2, </w:t>
      </w:r>
      <w:r>
        <w:rPr>
          <w:rFonts w:eastAsiaTheme="minorEastAsia"/>
          <w:lang w:val="en-US" w:eastAsia="zh-CN"/>
        </w:rPr>
        <w:lastRenderedPageBreak/>
        <w:t>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af5"/>
        <w:tblW w:w="0" w:type="auto"/>
        <w:tblInd w:w="5" w:type="dxa"/>
        <w:tblLook w:val="04A0" w:firstRow="1" w:lastRow="0" w:firstColumn="1" w:lastColumn="0" w:noHBand="0" w:noVBand="1"/>
      </w:tblPr>
      <w:tblGrid>
        <w:gridCol w:w="2312"/>
        <w:gridCol w:w="899"/>
        <w:gridCol w:w="6413"/>
      </w:tblGrid>
      <w:tr w:rsidR="00DA26C5" w14:paraId="07282AFE" w14:textId="77777777" w:rsidTr="00F84413">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F84413">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F84413">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F84413">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F84413">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to support solution 1 and solution </w:t>
            </w:r>
            <w:proofErr w:type="gramStart"/>
            <w:r>
              <w:rPr>
                <w:rFonts w:eastAsiaTheme="minorEastAsia" w:hint="eastAsia"/>
                <w:lang w:val="en-US" w:eastAsia="zh-CN"/>
              </w:rPr>
              <w:t>2.which</w:t>
            </w:r>
            <w:proofErr w:type="gramEnd"/>
            <w:r>
              <w:rPr>
                <w:rFonts w:eastAsiaTheme="minorEastAsia" w:hint="eastAsia"/>
                <w:lang w:val="en-US" w:eastAsia="zh-CN"/>
              </w:rPr>
              <w:t xml:space="preserve">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F84413">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F84413">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F84413">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F84413">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F84413">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F84413">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F84413">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F84413">
        <w:tc>
          <w:tcPr>
            <w:tcW w:w="2312" w:type="dxa"/>
          </w:tcPr>
          <w:p w14:paraId="7BBBE808" w14:textId="3E076FCE" w:rsidR="00B46483" w:rsidRPr="00B46483" w:rsidRDefault="00B46483" w:rsidP="00F37D43">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hint="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B46483" w:rsidRPr="00722C0C" w14:paraId="4760DD45" w14:textId="77777777" w:rsidTr="00F84413">
        <w:tc>
          <w:tcPr>
            <w:tcW w:w="2312" w:type="dxa"/>
          </w:tcPr>
          <w:p w14:paraId="477A7F6C" w14:textId="77777777" w:rsidR="00B46483" w:rsidRDefault="00B46483" w:rsidP="00F37D43">
            <w:pPr>
              <w:rPr>
                <w:rFonts w:eastAsia="MS Mincho"/>
                <w:lang w:val="en-US" w:eastAsia="ja-JP"/>
              </w:rPr>
            </w:pPr>
          </w:p>
        </w:tc>
        <w:tc>
          <w:tcPr>
            <w:tcW w:w="899" w:type="dxa"/>
          </w:tcPr>
          <w:p w14:paraId="4177404E" w14:textId="77777777" w:rsidR="00B46483" w:rsidRDefault="00B46483" w:rsidP="00F37D43">
            <w:pPr>
              <w:rPr>
                <w:rFonts w:eastAsia="MS Mincho"/>
                <w:lang w:val="en-US" w:eastAsia="ja-JP"/>
              </w:rPr>
            </w:pPr>
          </w:p>
        </w:tc>
        <w:tc>
          <w:tcPr>
            <w:tcW w:w="6413" w:type="dxa"/>
          </w:tcPr>
          <w:p w14:paraId="16EAC3A9" w14:textId="77777777" w:rsidR="00B46483" w:rsidRDefault="00B46483" w:rsidP="00F37D43">
            <w:pPr>
              <w:rPr>
                <w:rFonts w:eastAsiaTheme="minorEastAsia"/>
                <w:lang w:val="en-US" w:eastAsia="zh-CN"/>
              </w:rPr>
            </w:pPr>
          </w:p>
        </w:tc>
      </w:tr>
    </w:tbl>
    <w:p w14:paraId="6C320D03" w14:textId="77777777" w:rsidR="00DA26C5" w:rsidRDefault="00DA26C5">
      <w:pPr>
        <w:rPr>
          <w:rFonts w:eastAsiaTheme="minorEastAsia"/>
          <w:lang w:val="en-US" w:eastAsia="zh-CN"/>
        </w:rPr>
      </w:pPr>
    </w:p>
    <w:p w14:paraId="572A19DC" w14:textId="77777777" w:rsidR="00DA26C5" w:rsidRDefault="00977A79">
      <w:pPr>
        <w:pStyle w:val="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w:t>
      </w:r>
      <w:proofErr w:type="gramStart"/>
      <w:r>
        <w:rPr>
          <w:lang w:eastAsia="zh-CN"/>
        </w:rPr>
        <w:t>optional,</w:t>
      </w:r>
      <w:proofErr w:type="gramEnd"/>
      <w:r>
        <w:rPr>
          <w:lang w:eastAsia="zh-CN"/>
        </w:rPr>
        <w:t xml:space="preserve">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lastRenderedPageBreak/>
        <w:t>Question 12: With respect to ROHC support for MBS broadcast, which option you prefer:</w:t>
      </w:r>
    </w:p>
    <w:p w14:paraId="455D0913" w14:textId="77777777" w:rsidR="00DA26C5" w:rsidRDefault="00977A79">
      <w:pPr>
        <w:pStyle w:val="afa"/>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afa"/>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afa"/>
        <w:numPr>
          <w:ilvl w:val="0"/>
          <w:numId w:val="12"/>
        </w:numPr>
        <w:rPr>
          <w:b/>
        </w:rPr>
      </w:pPr>
      <w:r>
        <w:rPr>
          <w:b/>
        </w:rPr>
        <w:t>ROHC is not supported for MBS broadcast</w:t>
      </w:r>
    </w:p>
    <w:p w14:paraId="2AA1525F" w14:textId="77777777" w:rsidR="00DA26C5" w:rsidRDefault="00DA26C5">
      <w:pPr>
        <w:rPr>
          <w:b/>
        </w:rPr>
      </w:pPr>
    </w:p>
    <w:tbl>
      <w:tblPr>
        <w:tblStyle w:val="af5"/>
        <w:tblW w:w="0" w:type="auto"/>
        <w:tblInd w:w="5" w:type="dxa"/>
        <w:tblLook w:val="04A0" w:firstRow="1" w:lastRow="0" w:firstColumn="1" w:lastColumn="0" w:noHBand="0" w:noVBand="1"/>
      </w:tblPr>
      <w:tblGrid>
        <w:gridCol w:w="2284"/>
        <w:gridCol w:w="1049"/>
        <w:gridCol w:w="6291"/>
      </w:tblGrid>
      <w:tr w:rsidR="00DA26C5" w14:paraId="021BABB9" w14:textId="77777777" w:rsidTr="00F84413">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F84413">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F84413">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F84413">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F84413">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w:t>
            </w:r>
            <w:proofErr w:type="spellStart"/>
            <w:r>
              <w:rPr>
                <w:rFonts w:hint="eastAsia"/>
                <w:lang w:eastAsia="zh-CN"/>
              </w:rPr>
              <w:t>gNB</w:t>
            </w:r>
            <w:proofErr w:type="spellEnd"/>
            <w:r>
              <w:rPr>
                <w:rFonts w:hint="eastAsia"/>
                <w:lang w:eastAsia="zh-CN"/>
              </w:rPr>
              <w:t xml:space="preserve"> </w:t>
            </w:r>
            <w:r>
              <w:rPr>
                <w:lang w:eastAsia="zh-CN"/>
              </w:rPr>
              <w:t>can</w:t>
            </w:r>
            <w:r>
              <w:rPr>
                <w:rFonts w:hint="eastAsia"/>
                <w:lang w:eastAsia="zh-CN"/>
              </w:rPr>
              <w:t xml:space="preserve">not decide to enable ROHC or not for broadcast as </w:t>
            </w:r>
            <w:proofErr w:type="spellStart"/>
            <w:r>
              <w:rPr>
                <w:rFonts w:hint="eastAsia"/>
                <w:lang w:eastAsia="zh-CN"/>
              </w:rPr>
              <w:t>gNB</w:t>
            </w:r>
            <w:proofErr w:type="spellEnd"/>
            <w:r>
              <w:rPr>
                <w:rFonts w:hint="eastAsia"/>
                <w:lang w:eastAsia="zh-CN"/>
              </w:rPr>
              <w:t xml:space="preserve"> cannot know whether the UE interested in the broadcast services support it or not.</w:t>
            </w:r>
          </w:p>
        </w:tc>
      </w:tr>
      <w:tr w:rsidR="00DA26C5" w14:paraId="03EAA195" w14:textId="77777777" w:rsidTr="00F84413">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F84413">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F84413">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F84413">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F84413">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w:t>
            </w:r>
            <w:proofErr w:type="gramStart"/>
            <w:r>
              <w:t>MBS..</w:t>
            </w:r>
            <w:proofErr w:type="gramEnd"/>
          </w:p>
        </w:tc>
      </w:tr>
      <w:tr w:rsidR="00F37D43" w:rsidRPr="007B70F8" w14:paraId="05180E9B" w14:textId="77777777" w:rsidTr="00F84413">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w:t>
            </w:r>
            <w:proofErr w:type="spellStart"/>
            <w:r>
              <w:rPr>
                <w:rFonts w:eastAsia="MS Mincho"/>
                <w:lang w:eastAsia="ja-JP"/>
              </w:rPr>
              <w:t>gNB</w:t>
            </w:r>
            <w:proofErr w:type="spellEnd"/>
            <w:r>
              <w:rPr>
                <w:rFonts w:eastAsia="MS Mincho"/>
                <w:lang w:eastAsia="ja-JP"/>
              </w:rPr>
              <w:t xml:space="preserve"> does not know the capabilities of all UEs in the network. As the result, the </w:t>
            </w:r>
            <w:proofErr w:type="spellStart"/>
            <w:r>
              <w:rPr>
                <w:rFonts w:eastAsia="MS Mincho"/>
                <w:lang w:eastAsia="ja-JP"/>
              </w:rPr>
              <w:t>gNB</w:t>
            </w:r>
            <w:proofErr w:type="spellEnd"/>
            <w:r>
              <w:rPr>
                <w:rFonts w:eastAsia="MS Mincho"/>
                <w:lang w:eastAsia="ja-JP"/>
              </w:rPr>
              <w:t xml:space="preserve">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F84413">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F84413">
        <w:tc>
          <w:tcPr>
            <w:tcW w:w="2284" w:type="dxa"/>
          </w:tcPr>
          <w:p w14:paraId="080DDF34" w14:textId="05257518" w:rsidR="005843A5" w:rsidRPr="005843A5" w:rsidRDefault="005843A5" w:rsidP="00F37D4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hint="eastAsia"/>
                <w:lang w:eastAsia="zh-CN"/>
              </w:rPr>
            </w:pPr>
            <w:r>
              <w:rPr>
                <w:rFonts w:eastAsiaTheme="minorEastAsia" w:hint="eastAsia"/>
                <w:lang w:eastAsia="zh-CN"/>
              </w:rPr>
              <w:t>O</w:t>
            </w:r>
            <w:r>
              <w:rPr>
                <w:rFonts w:eastAsiaTheme="minorEastAsia"/>
                <w:lang w:eastAsia="zh-CN"/>
              </w:rPr>
              <w:t xml:space="preserve">ption 2 is not feasible and Option 3 reverts the achieved agreement for </w:t>
            </w:r>
            <w:proofErr w:type="spellStart"/>
            <w:r>
              <w:rPr>
                <w:rFonts w:eastAsiaTheme="minorEastAsia"/>
                <w:lang w:eastAsia="zh-CN"/>
              </w:rPr>
              <w:t>RoHC</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we prefer Option 1</w:t>
            </w:r>
            <w:r w:rsidR="00CD6C3B">
              <w:rPr>
                <w:rFonts w:eastAsiaTheme="minorEastAsia"/>
                <w:lang w:eastAsia="zh-CN"/>
              </w:rPr>
              <w:t>.</w:t>
            </w:r>
          </w:p>
        </w:tc>
      </w:tr>
      <w:tr w:rsidR="005843A5" w:rsidRPr="007B70F8" w14:paraId="12EDE173" w14:textId="77777777" w:rsidTr="00F84413">
        <w:tc>
          <w:tcPr>
            <w:tcW w:w="2284" w:type="dxa"/>
          </w:tcPr>
          <w:p w14:paraId="65F1C29A" w14:textId="77777777" w:rsidR="005843A5" w:rsidRDefault="005843A5" w:rsidP="00F37D43">
            <w:pPr>
              <w:rPr>
                <w:rFonts w:eastAsia="MS Mincho"/>
                <w:lang w:eastAsia="ja-JP"/>
              </w:rPr>
            </w:pPr>
          </w:p>
        </w:tc>
        <w:tc>
          <w:tcPr>
            <w:tcW w:w="1049" w:type="dxa"/>
          </w:tcPr>
          <w:p w14:paraId="06C38353" w14:textId="77777777" w:rsidR="005843A5" w:rsidRDefault="005843A5" w:rsidP="00F37D43">
            <w:pPr>
              <w:rPr>
                <w:rFonts w:eastAsia="MS Mincho"/>
                <w:lang w:eastAsia="ja-JP"/>
              </w:rPr>
            </w:pPr>
          </w:p>
        </w:tc>
        <w:tc>
          <w:tcPr>
            <w:tcW w:w="6291" w:type="dxa"/>
          </w:tcPr>
          <w:p w14:paraId="1591BC34" w14:textId="77777777" w:rsidR="005843A5" w:rsidRDefault="005843A5" w:rsidP="00F37D43">
            <w:pPr>
              <w:rPr>
                <w:rFonts w:eastAsia="MS Mincho"/>
                <w:lang w:eastAsia="ja-JP"/>
              </w:rPr>
            </w:pP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af5"/>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F84413">
        <w:tc>
          <w:tcPr>
            <w:tcW w:w="1868" w:type="dxa"/>
          </w:tcPr>
          <w:p w14:paraId="12D366C3" w14:textId="77777777" w:rsidR="00DA26C5" w:rsidRDefault="00977A79">
            <w:pPr>
              <w:jc w:val="center"/>
              <w:rPr>
                <w:b/>
              </w:rPr>
            </w:pPr>
            <w:r>
              <w:rPr>
                <w:b/>
              </w:rPr>
              <w:lastRenderedPageBreak/>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F84413">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F84413">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F84413">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F84413">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F84413">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F84413">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F84413">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F84413">
        <w:tc>
          <w:tcPr>
            <w:tcW w:w="1868" w:type="dxa"/>
          </w:tcPr>
          <w:p w14:paraId="1B3E34A4" w14:textId="52C6A8E4" w:rsidR="00227627" w:rsidRDefault="00227627" w:rsidP="00012CEB">
            <w:pPr>
              <w:rPr>
                <w:lang w:val="en-US" w:eastAsia="zh-CN"/>
              </w:rPr>
            </w:pPr>
            <w:r>
              <w:rPr>
                <w:lang w:val="en-US" w:eastAsia="zh-CN"/>
              </w:rPr>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F84413">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proofErr w:type="spellStart"/>
            <w:r w:rsidRPr="005034FF">
              <w:rPr>
                <w:b/>
                <w:bCs/>
                <w:i/>
                <w:iCs/>
              </w:rPr>
              <w:t>maxNumberROHC-ContextSessions</w:t>
            </w:r>
            <w:proofErr w:type="spellEnd"/>
          </w:p>
        </w:tc>
      </w:tr>
      <w:tr w:rsidR="00F37D43" w:rsidRPr="007B70F8" w14:paraId="281D5A9A" w14:textId="77777777" w:rsidTr="00F84413">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F84413">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F84413">
        <w:tc>
          <w:tcPr>
            <w:tcW w:w="1868" w:type="dxa"/>
          </w:tcPr>
          <w:p w14:paraId="6C300695" w14:textId="41D6A658" w:rsidR="009C410B" w:rsidRPr="009C410B" w:rsidRDefault="009C410B" w:rsidP="00F37D4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hint="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rFonts w:hint="eastAsia"/>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9C410B" w:rsidRPr="007B70F8" w14:paraId="3F41BBAF" w14:textId="77777777" w:rsidTr="00F84413">
        <w:tc>
          <w:tcPr>
            <w:tcW w:w="1868" w:type="dxa"/>
          </w:tcPr>
          <w:p w14:paraId="3AE3C27D" w14:textId="77777777" w:rsidR="009C410B" w:rsidRDefault="009C410B" w:rsidP="00F37D43">
            <w:pPr>
              <w:rPr>
                <w:rFonts w:eastAsia="MS Mincho"/>
                <w:lang w:eastAsia="ja-JP"/>
              </w:rPr>
            </w:pPr>
          </w:p>
        </w:tc>
        <w:tc>
          <w:tcPr>
            <w:tcW w:w="1605" w:type="dxa"/>
          </w:tcPr>
          <w:p w14:paraId="4EA90AC1" w14:textId="77777777" w:rsidR="009C410B" w:rsidRDefault="009C410B" w:rsidP="00F37D43">
            <w:pPr>
              <w:rPr>
                <w:rFonts w:eastAsia="MS Mincho"/>
                <w:lang w:eastAsia="ja-JP"/>
              </w:rPr>
            </w:pPr>
          </w:p>
        </w:tc>
        <w:tc>
          <w:tcPr>
            <w:tcW w:w="1519" w:type="dxa"/>
          </w:tcPr>
          <w:p w14:paraId="460E63AE" w14:textId="77777777" w:rsidR="009C410B" w:rsidRDefault="009C410B" w:rsidP="00F37D43"/>
        </w:tc>
        <w:tc>
          <w:tcPr>
            <w:tcW w:w="4632" w:type="dxa"/>
          </w:tcPr>
          <w:p w14:paraId="3112F4AF" w14:textId="77777777" w:rsidR="009C410B" w:rsidRDefault="009C410B" w:rsidP="00F37D43"/>
        </w:tc>
      </w:tr>
    </w:tbl>
    <w:p w14:paraId="04F9AAD8" w14:textId="77777777" w:rsidR="00DA26C5" w:rsidRDefault="00DA26C5"/>
    <w:p w14:paraId="791BD1D8" w14:textId="77777777"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af5"/>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lastRenderedPageBreak/>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afa"/>
        <w:numPr>
          <w:ilvl w:val="0"/>
          <w:numId w:val="14"/>
        </w:numPr>
      </w:pPr>
      <w:r>
        <w:rPr>
          <w:b/>
        </w:rPr>
        <w:t xml:space="preserve">MBS broadcast reception on </w:t>
      </w:r>
      <w:proofErr w:type="spellStart"/>
      <w:r>
        <w:rPr>
          <w:b/>
        </w:rPr>
        <w:t>SCell</w:t>
      </w:r>
      <w:proofErr w:type="spellEnd"/>
      <w:r>
        <w:rPr>
          <w:b/>
        </w:rPr>
        <w:t xml:space="preserve"> </w:t>
      </w:r>
      <w:r>
        <w:t xml:space="preserve"> </w:t>
      </w:r>
    </w:p>
    <w:p w14:paraId="290E3FEC" w14:textId="77777777" w:rsidR="00DA26C5" w:rsidRDefault="00977A79">
      <w:pPr>
        <w:pStyle w:val="afa"/>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af5"/>
        <w:tblW w:w="0" w:type="auto"/>
        <w:tblInd w:w="6" w:type="dxa"/>
        <w:tblLook w:val="04A0" w:firstRow="1" w:lastRow="0" w:firstColumn="1" w:lastColumn="0" w:noHBand="0" w:noVBand="1"/>
      </w:tblPr>
      <w:tblGrid>
        <w:gridCol w:w="2313"/>
        <w:gridCol w:w="893"/>
        <w:gridCol w:w="6417"/>
      </w:tblGrid>
      <w:tr w:rsidR="00DA26C5" w14:paraId="570096B9" w14:textId="77777777" w:rsidTr="00F8441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F84413">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F84413">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F84413">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 xml:space="preserve">We think there is no need for standardized solutions. As first version of MBS, specification impact can be minimized unless there is a critical issue. </w:t>
            </w:r>
            <w:r>
              <w:lastRenderedPageBreak/>
              <w:t xml:space="preserve">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14:paraId="4F6CAF22" w14:textId="77777777" w:rsidTr="00F84413">
        <w:tc>
          <w:tcPr>
            <w:tcW w:w="2313" w:type="dxa"/>
          </w:tcPr>
          <w:p w14:paraId="411B6354" w14:textId="77777777" w:rsidR="00DA26C5" w:rsidRDefault="00977A79">
            <w:r>
              <w:rPr>
                <w:rFonts w:hint="eastAsia"/>
                <w:lang w:eastAsia="zh-CN"/>
              </w:rPr>
              <w:lastRenderedPageBreak/>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F84413">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F84413">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p>
        </w:tc>
      </w:tr>
      <w:tr w:rsidR="00942653" w14:paraId="7BED61C5" w14:textId="77777777" w:rsidTr="00F84413">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F84413">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F84413">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 xml:space="preserve">It sems difficult to make it mandatory to perform reception on </w:t>
            </w:r>
            <w:proofErr w:type="spellStart"/>
            <w:r>
              <w:t>SCell</w:t>
            </w:r>
            <w:proofErr w:type="spellEnd"/>
            <w:r>
              <w:t>/non-serving cells.</w:t>
            </w:r>
          </w:p>
        </w:tc>
      </w:tr>
      <w:tr w:rsidR="00F37D43" w:rsidRPr="007B70F8" w14:paraId="4E4D0007" w14:textId="77777777" w:rsidTr="00F84413">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F84413">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F84413">
        <w:tc>
          <w:tcPr>
            <w:tcW w:w="2313" w:type="dxa"/>
          </w:tcPr>
          <w:p w14:paraId="306E641F" w14:textId="324F5280" w:rsidR="00292E48" w:rsidRDefault="00292E48" w:rsidP="00F37D43">
            <w:pPr>
              <w:rPr>
                <w:rFonts w:hint="eastAsia"/>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hint="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292E48" w:rsidRPr="007B70F8" w14:paraId="38FDCB9E" w14:textId="77777777" w:rsidTr="00F84413">
        <w:tc>
          <w:tcPr>
            <w:tcW w:w="2313" w:type="dxa"/>
          </w:tcPr>
          <w:p w14:paraId="50F2758A" w14:textId="77777777" w:rsidR="00292E48" w:rsidRDefault="00292E48" w:rsidP="00F37D43"/>
        </w:tc>
        <w:tc>
          <w:tcPr>
            <w:tcW w:w="893" w:type="dxa"/>
          </w:tcPr>
          <w:p w14:paraId="00940E4C" w14:textId="77777777" w:rsidR="00292E48" w:rsidRDefault="00292E48" w:rsidP="00F37D43">
            <w:pPr>
              <w:rPr>
                <w:rFonts w:eastAsia="MS Mincho"/>
                <w:lang w:eastAsia="ja-JP"/>
              </w:rPr>
            </w:pPr>
          </w:p>
        </w:tc>
        <w:tc>
          <w:tcPr>
            <w:tcW w:w="6417" w:type="dxa"/>
          </w:tcPr>
          <w:p w14:paraId="4AF520F2" w14:textId="77777777" w:rsidR="00292E48" w:rsidRDefault="00292E48" w:rsidP="00F37D43">
            <w:pPr>
              <w:rPr>
                <w:rFonts w:eastAsia="MS Mincho"/>
                <w:lang w:eastAsia="ja-JP"/>
              </w:rPr>
            </w:pP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i.e. </w:t>
      </w:r>
      <w:r>
        <w:rPr>
          <w:b/>
          <w:lang w:eastAsia="zh-CN"/>
        </w:rPr>
        <w:t>per UE, Band Combination, Feature Set or Feature Set per CC?</w:t>
      </w:r>
    </w:p>
    <w:tbl>
      <w:tblPr>
        <w:tblStyle w:val="af5"/>
        <w:tblW w:w="0" w:type="auto"/>
        <w:tblInd w:w="5" w:type="dxa"/>
        <w:tblLook w:val="04A0" w:firstRow="1" w:lastRow="0" w:firstColumn="1" w:lastColumn="0" w:noHBand="0" w:noVBand="1"/>
      </w:tblPr>
      <w:tblGrid>
        <w:gridCol w:w="2312"/>
        <w:gridCol w:w="1693"/>
        <w:gridCol w:w="5619"/>
      </w:tblGrid>
      <w:tr w:rsidR="00DA26C5" w14:paraId="0C2D9A0C" w14:textId="77777777" w:rsidTr="00F84413">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F84413">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F84413">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F84413">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F84413">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F84413">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F84413">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 xml:space="preserve">Per UE for </w:t>
            </w:r>
            <w:proofErr w:type="spellStart"/>
            <w:r>
              <w:rPr>
                <w:lang w:eastAsia="zh-CN"/>
              </w:rPr>
              <w:t>SCell</w:t>
            </w:r>
            <w:proofErr w:type="spellEnd"/>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F84413">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F84413">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F84413">
        <w:trPr>
          <w:trHeight w:val="2059"/>
        </w:trPr>
        <w:tc>
          <w:tcPr>
            <w:tcW w:w="2312" w:type="dxa"/>
          </w:tcPr>
          <w:p w14:paraId="476E013D" w14:textId="77777777" w:rsidR="00F84413" w:rsidRPr="007B70F8" w:rsidRDefault="00F84413" w:rsidP="00012CEB">
            <w:r>
              <w:lastRenderedPageBreak/>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 xml:space="preserve">UE already currently signals it CA capabilities and we should assume that whichever band combination UE supports and if UE indicates capability to receive MBS from </w:t>
            </w:r>
            <w:proofErr w:type="spellStart"/>
            <w:r>
              <w:t>SCell</w:t>
            </w:r>
            <w:proofErr w:type="spellEnd"/>
            <w:r>
              <w:t>/non-serving cell it could receive that simultaneously from any cell in the band combination</w:t>
            </w:r>
          </w:p>
        </w:tc>
      </w:tr>
      <w:tr w:rsidR="00F37D43" w:rsidRPr="007B70F8" w14:paraId="6643CD46" w14:textId="77777777" w:rsidTr="00F37D43">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F37D43">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F37D43">
        <w:trPr>
          <w:trHeight w:val="299"/>
        </w:trPr>
        <w:tc>
          <w:tcPr>
            <w:tcW w:w="2312" w:type="dxa"/>
          </w:tcPr>
          <w:p w14:paraId="6607AB54" w14:textId="6DACE9E4" w:rsidR="00A95CDF" w:rsidRPr="00A95CDF" w:rsidRDefault="00A95CDF" w:rsidP="00F37D4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hint="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hint="eastAsia"/>
                <w:lang w:eastAsia="zh-CN"/>
              </w:rPr>
            </w:pPr>
            <w:r>
              <w:rPr>
                <w:rFonts w:eastAsiaTheme="minorEastAsia" w:hint="eastAsia"/>
                <w:lang w:eastAsia="zh-CN"/>
              </w:rPr>
              <w:t>W</w:t>
            </w:r>
            <w:r>
              <w:rPr>
                <w:rFonts w:eastAsiaTheme="minorEastAsia"/>
                <w:lang w:eastAsia="zh-CN"/>
              </w:rPr>
              <w:t>e can reuse the LTE SC-PTM design.</w:t>
            </w:r>
          </w:p>
        </w:tc>
      </w:tr>
      <w:tr w:rsidR="00A95CDF" w:rsidRPr="007B70F8" w14:paraId="1F123B14" w14:textId="77777777" w:rsidTr="00F37D43">
        <w:trPr>
          <w:trHeight w:val="299"/>
        </w:trPr>
        <w:tc>
          <w:tcPr>
            <w:tcW w:w="2312" w:type="dxa"/>
          </w:tcPr>
          <w:p w14:paraId="13017D59" w14:textId="77777777" w:rsidR="00A95CDF" w:rsidRDefault="00A95CDF" w:rsidP="00F37D43">
            <w:pPr>
              <w:rPr>
                <w:rFonts w:eastAsia="MS Mincho"/>
                <w:lang w:eastAsia="ja-JP"/>
              </w:rPr>
            </w:pPr>
          </w:p>
        </w:tc>
        <w:tc>
          <w:tcPr>
            <w:tcW w:w="1693" w:type="dxa"/>
          </w:tcPr>
          <w:p w14:paraId="3B3277D4" w14:textId="77777777" w:rsidR="00A95CDF" w:rsidRDefault="00A95CDF" w:rsidP="00F37D43">
            <w:pPr>
              <w:rPr>
                <w:rFonts w:eastAsia="MS Mincho"/>
                <w:lang w:eastAsia="ja-JP"/>
              </w:rPr>
            </w:pPr>
          </w:p>
        </w:tc>
        <w:tc>
          <w:tcPr>
            <w:tcW w:w="5619" w:type="dxa"/>
          </w:tcPr>
          <w:p w14:paraId="1A2BD835" w14:textId="77777777" w:rsidR="00A95CDF" w:rsidRDefault="00A95CDF" w:rsidP="00F37D43">
            <w:pPr>
              <w:rPr>
                <w:rFonts w:eastAsia="MS Mincho"/>
                <w:lang w:eastAsia="ja-JP"/>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af5"/>
        <w:tblW w:w="0" w:type="auto"/>
        <w:tblInd w:w="6" w:type="dxa"/>
        <w:tblLook w:val="04A0" w:firstRow="1" w:lastRow="0" w:firstColumn="1" w:lastColumn="0" w:noHBand="0" w:noVBand="1"/>
      </w:tblPr>
      <w:tblGrid>
        <w:gridCol w:w="2313"/>
        <w:gridCol w:w="893"/>
        <w:gridCol w:w="6417"/>
      </w:tblGrid>
      <w:tr w:rsidR="00DA26C5" w14:paraId="2D76B63D" w14:textId="77777777" w:rsidTr="00F84413">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F84413">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F84413">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w:t>
            </w:r>
            <w:proofErr w:type="gramStart"/>
            <w:r>
              <w:t>two-step based</w:t>
            </w:r>
            <w:proofErr w:type="gramEnd"/>
            <w:r>
              <w:t xml:space="preserve">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lastRenderedPageBreak/>
              <w:t xml:space="preserve">Our suggestion is to postpone the discussion to Rel-18 MBS, as there is corresponding objective as listed in Rel-18 MBS WID. </w:t>
            </w:r>
          </w:p>
        </w:tc>
      </w:tr>
      <w:tr w:rsidR="00DA26C5" w14:paraId="6F235956" w14:textId="77777777" w:rsidTr="00F84413">
        <w:tc>
          <w:tcPr>
            <w:tcW w:w="2313" w:type="dxa"/>
          </w:tcPr>
          <w:p w14:paraId="513A90CD" w14:textId="77777777" w:rsidR="00DA26C5" w:rsidRDefault="00977A79">
            <w:r>
              <w:lastRenderedPageBreak/>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F84413">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F84413">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F84413">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F84413">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F84413">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 xml:space="preserve">The UE capable of </w:t>
            </w:r>
            <w:proofErr w:type="spellStart"/>
            <w:r>
              <w:rPr>
                <w:lang w:val="en-US" w:eastAsia="zh-CN"/>
              </w:rPr>
              <w:t>SCell</w:t>
            </w:r>
            <w:proofErr w:type="spellEnd"/>
            <w:r>
              <w:rPr>
                <w:lang w:val="en-US" w:eastAsia="zh-CN"/>
              </w:rPr>
              <w:t xml:space="preserve"> broadcast MBS should be able to read the </w:t>
            </w:r>
            <w:proofErr w:type="spellStart"/>
            <w:r>
              <w:rPr>
                <w:lang w:val="en-US" w:eastAsia="zh-CN"/>
              </w:rPr>
              <w:t>SCell</w:t>
            </w:r>
            <w:proofErr w:type="spellEnd"/>
            <w:r>
              <w:rPr>
                <w:lang w:val="en-US" w:eastAsia="zh-CN"/>
              </w:rPr>
              <w:t xml:space="preserve"> SIB.</w:t>
            </w:r>
          </w:p>
        </w:tc>
      </w:tr>
      <w:tr w:rsidR="00F84413" w:rsidRPr="007B70F8" w14:paraId="42E3C9E5" w14:textId="77777777" w:rsidTr="00F84413">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F84413">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F84413">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F84413">
        <w:tc>
          <w:tcPr>
            <w:tcW w:w="2313" w:type="dxa"/>
          </w:tcPr>
          <w:p w14:paraId="7DFD051B" w14:textId="5E97B10A" w:rsidR="0059646D" w:rsidRPr="0059646D" w:rsidRDefault="0059646D" w:rsidP="00F37D4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hint="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bookmarkStart w:id="2" w:name="_GoBack"/>
            <w:bookmarkEnd w:id="2"/>
            <w:r w:rsidR="0063375B">
              <w:rPr>
                <w:rFonts w:eastAsiaTheme="minorEastAsia"/>
                <w:lang w:eastAsia="zh-CN"/>
              </w:rPr>
              <w:t>normative work is needed, as LTE SC-PTM.</w:t>
            </w:r>
          </w:p>
        </w:tc>
      </w:tr>
      <w:tr w:rsidR="0059646D" w:rsidRPr="007B70F8" w14:paraId="64A88961" w14:textId="77777777" w:rsidTr="00F84413">
        <w:tc>
          <w:tcPr>
            <w:tcW w:w="2313" w:type="dxa"/>
          </w:tcPr>
          <w:p w14:paraId="2C299AAF" w14:textId="77777777" w:rsidR="0059646D" w:rsidRDefault="0059646D" w:rsidP="00F37D43">
            <w:pPr>
              <w:rPr>
                <w:rFonts w:eastAsia="MS Mincho"/>
                <w:lang w:eastAsia="ja-JP"/>
              </w:rPr>
            </w:pPr>
          </w:p>
        </w:tc>
        <w:tc>
          <w:tcPr>
            <w:tcW w:w="893" w:type="dxa"/>
          </w:tcPr>
          <w:p w14:paraId="531FE711" w14:textId="77777777" w:rsidR="0059646D" w:rsidRDefault="0059646D" w:rsidP="00F37D43">
            <w:pPr>
              <w:rPr>
                <w:rFonts w:eastAsia="MS Mincho"/>
                <w:lang w:eastAsia="ja-JP"/>
              </w:rPr>
            </w:pPr>
          </w:p>
        </w:tc>
        <w:tc>
          <w:tcPr>
            <w:tcW w:w="6417" w:type="dxa"/>
          </w:tcPr>
          <w:p w14:paraId="09F0598F" w14:textId="77777777" w:rsidR="0059646D" w:rsidRDefault="0059646D" w:rsidP="00F37D43">
            <w:pPr>
              <w:rPr>
                <w:rFonts w:eastAsia="MS Mincho"/>
                <w:lang w:eastAsia="ja-JP"/>
              </w:rPr>
            </w:pPr>
          </w:p>
        </w:tc>
      </w:tr>
    </w:tbl>
    <w:p w14:paraId="0261140D" w14:textId="77777777" w:rsidR="00DA26C5" w:rsidRDefault="00DA26C5">
      <w:pPr>
        <w:rPr>
          <w:b/>
          <w:lang w:eastAsia="zh-CN"/>
        </w:rPr>
      </w:pPr>
    </w:p>
    <w:bookmarkEnd w:id="0"/>
    <w:p w14:paraId="614AE3E7" w14:textId="77777777" w:rsidR="00DA26C5" w:rsidRDefault="00977A79">
      <w:pPr>
        <w:pStyle w:val="1"/>
        <w:numPr>
          <w:ilvl w:val="0"/>
          <w:numId w:val="0"/>
        </w:numPr>
        <w:ind w:left="567" w:hanging="567"/>
      </w:pPr>
      <w:r>
        <w:t>References</w:t>
      </w:r>
    </w:p>
    <w:p w14:paraId="11160311" w14:textId="77777777" w:rsidR="00DA26C5" w:rsidRDefault="00977A79">
      <w:pPr>
        <w:pStyle w:val="afa"/>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afa"/>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afa"/>
        <w:numPr>
          <w:ilvl w:val="0"/>
          <w:numId w:val="16"/>
        </w:numPr>
      </w:pPr>
      <w:r>
        <w:t xml:space="preserve">R1-2200798, LS reply to MBS broadcast reception on </w:t>
      </w:r>
      <w:proofErr w:type="spellStart"/>
      <w:r>
        <w:t>SCell</w:t>
      </w:r>
      <w:proofErr w:type="spellEnd"/>
      <w:r>
        <w:t xml:space="preserve"> and non-serving cell, Source: RAN1</w:t>
      </w:r>
    </w:p>
    <w:p w14:paraId="6C4258C5" w14:textId="77777777" w:rsidR="00DA26C5" w:rsidRDefault="00977A79">
      <w:pPr>
        <w:pStyle w:val="afa"/>
        <w:numPr>
          <w:ilvl w:val="0"/>
          <w:numId w:val="16"/>
        </w:numPr>
      </w:pPr>
      <w:r>
        <w:t>R1-2112850, LS on MTCH scheduling window, Source: RAN1</w:t>
      </w:r>
    </w:p>
    <w:p w14:paraId="48547454" w14:textId="77777777" w:rsidR="00DA26C5" w:rsidRDefault="00977A79">
      <w:pPr>
        <w:pStyle w:val="afa"/>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afa"/>
        <w:numPr>
          <w:ilvl w:val="0"/>
          <w:numId w:val="16"/>
        </w:numPr>
      </w:pPr>
      <w:r>
        <w:t xml:space="preserve"> R2-2201880, Report of [AT116bis-</w:t>
      </w:r>
      <w:proofErr w:type="gramStart"/>
      <w:r>
        <w:t>e][</w:t>
      </w:r>
      <w:proofErr w:type="gramEnd"/>
      <w:r>
        <w:t>019][MBS] Multicast Handover and related reconfigurations (QC), Qualcomm</w:t>
      </w:r>
    </w:p>
    <w:sectPr w:rsidR="00DA26C5">
      <w:headerReference w:type="default" r:id="rId14"/>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B9A8" w14:textId="77777777" w:rsidR="00860B5E" w:rsidRDefault="00860B5E">
      <w:pPr>
        <w:spacing w:after="0"/>
      </w:pPr>
      <w:r>
        <w:separator/>
      </w:r>
    </w:p>
  </w:endnote>
  <w:endnote w:type="continuationSeparator" w:id="0">
    <w:p w14:paraId="1AB72936" w14:textId="77777777" w:rsidR="00860B5E" w:rsidRDefault="00860B5E">
      <w:pPr>
        <w:spacing w:after="0"/>
      </w:pPr>
      <w:r>
        <w:continuationSeparator/>
      </w:r>
    </w:p>
  </w:endnote>
  <w:endnote w:type="continuationNotice" w:id="1">
    <w:p w14:paraId="5646A72D" w14:textId="77777777" w:rsidR="00860B5E" w:rsidRDefault="00860B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62D1C" w14:textId="77777777" w:rsidR="00860B5E" w:rsidRDefault="00860B5E">
      <w:pPr>
        <w:spacing w:after="0"/>
      </w:pPr>
      <w:r>
        <w:separator/>
      </w:r>
    </w:p>
  </w:footnote>
  <w:footnote w:type="continuationSeparator" w:id="0">
    <w:p w14:paraId="3622EA51" w14:textId="77777777" w:rsidR="00860B5E" w:rsidRDefault="00860B5E">
      <w:pPr>
        <w:spacing w:after="0"/>
      </w:pPr>
      <w:r>
        <w:continuationSeparator/>
      </w:r>
    </w:p>
  </w:footnote>
  <w:footnote w:type="continuationNotice" w:id="1">
    <w:p w14:paraId="053B3885" w14:textId="77777777" w:rsidR="00860B5E" w:rsidRDefault="00860B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100B" w14:textId="77777777" w:rsidR="00012CEB" w:rsidRDefault="00012CE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302F"/>
    <w:rsid w:val="001A34A4"/>
    <w:rsid w:val="001A355C"/>
    <w:rsid w:val="001A3567"/>
    <w:rsid w:val="001A35CD"/>
    <w:rsid w:val="001A35F3"/>
    <w:rsid w:val="001A3F23"/>
    <w:rsid w:val="001A491C"/>
    <w:rsid w:val="001A57DA"/>
    <w:rsid w:val="001A6088"/>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4289"/>
    <w:rsid w:val="001E5776"/>
    <w:rsid w:val="001E5CC9"/>
    <w:rsid w:val="001E5E00"/>
    <w:rsid w:val="001E6284"/>
    <w:rsid w:val="001E7396"/>
    <w:rsid w:val="001E79E6"/>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32D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5A60"/>
    <w:rsid w:val="003A5D68"/>
    <w:rsid w:val="003A613B"/>
    <w:rsid w:val="003B0F8D"/>
    <w:rsid w:val="003B1666"/>
    <w:rsid w:val="003B1997"/>
    <w:rsid w:val="003B1B31"/>
    <w:rsid w:val="003B2489"/>
    <w:rsid w:val="003B261E"/>
    <w:rsid w:val="003B2DDD"/>
    <w:rsid w:val="003B3B38"/>
    <w:rsid w:val="003B3C32"/>
    <w:rsid w:val="003B411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6CDA"/>
    <w:rsid w:val="00466EFF"/>
    <w:rsid w:val="004724B1"/>
    <w:rsid w:val="004724CD"/>
    <w:rsid w:val="00472631"/>
    <w:rsid w:val="00472D7A"/>
    <w:rsid w:val="00473180"/>
    <w:rsid w:val="004744CE"/>
    <w:rsid w:val="004746B4"/>
    <w:rsid w:val="00474762"/>
    <w:rsid w:val="00474B1C"/>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A1"/>
    <w:rsid w:val="00525486"/>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6A82"/>
    <w:rsid w:val="00616F39"/>
    <w:rsid w:val="006175B8"/>
    <w:rsid w:val="00617EDA"/>
    <w:rsid w:val="00621188"/>
    <w:rsid w:val="00621B23"/>
    <w:rsid w:val="006220D0"/>
    <w:rsid w:val="006224CB"/>
    <w:rsid w:val="00622914"/>
    <w:rsid w:val="0062315F"/>
    <w:rsid w:val="006233A3"/>
    <w:rsid w:val="006243B1"/>
    <w:rsid w:val="006257ED"/>
    <w:rsid w:val="00626B06"/>
    <w:rsid w:val="00626BE2"/>
    <w:rsid w:val="0062733D"/>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4F2D"/>
    <w:rsid w:val="00806457"/>
    <w:rsid w:val="00811F93"/>
    <w:rsid w:val="00812285"/>
    <w:rsid w:val="00812886"/>
    <w:rsid w:val="00812925"/>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B5E"/>
    <w:rsid w:val="00860C0D"/>
    <w:rsid w:val="00861C39"/>
    <w:rsid w:val="00861F9B"/>
    <w:rsid w:val="008624F5"/>
    <w:rsid w:val="008626E7"/>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1F0F"/>
    <w:rsid w:val="008A28AF"/>
    <w:rsid w:val="008A4B11"/>
    <w:rsid w:val="008A4CDA"/>
    <w:rsid w:val="008A4F19"/>
    <w:rsid w:val="008A501A"/>
    <w:rsid w:val="008A655D"/>
    <w:rsid w:val="008A7588"/>
    <w:rsid w:val="008B0B1D"/>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FA1"/>
    <w:rsid w:val="00A075D2"/>
    <w:rsid w:val="00A0777A"/>
    <w:rsid w:val="00A079C8"/>
    <w:rsid w:val="00A10EBC"/>
    <w:rsid w:val="00A11006"/>
    <w:rsid w:val="00A11660"/>
    <w:rsid w:val="00A11924"/>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00C"/>
    <w:rsid w:val="00B0624C"/>
    <w:rsid w:val="00B1056F"/>
    <w:rsid w:val="00B109DC"/>
    <w:rsid w:val="00B10D39"/>
    <w:rsid w:val="00B11234"/>
    <w:rsid w:val="00B13060"/>
    <w:rsid w:val="00B131F6"/>
    <w:rsid w:val="00B156F4"/>
    <w:rsid w:val="00B159EE"/>
    <w:rsid w:val="00B15B5F"/>
    <w:rsid w:val="00B15F7D"/>
    <w:rsid w:val="00B1746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27BFB"/>
    <w:rsid w:val="00D305DB"/>
    <w:rsid w:val="00D30948"/>
    <w:rsid w:val="00D31225"/>
    <w:rsid w:val="00D34529"/>
    <w:rsid w:val="00D354B3"/>
    <w:rsid w:val="00D36FF5"/>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4D7D"/>
    <w:rsid w:val="00DB5456"/>
    <w:rsid w:val="00DB5554"/>
    <w:rsid w:val="00DB58CA"/>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56F0"/>
    <w:rsid w:val="00E4708F"/>
    <w:rsid w:val="00E47927"/>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adjustRightInd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pPr>
      <w:spacing w:afterLines="60" w:after="120"/>
      <w:jc w:val="both"/>
    </w:pPr>
    <w:rPr>
      <w:szCs w:val="24"/>
      <w:lang w:val="zh-CN"/>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qFormat/>
    <w:rPr>
      <w:sz w:val="24"/>
      <w:szCs w:val="24"/>
    </w:rPr>
  </w:style>
  <w:style w:type="paragraph" w:styleId="11">
    <w:name w:val="index 1"/>
    <w:basedOn w:val="a"/>
    <w:next w:val="a"/>
    <w:semiHidden/>
    <w:pPr>
      <w:keepLines/>
      <w:spacing w:after="0"/>
    </w:pPr>
  </w:style>
  <w:style w:type="paragraph" w:styleId="23">
    <w:name w:val="index 2"/>
    <w:basedOn w:val="11"/>
    <w:next w:val="a"/>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rPr>
      <w:color w:val="800080"/>
      <w:u w:val="single"/>
    </w:rPr>
  </w:style>
  <w:style w:type="character" w:styleId="af7">
    <w:name w:val="Hyperlink"/>
    <w:qFormat/>
    <w:rPr>
      <w:color w:val="0000FF"/>
      <w:u w:val="single"/>
    </w:rPr>
  </w:style>
  <w:style w:type="character" w:styleId="af8">
    <w:name w:val="annotation reference"/>
    <w:qFormat/>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afb">
    <w:name w:val="列表段落 字符"/>
    <w:link w:val="afa"/>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hAnsi="Arial" w:cs="Arial"/>
      <w:b/>
      <w:bCs/>
      <w:lang w:eastAsia="en-GB"/>
    </w:rPr>
  </w:style>
  <w:style w:type="paragraph" w:customStyle="1" w:styleId="EmailDiscussion">
    <w:name w:val="EmailDiscussion"/>
    <w:basedOn w:val="a"/>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apple-converted-space">
    <w:name w:val="apple-converted-space"/>
    <w:basedOn w:val="a0"/>
    <w:qFormat/>
  </w:style>
  <w:style w:type="character" w:customStyle="1" w:styleId="10">
    <w:name w:val="标题 1 字符"/>
    <w:basedOn w:val="a0"/>
    <w:link w:val="1"/>
    <w:qFormat/>
    <w:rPr>
      <w:rFonts w:ascii="Arial" w:hAnsi="Arial"/>
      <w:sz w:val="36"/>
      <w:lang w:val="en-GB" w:eastAsia="en-US"/>
    </w:rPr>
  </w:style>
  <w:style w:type="paragraph" w:customStyle="1" w:styleId="agreement0">
    <w:name w:val="agreement"/>
    <w:basedOn w:val="a"/>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c">
    <w:name w:val="Revision"/>
    <w:hidden/>
    <w:uiPriority w:val="99"/>
    <w:semiHidden/>
    <w:rsid w:val="00C750CD"/>
    <w:rPr>
      <w:rFonts w:ascii="Times New Roman" w:hAnsi="Times New Roman"/>
      <w:lang w:val="en-GB" w:eastAsia="en-US"/>
    </w:rPr>
  </w:style>
  <w:style w:type="character" w:styleId="afd">
    <w:name w:val="Unresolved Mention"/>
    <w:basedOn w:val="a0"/>
    <w:uiPriority w:val="99"/>
    <w:semiHidden/>
    <w:unhideWhenUsed/>
    <w:rsid w:val="0073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F481CC-CA4A-4983-B5DA-2360E9D3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20</Pages>
  <Words>6673</Words>
  <Characters>38039</Characters>
  <Application>Microsoft Office Word</Application>
  <DocSecurity>0</DocSecurity>
  <Lines>316</Lines>
  <Paragraphs>89</Paragraphs>
  <ScaleCrop>false</ScaleCrop>
  <Company>Huawei Technologies Co.,Ltd.</Company>
  <LinksUpToDate>false</LinksUpToDate>
  <CharactersWithSpaces>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82</cp:revision>
  <cp:lastPrinted>1900-12-31T16:00:00Z</cp:lastPrinted>
  <dcterms:created xsi:type="dcterms:W3CDTF">2022-02-11T11:26:00Z</dcterms:created>
  <dcterms:modified xsi:type="dcterms:W3CDTF">2022-02-11T14:00:00Z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