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Header"/>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 xml:space="preserve">[RA Part] UP </w:t>
      </w:r>
      <w:r>
        <w:rPr>
          <w:rFonts w:ascii="Arial" w:hAnsi="Arial" w:cs="Arial"/>
          <w:b/>
          <w:bCs/>
          <w:sz w:val="24"/>
          <w:lang w:val="en-US"/>
        </w:rPr>
        <w:t>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Heading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r>
              <w:rPr>
                <w:szCs w:val="20"/>
                <w:lang w:eastAsia="zh-CN"/>
              </w:rPr>
              <w:t>Linhai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hongdaDu</w:t>
            </w:r>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Yassin Awad</w:t>
            </w:r>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r>
              <w:rPr>
                <w:rFonts w:hint="eastAsia"/>
                <w:szCs w:val="20"/>
                <w:lang w:val="en-US" w:eastAsia="zh-CN"/>
              </w:rPr>
              <w:t>Xiaofei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77777777" w:rsidR="000E6612" w:rsidRDefault="000E6612">
            <w:pPr>
              <w:spacing w:after="0"/>
              <w:rPr>
                <w:szCs w:val="20"/>
                <w:lang w:eastAsia="ja-JP"/>
              </w:rPr>
            </w:pPr>
          </w:p>
        </w:tc>
        <w:tc>
          <w:tcPr>
            <w:tcW w:w="2687" w:type="dxa"/>
          </w:tcPr>
          <w:p w14:paraId="479244F3" w14:textId="77777777" w:rsidR="000E6612" w:rsidRDefault="000E6612">
            <w:pPr>
              <w:spacing w:after="0"/>
              <w:rPr>
                <w:szCs w:val="20"/>
                <w:lang w:eastAsia="ja-JP"/>
              </w:rPr>
            </w:pPr>
          </w:p>
        </w:tc>
        <w:tc>
          <w:tcPr>
            <w:tcW w:w="4903" w:type="dxa"/>
          </w:tcPr>
          <w:p w14:paraId="516BE755" w14:textId="77777777" w:rsidR="000E6612" w:rsidRDefault="000E6612">
            <w:pPr>
              <w:spacing w:after="0"/>
              <w:rPr>
                <w:szCs w:val="20"/>
                <w:lang w:eastAsia="ja-JP"/>
              </w:rPr>
            </w:pPr>
          </w:p>
        </w:tc>
      </w:tr>
      <w:tr w:rsidR="000E6612" w14:paraId="717025BC" w14:textId="77777777">
        <w:tc>
          <w:tcPr>
            <w:tcW w:w="1760" w:type="dxa"/>
          </w:tcPr>
          <w:p w14:paraId="308DDAEC" w14:textId="77777777" w:rsidR="000E6612" w:rsidRDefault="000E6612">
            <w:pPr>
              <w:spacing w:after="0"/>
              <w:rPr>
                <w:szCs w:val="20"/>
                <w:lang w:eastAsia="zh-CN"/>
              </w:rPr>
            </w:pPr>
          </w:p>
        </w:tc>
        <w:tc>
          <w:tcPr>
            <w:tcW w:w="2687" w:type="dxa"/>
          </w:tcPr>
          <w:p w14:paraId="4D1456C4" w14:textId="77777777" w:rsidR="000E6612" w:rsidRDefault="000E6612">
            <w:pPr>
              <w:spacing w:after="0"/>
              <w:rPr>
                <w:szCs w:val="20"/>
                <w:lang w:eastAsia="zh-CN"/>
              </w:rPr>
            </w:pPr>
          </w:p>
        </w:tc>
        <w:tc>
          <w:tcPr>
            <w:tcW w:w="4903" w:type="dxa"/>
          </w:tcPr>
          <w:p w14:paraId="20517E8A" w14:textId="77777777" w:rsidR="000E6612" w:rsidRDefault="000E6612">
            <w:pPr>
              <w:spacing w:after="0"/>
              <w:rPr>
                <w:szCs w:val="20"/>
                <w:lang w:eastAsia="zh-CN"/>
              </w:rPr>
            </w:pPr>
          </w:p>
        </w:tc>
      </w:tr>
      <w:tr w:rsidR="000E6612" w14:paraId="06E8AA99" w14:textId="77777777">
        <w:tc>
          <w:tcPr>
            <w:tcW w:w="1760" w:type="dxa"/>
          </w:tcPr>
          <w:p w14:paraId="76648093" w14:textId="77777777" w:rsidR="000E6612" w:rsidRDefault="000E6612">
            <w:pPr>
              <w:spacing w:after="0"/>
              <w:rPr>
                <w:szCs w:val="20"/>
                <w:lang w:eastAsia="ja-JP"/>
              </w:rPr>
            </w:pPr>
          </w:p>
        </w:tc>
        <w:tc>
          <w:tcPr>
            <w:tcW w:w="2687" w:type="dxa"/>
          </w:tcPr>
          <w:p w14:paraId="08A57B2C" w14:textId="77777777" w:rsidR="000E6612" w:rsidRDefault="000E6612">
            <w:pPr>
              <w:spacing w:after="0"/>
              <w:rPr>
                <w:szCs w:val="20"/>
                <w:lang w:eastAsia="ja-JP"/>
              </w:rPr>
            </w:pPr>
          </w:p>
        </w:tc>
        <w:tc>
          <w:tcPr>
            <w:tcW w:w="4903" w:type="dxa"/>
          </w:tcPr>
          <w:p w14:paraId="4F72EC86" w14:textId="77777777" w:rsidR="000E6612" w:rsidRDefault="000E6612">
            <w:pPr>
              <w:spacing w:after="0"/>
              <w:rPr>
                <w:szCs w:val="20"/>
                <w:lang w:eastAsia="ja-JP"/>
              </w:rPr>
            </w:pPr>
          </w:p>
        </w:tc>
      </w:tr>
      <w:tr w:rsidR="000E6612" w14:paraId="72A3DFA5" w14:textId="77777777">
        <w:tc>
          <w:tcPr>
            <w:tcW w:w="1760" w:type="dxa"/>
          </w:tcPr>
          <w:p w14:paraId="26E561DC" w14:textId="77777777" w:rsidR="000E6612" w:rsidRDefault="000E6612">
            <w:pPr>
              <w:spacing w:after="0"/>
              <w:rPr>
                <w:szCs w:val="20"/>
                <w:lang w:eastAsia="ja-JP"/>
              </w:rPr>
            </w:pPr>
          </w:p>
        </w:tc>
        <w:tc>
          <w:tcPr>
            <w:tcW w:w="2687" w:type="dxa"/>
          </w:tcPr>
          <w:p w14:paraId="48E80A31" w14:textId="77777777" w:rsidR="000E6612" w:rsidRDefault="000E6612">
            <w:pPr>
              <w:spacing w:after="0"/>
              <w:rPr>
                <w:szCs w:val="20"/>
                <w:lang w:eastAsia="ja-JP"/>
              </w:rPr>
            </w:pPr>
          </w:p>
        </w:tc>
        <w:tc>
          <w:tcPr>
            <w:tcW w:w="4903" w:type="dxa"/>
          </w:tcPr>
          <w:p w14:paraId="08DBC867" w14:textId="77777777" w:rsidR="000E6612" w:rsidRDefault="000E6612">
            <w:pPr>
              <w:spacing w:after="0"/>
              <w:rPr>
                <w:szCs w:val="20"/>
                <w:lang w:eastAsia="ja-JP"/>
              </w:rPr>
            </w:pPr>
          </w:p>
        </w:tc>
      </w:tr>
      <w:tr w:rsidR="000E6612" w14:paraId="001E89E9" w14:textId="77777777">
        <w:tc>
          <w:tcPr>
            <w:tcW w:w="1760" w:type="dxa"/>
          </w:tcPr>
          <w:p w14:paraId="13C7C10B" w14:textId="77777777" w:rsidR="000E6612" w:rsidRDefault="000E6612">
            <w:pPr>
              <w:spacing w:after="0"/>
              <w:rPr>
                <w:rFonts w:eastAsia="Malgun Gothic"/>
                <w:szCs w:val="20"/>
                <w:lang w:eastAsia="ko-KR"/>
              </w:rPr>
            </w:pPr>
          </w:p>
        </w:tc>
        <w:tc>
          <w:tcPr>
            <w:tcW w:w="2687" w:type="dxa"/>
          </w:tcPr>
          <w:p w14:paraId="71457F76" w14:textId="77777777" w:rsidR="000E6612" w:rsidRDefault="000E6612">
            <w:pPr>
              <w:spacing w:after="0"/>
              <w:rPr>
                <w:rFonts w:eastAsia="Malgun Gothic"/>
                <w:szCs w:val="20"/>
                <w:lang w:eastAsia="ko-KR"/>
              </w:rPr>
            </w:pPr>
          </w:p>
        </w:tc>
        <w:tc>
          <w:tcPr>
            <w:tcW w:w="4903" w:type="dxa"/>
          </w:tcPr>
          <w:p w14:paraId="1237C21D" w14:textId="77777777" w:rsidR="000E6612" w:rsidRDefault="000E6612">
            <w:pPr>
              <w:spacing w:after="0"/>
              <w:rPr>
                <w:rFonts w:eastAsia="Malgun Gothic"/>
                <w:szCs w:val="20"/>
                <w:lang w:eastAsia="ko-KR"/>
              </w:rPr>
            </w:pPr>
          </w:p>
        </w:tc>
      </w:tr>
      <w:tr w:rsidR="000E6612" w14:paraId="65DE9281" w14:textId="77777777">
        <w:tc>
          <w:tcPr>
            <w:tcW w:w="1760" w:type="dxa"/>
          </w:tcPr>
          <w:p w14:paraId="2E9D6C0A" w14:textId="77777777" w:rsidR="000E6612" w:rsidRDefault="000E6612">
            <w:pPr>
              <w:spacing w:after="0"/>
              <w:rPr>
                <w:szCs w:val="20"/>
                <w:lang w:eastAsia="ja-JP"/>
              </w:rPr>
            </w:pPr>
          </w:p>
        </w:tc>
        <w:tc>
          <w:tcPr>
            <w:tcW w:w="2687" w:type="dxa"/>
          </w:tcPr>
          <w:p w14:paraId="68467E8B" w14:textId="77777777" w:rsidR="000E6612" w:rsidRDefault="000E6612">
            <w:pPr>
              <w:spacing w:after="0"/>
              <w:rPr>
                <w:szCs w:val="20"/>
                <w:lang w:eastAsia="zh-CN"/>
              </w:rPr>
            </w:pPr>
          </w:p>
        </w:tc>
        <w:tc>
          <w:tcPr>
            <w:tcW w:w="4903" w:type="dxa"/>
          </w:tcPr>
          <w:p w14:paraId="73718A96" w14:textId="77777777" w:rsidR="000E6612" w:rsidRDefault="000E6612">
            <w:pPr>
              <w:spacing w:after="0"/>
              <w:rPr>
                <w:szCs w:val="20"/>
                <w:lang w:eastAsia="zh-CN"/>
              </w:rPr>
            </w:pPr>
          </w:p>
        </w:tc>
      </w:tr>
    </w:tbl>
    <w:p w14:paraId="26A73C00" w14:textId="77777777" w:rsidR="000E6612" w:rsidRDefault="0023656F">
      <w:pPr>
        <w:pStyle w:val="Heading1"/>
      </w:pPr>
      <w:r>
        <w:t>Identification of additional issues</w:t>
      </w:r>
    </w:p>
    <w:p w14:paraId="78B59D5E" w14:textId="77777777" w:rsidR="000E6612" w:rsidRDefault="0023656F">
      <w:r>
        <w:t xml:space="preserve">The </w:t>
      </w:r>
      <w:r>
        <w:t>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 xml:space="preserve">If a separate search space for each RACH resource partition is allowed, there </w:t>
            </w:r>
            <w:r>
              <w:rPr>
                <w:lang w:val="en-US" w:eastAsia="en-GB"/>
              </w:rPr>
              <w:t>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A5419D8" w14:textId="77777777" w:rsidR="000E6612" w:rsidRDefault="0023656F">
            <w:pPr>
              <w:ind w:left="284"/>
              <w:rPr>
                <w:lang w:val="en-US" w:eastAsia="en-GB"/>
              </w:rPr>
            </w:pPr>
            <w:r>
              <w:rPr>
                <w:b/>
                <w:bCs/>
                <w:lang w:val="en-US"/>
              </w:rPr>
              <w:t>Ob</w:t>
            </w:r>
            <w:r>
              <w:rPr>
                <w:b/>
                <w:bCs/>
                <w:lang w:val="en-US"/>
              </w:rPr>
              <w:t xml:space="preserve">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w:t>
            </w:r>
            <w:r>
              <w:rPr>
                <w:b/>
                <w:bCs/>
                <w:lang w:val="en-US"/>
              </w:rPr>
              <w:t>ts for the symbol index (</w:t>
            </w:r>
            <w:r>
              <w:rPr>
                <w:b/>
                <w:bCs/>
                <w:i/>
                <w:iCs/>
                <w:lang w:val="en-US" w:eastAsia="ko-KR"/>
              </w:rPr>
              <w:t>s_id</w:t>
            </w:r>
            <w:r>
              <w:rPr>
                <w:b/>
                <w:bCs/>
                <w:lang w:val="en-US" w:eastAsia="ko-KR"/>
              </w:rPr>
              <w:t xml:space="preserve">) and </w:t>
            </w:r>
            <w:r>
              <w:rPr>
                <w:b/>
                <w:bCs/>
                <w:lang w:val="en-US"/>
              </w:rPr>
              <w:t>the slot index (</w:t>
            </w:r>
            <w:r>
              <w:rPr>
                <w:b/>
                <w:bCs/>
                <w:i/>
                <w:iCs/>
                <w:lang w:val="en-US" w:eastAsia="ko-KR"/>
              </w:rPr>
              <w:t>t_id</w:t>
            </w:r>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r>
              <w:rPr>
                <w:b/>
                <w:bCs/>
                <w:i/>
                <w:iCs/>
                <w:lang w:val="en-US" w:eastAsia="ko-KR"/>
              </w:rPr>
              <w:t>s_id</w:t>
            </w:r>
            <w:r>
              <w:rPr>
                <w:b/>
                <w:bCs/>
                <w:lang w:val="en-US" w:eastAsia="ko-KR"/>
              </w:rPr>
              <w:t xml:space="preserve"> and </w:t>
            </w:r>
            <w:r>
              <w:rPr>
                <w:b/>
                <w:bCs/>
                <w:i/>
                <w:iCs/>
                <w:lang w:val="en-US" w:eastAsia="ko-KR"/>
              </w:rPr>
              <w:t>t_id</w:t>
            </w:r>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 xml:space="preserve">P1 is </w:t>
            </w:r>
            <w:r>
              <w:rPr>
                <w:lang w:val="en-US"/>
              </w:rPr>
              <w:t>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w:t>
            </w:r>
            <w:r>
              <w:rPr>
                <w:rFonts w:eastAsia="Times New Roman"/>
                <w:lang w:val="en-US"/>
              </w:rPr>
              <w:t>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w:t>
            </w:r>
            <w:r>
              <w:rPr>
                <w:highlight w:val="yellow"/>
                <w:lang w:val="en-US"/>
              </w:rPr>
              <w:t>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w:t>
            </w:r>
            <w:r>
              <w:rPr>
                <w:lang w:val="en-US"/>
              </w:rPr>
              <w:t>      Network can optionally configure an RA-RNTI offset associated with a PRACH configuration. If configured, the offset is added in the formula for RA-RNTI/MsgB-RNTI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 xml:space="preserve">P1 is being discussed in </w:t>
            </w:r>
            <w:r>
              <w:rPr>
                <w:lang w:val="en-US"/>
              </w:rPr>
              <w:t>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w:t>
            </w:r>
            <w:r>
              <w:rPr>
                <w:lang w:val="en-US"/>
              </w:rPr>
              <w:t>][514]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w:t>
            </w:r>
            <w:r>
              <w:rPr>
                <w:b/>
                <w:bCs/>
                <w:highlight w:val="yellow"/>
                <w:lang w:val="en-US"/>
              </w:rPr>
              <w:t>combination) specific RACH to 4-step common RACH is not supported.</w:t>
            </w:r>
          </w:p>
          <w:p w14:paraId="40A56DDA" w14:textId="77777777" w:rsidR="000E6612" w:rsidRDefault="0023656F">
            <w:pPr>
              <w:pStyle w:val="ListParagraph"/>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ListParagraph"/>
              <w:spacing w:after="0"/>
              <w:ind w:left="0"/>
              <w:rPr>
                <w:b/>
                <w:lang w:val="en-US"/>
              </w:rPr>
            </w:pPr>
            <w:r>
              <w:rPr>
                <w:b/>
                <w:lang w:val="en-US"/>
              </w:rPr>
              <w:t xml:space="preserve">Proposal 4: To avoid that SDT procedure is initiated while the </w:t>
            </w:r>
            <w:r>
              <w:rPr>
                <w:b/>
                <w:lang w:val="en-US"/>
              </w:rPr>
              <w:t>feature/feature combination does not include SDT, RAN2 should consider updating the SDT CRs according to one of the following options:</w:t>
            </w:r>
          </w:p>
          <w:p w14:paraId="6FD1320C" w14:textId="77777777" w:rsidR="000E6612" w:rsidRDefault="0023656F">
            <w:pPr>
              <w:pStyle w:val="ListParagraph"/>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ListParagraph"/>
              <w:numPr>
                <w:ilvl w:val="0"/>
                <w:numId w:val="10"/>
              </w:numPr>
              <w:spacing w:after="0" w:line="300" w:lineRule="auto"/>
              <w:rPr>
                <w:b/>
                <w:sz w:val="22"/>
                <w:lang w:val="en-US"/>
              </w:rPr>
            </w:pPr>
            <w:r>
              <w:rPr>
                <w:b/>
                <w:lang w:val="en-US"/>
              </w:rPr>
              <w:t xml:space="preserve">Option 2: MAC layer </w:t>
            </w:r>
            <w:r>
              <w:rPr>
                <w:b/>
                <w:lang w:val="en-US"/>
              </w:rPr>
              <w:t>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 xml:space="preserve">Observation </w:t>
            </w:r>
            <w:r>
              <w:rPr>
                <w:b/>
                <w:bCs/>
                <w:lang w:val="en-US"/>
              </w:rPr>
              <w:t>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w:t>
            </w:r>
            <w:r>
              <w:rPr>
                <w:b/>
                <w:bCs/>
                <w:lang w:val="en-US"/>
              </w:rPr>
              <w:t>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w:t>
            </w:r>
            <w:r>
              <w:rPr>
                <w:b/>
                <w:bCs/>
                <w:lang w:val="en-US"/>
              </w:rPr>
              <w:t>sed for current RA procedure and available and available in a certain RACH partition.</w:t>
            </w:r>
          </w:p>
          <w:p w14:paraId="5CAD81D7" w14:textId="77777777" w:rsidR="000E6612" w:rsidRDefault="0023656F">
            <w:pPr>
              <w:rPr>
                <w:b/>
                <w:bCs/>
                <w:lang w:val="en-US"/>
              </w:rPr>
            </w:pPr>
            <w:r>
              <w:rPr>
                <w:b/>
                <w:bCs/>
                <w:lang w:val="en-US"/>
              </w:rPr>
              <w:lastRenderedPageBreak/>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 xml:space="preserve">Proposal 3: SDT can be configured to use common RACH resources in which </w:t>
            </w:r>
            <w:r>
              <w:rPr>
                <w:b/>
                <w:highlight w:val="green"/>
                <w:lang w:val="en-US"/>
              </w:rPr>
              <w:t>case Msg3 is used to indicate the SDT procedure to the network.</w:t>
            </w:r>
          </w:p>
          <w:p w14:paraId="483138B4" w14:textId="77777777" w:rsidR="000E6612" w:rsidRDefault="0023656F">
            <w:pPr>
              <w:rPr>
                <w:b/>
                <w:highlight w:val="cyan"/>
                <w:lang w:val="en-US"/>
              </w:rPr>
            </w:pPr>
            <w:r>
              <w:rPr>
                <w:b/>
                <w:highlight w:val="cyan"/>
                <w:lang w:val="en-US"/>
              </w:rPr>
              <w:t>Proposal 4: When one RO provides preambles for multiple RACH partitions, it shall be possible to selectively apply backoff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w:t>
            </w:r>
            <w:r>
              <w:rPr>
                <w:lang w:val="en-US"/>
              </w:rPr>
              <w:t>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P4: Backoff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w:t>
            </w:r>
            <w:r>
              <w:rPr>
                <w:b/>
                <w:bCs/>
                <w:highlight w:val="yellow"/>
                <w:lang w:val="en-US"/>
              </w:rPr>
              <w:t>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Based on the above analy</w:t>
      </w:r>
      <w:r>
        <w:t xml:space="preserve">sis, the following issues will be discussed here (as remaining are covered by </w:t>
      </w:r>
      <w:r>
        <w:rPr>
          <w:lang w:val="en-US"/>
        </w:rPr>
        <w:t>[Post116bis-e][514] and [515]</w:t>
      </w:r>
      <w:r>
        <w:t>):</w:t>
      </w:r>
    </w:p>
    <w:p w14:paraId="0326DED5" w14:textId="77777777" w:rsidR="000E6612" w:rsidRDefault="0023656F">
      <w:pPr>
        <w:pStyle w:val="ListParagraph"/>
        <w:numPr>
          <w:ilvl w:val="0"/>
          <w:numId w:val="9"/>
        </w:numPr>
      </w:pPr>
      <w:r>
        <w:rPr>
          <w:highlight w:val="yellow"/>
        </w:rPr>
        <w:t>Issue#1</w:t>
      </w:r>
      <w:r>
        <w:t>: Fallback mechanism from 2-step RACH to Msg1 of 4-step RACH</w:t>
      </w:r>
    </w:p>
    <w:p w14:paraId="053F4515" w14:textId="77777777" w:rsidR="000E6612" w:rsidRDefault="0023656F">
      <w:pPr>
        <w:pStyle w:val="ListParagraph"/>
        <w:numPr>
          <w:ilvl w:val="0"/>
          <w:numId w:val="9"/>
        </w:numPr>
      </w:pPr>
      <w:r>
        <w:rPr>
          <w:highlight w:val="cyan"/>
        </w:rPr>
        <w:t>Issue#2</w:t>
      </w:r>
      <w:r>
        <w:t xml:space="preserve">: </w:t>
      </w:r>
      <w:bookmarkStart w:id="0" w:name="_Hlk95830012"/>
      <w:r>
        <w:t>Selective Backoff in RO shared by multiple RACH partition</w:t>
      </w:r>
    </w:p>
    <w:bookmarkEnd w:id="0"/>
    <w:p w14:paraId="6749F6D8" w14:textId="77777777" w:rsidR="000E6612" w:rsidRDefault="0023656F">
      <w:pPr>
        <w:pStyle w:val="ListParagraph"/>
        <w:numPr>
          <w:ilvl w:val="0"/>
          <w:numId w:val="9"/>
        </w:numPr>
      </w:pPr>
      <w:r>
        <w:rPr>
          <w:highlight w:val="green"/>
        </w:rPr>
        <w:t>Issue#3</w:t>
      </w:r>
      <w:r>
        <w:t>: Ms</w:t>
      </w:r>
      <w:r>
        <w:t xml:space="preserve">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Heading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w:t>
            </w:r>
            <w:r>
              <w:rPr>
                <w:lang w:val="en-US"/>
              </w:rPr>
              <w:t>)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 xml:space="preserve">Proposal 2: </w:t>
            </w:r>
            <w:r>
              <w:rPr>
                <w:b/>
                <w:bCs/>
                <w:lang w:val="en-US"/>
              </w:rPr>
              <w:t>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w:t>
            </w:r>
            <w:r>
              <w:rPr>
                <w:b/>
                <w:bCs/>
                <w:lang w:val="en-US"/>
              </w:rPr>
              <w:t>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th</w:t>
      </w:r>
      <w:r>
        <w:rPr>
          <w:rFonts w:eastAsiaTheme="minorEastAsia"/>
        </w:rPr>
        <w:t xml:space="preserve">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w:t>
            </w:r>
            <w:r>
              <w:rPr>
                <w:rFonts w:ascii="Arial" w:eastAsia="Times New Roman" w:hAnsi="Arial" w:cs="Arial"/>
                <w:color w:val="000000"/>
              </w:rPr>
              <w:t xml:space="preserve">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w:t>
            </w:r>
            <w:r>
              <w:rPr>
                <w:rFonts w:ascii="Arial" w:eastAsia="Times New Roman" w:hAnsi="Arial" w:cs="Arial"/>
                <w:color w:val="000000"/>
              </w:rPr>
              <w:t>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w:t>
      </w:r>
      <w:r>
        <w:t>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 xml:space="preserve">FFS for next meeting – whether RAN2 confirms the </w:t>
      </w:r>
      <w:r>
        <w:rPr>
          <w:rStyle w:val="normaltextrun"/>
          <w:rFonts w:ascii="Arial" w:hAnsi="Arial" w:cs="Arial"/>
          <w:sz w:val="20"/>
          <w:szCs w:val="20"/>
        </w:rPr>
        <w:t>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 xml:space="preserve">The agreement 9 needs to be aligned to common framework where the UE falls back (switching) to the same RA type it has initially selected and we </w:t>
      </w:r>
      <w:r>
        <w:rPr>
          <w:rStyle w:val="normaltextrun"/>
          <w:rFonts w:ascii="Arial" w:hAnsi="Arial" w:cs="Arial"/>
          <w:sz w:val="20"/>
          <w:szCs w:val="20"/>
        </w:rPr>
        <w:t>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w:t>
      </w:r>
      <w:r>
        <w:rPr>
          <w:rStyle w:val="normaltextrun"/>
          <w:b/>
          <w:bCs/>
          <w:sz w:val="20"/>
          <w:szCs w:val="20"/>
        </w:rPr>
        <w:t xml:space="preserv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 xml:space="preserve">Fallback case </w:t>
      </w:r>
      <w:r>
        <w:rPr>
          <w:rStyle w:val="normaltextrun"/>
          <w:sz w:val="20"/>
          <w:szCs w:val="20"/>
        </w:rPr>
        <w:t>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Pr</w:t>
      </w:r>
      <w:r>
        <w:rPr>
          <w:b/>
          <w:bCs/>
          <w:lang w:val="en-US"/>
        </w:rPr>
        <w:t xml:space="preserve">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w:t>
      </w:r>
      <w:r>
        <w:rPr>
          <w:b/>
          <w:bCs/>
        </w:rPr>
        <w:t xml:space="preserve">allback from common 2-step RACH to common 4-step RACH after </w:t>
      </w:r>
      <w:r>
        <w:rPr>
          <w:rFonts w:ascii="Times New Roman" w:eastAsia="Times New Roman" w:hAnsi="Times New Roman"/>
          <w:i/>
          <w:iCs/>
        </w:rPr>
        <w:t>msgA-TransMax</w:t>
      </w:r>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1162CC5" w14:textId="77777777">
        <w:tc>
          <w:tcPr>
            <w:tcW w:w="1696" w:type="dxa"/>
          </w:tcPr>
          <w:p w14:paraId="2F726703" w14:textId="77777777" w:rsidR="000E6612" w:rsidRDefault="0023656F">
            <w:pPr>
              <w:rPr>
                <w:b/>
                <w:bCs/>
              </w:rPr>
            </w:pPr>
            <w:r>
              <w:rPr>
                <w:b/>
                <w:bCs/>
              </w:rPr>
              <w:t>Companies</w:t>
            </w:r>
          </w:p>
        </w:tc>
        <w:tc>
          <w:tcPr>
            <w:tcW w:w="1134" w:type="dxa"/>
          </w:tcPr>
          <w:p w14:paraId="52E6AFB0" w14:textId="77777777" w:rsidR="000E6612" w:rsidRDefault="0023656F">
            <w:pPr>
              <w:rPr>
                <w:b/>
                <w:bCs/>
              </w:rPr>
            </w:pPr>
            <w:r>
              <w:rPr>
                <w:b/>
                <w:bCs/>
              </w:rPr>
              <w:t>Yes/No</w:t>
            </w:r>
          </w:p>
        </w:tc>
        <w:tc>
          <w:tcPr>
            <w:tcW w:w="7089" w:type="dxa"/>
          </w:tcPr>
          <w:p w14:paraId="76EEC55B" w14:textId="77777777" w:rsidR="000E6612" w:rsidRDefault="0023656F">
            <w:pPr>
              <w:rPr>
                <w:b/>
                <w:bCs/>
              </w:rPr>
            </w:pPr>
            <w:r>
              <w:rPr>
                <w:b/>
                <w:bCs/>
              </w:rPr>
              <w:t>Comments</w:t>
            </w:r>
          </w:p>
        </w:tc>
      </w:tr>
      <w:tr w:rsidR="000E6612" w14:paraId="508EC640" w14:textId="77777777">
        <w:tc>
          <w:tcPr>
            <w:tcW w:w="1696" w:type="dxa"/>
          </w:tcPr>
          <w:p w14:paraId="0AC04D06" w14:textId="77777777" w:rsidR="000E6612" w:rsidRDefault="0023656F">
            <w:r>
              <w:t>Intel</w:t>
            </w:r>
          </w:p>
        </w:tc>
        <w:tc>
          <w:tcPr>
            <w:tcW w:w="1134" w:type="dxa"/>
          </w:tcPr>
          <w:p w14:paraId="0E578F49" w14:textId="77777777" w:rsidR="000E6612" w:rsidRDefault="0023656F">
            <w:r>
              <w:t>Yes</w:t>
            </w:r>
          </w:p>
        </w:tc>
        <w:tc>
          <w:tcPr>
            <w:tcW w:w="7089" w:type="dxa"/>
          </w:tcPr>
          <w:p w14:paraId="5020AE86" w14:textId="77777777" w:rsidR="000E6612" w:rsidRDefault="0023656F">
            <w:r>
              <w:t>It is already implied by the baseline:</w:t>
            </w:r>
          </w:p>
          <w:p w14:paraId="10D41DB4" w14:textId="77777777" w:rsidR="000E6612" w:rsidRDefault="0023656F">
            <w:r>
              <w:t xml:space="preserve">6.    As a baseline, the RA procedure design for Rel-17 should adhere to the following general principles: </w:t>
            </w:r>
          </w:p>
          <w:p w14:paraId="34843FC2" w14:textId="77777777" w:rsidR="000E6612" w:rsidRDefault="0023656F">
            <w:r>
              <w:t xml:space="preserve">c: As a general rule, all RACH retransmissions (if any are needed, until RACH failure happens) shall be performed over the same RACH resources (and </w:t>
            </w:r>
            <w:r>
              <w:t>same carrier – NUL/SUL) as the one selected for initial RACH resource.  However, we can discuss fallback on a case by case basis if there is a strong motivation and discuss them together in this AI.</w:t>
            </w:r>
          </w:p>
        </w:tc>
      </w:tr>
      <w:tr w:rsidR="000E6612" w14:paraId="1389BF51" w14:textId="77777777">
        <w:tc>
          <w:tcPr>
            <w:tcW w:w="1696" w:type="dxa"/>
          </w:tcPr>
          <w:p w14:paraId="105857C0" w14:textId="77777777" w:rsidR="000E6612" w:rsidRDefault="0023656F">
            <w:r>
              <w:t>Qualcomm</w:t>
            </w:r>
          </w:p>
        </w:tc>
        <w:tc>
          <w:tcPr>
            <w:tcW w:w="1134" w:type="dxa"/>
          </w:tcPr>
          <w:p w14:paraId="282B13B4" w14:textId="77777777" w:rsidR="000E6612" w:rsidRDefault="0023656F">
            <w:r>
              <w:t>Yes</w:t>
            </w:r>
          </w:p>
        </w:tc>
        <w:tc>
          <w:tcPr>
            <w:tcW w:w="7089" w:type="dxa"/>
          </w:tcPr>
          <w:p w14:paraId="179FA7A6" w14:textId="77777777" w:rsidR="000E6612" w:rsidRDefault="0023656F">
            <w:r>
              <w:t>It helps keep UE behavior simple and is not</w:t>
            </w:r>
            <w:r>
              <w:t xml:space="preserve"> hard for network to configure. </w:t>
            </w:r>
          </w:p>
          <w:p w14:paraId="62EF5B2D" w14:textId="77777777" w:rsidR="000E6612" w:rsidRDefault="000E6612"/>
        </w:tc>
      </w:tr>
      <w:tr w:rsidR="000E6612" w14:paraId="4A4901B4" w14:textId="77777777">
        <w:tc>
          <w:tcPr>
            <w:tcW w:w="1696" w:type="dxa"/>
          </w:tcPr>
          <w:p w14:paraId="267D4478"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tc>
      </w:tr>
      <w:tr w:rsidR="000E6612" w14:paraId="7482C4B6" w14:textId="77777777">
        <w:tc>
          <w:tcPr>
            <w:tcW w:w="1696" w:type="dxa"/>
          </w:tcPr>
          <w:p w14:paraId="6DD32463" w14:textId="77777777" w:rsidR="000E6612" w:rsidRDefault="0023656F">
            <w:pPr>
              <w:rPr>
                <w:rFonts w:eastAsiaTheme="minorEastAsia"/>
                <w:lang w:eastAsia="zh-CN"/>
              </w:rPr>
            </w:pPr>
            <w:r>
              <w:rPr>
                <w:rFonts w:eastAsiaTheme="minorEastAsia"/>
                <w:lang w:eastAsia="zh-CN"/>
              </w:rPr>
              <w:t>Sony</w:t>
            </w:r>
          </w:p>
        </w:tc>
        <w:tc>
          <w:tcPr>
            <w:tcW w:w="1134" w:type="dxa"/>
          </w:tcPr>
          <w:p w14:paraId="5827ED8A" w14:textId="77777777" w:rsidR="000E6612" w:rsidRDefault="0023656F">
            <w:pPr>
              <w:rPr>
                <w:rFonts w:eastAsiaTheme="minorEastAsia"/>
                <w:lang w:eastAsia="zh-CN"/>
              </w:rPr>
            </w:pPr>
            <w:r>
              <w:rPr>
                <w:rFonts w:eastAsiaTheme="minorEastAsia"/>
                <w:lang w:eastAsia="zh-CN"/>
              </w:rPr>
              <w:t>Yes</w:t>
            </w:r>
          </w:p>
        </w:tc>
        <w:tc>
          <w:tcPr>
            <w:tcW w:w="7089" w:type="dxa"/>
          </w:tcPr>
          <w:p w14:paraId="0ED09F7A" w14:textId="77777777" w:rsidR="000E6612" w:rsidRDefault="000E6612"/>
        </w:tc>
      </w:tr>
      <w:tr w:rsidR="000E6612" w14:paraId="333F074A" w14:textId="77777777">
        <w:tc>
          <w:tcPr>
            <w:tcW w:w="1696" w:type="dxa"/>
          </w:tcPr>
          <w:p w14:paraId="57C17F90" w14:textId="77777777" w:rsidR="000E6612" w:rsidRDefault="0023656F">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tc>
      </w:tr>
      <w:bookmarkEnd w:id="1"/>
      <w:tr w:rsidR="000E6612" w14:paraId="0DEC8CE8" w14:textId="77777777">
        <w:tc>
          <w:tcPr>
            <w:tcW w:w="1696" w:type="dxa"/>
          </w:tcPr>
          <w:p w14:paraId="14075DAE" w14:textId="0A69C8F7" w:rsidR="000E6612" w:rsidRDefault="00D852F4">
            <w:pPr>
              <w:rPr>
                <w:rFonts w:eastAsiaTheme="minorEastAsia"/>
                <w:lang w:eastAsia="zh-CN"/>
              </w:rPr>
            </w:pPr>
            <w:r>
              <w:rPr>
                <w:rFonts w:eastAsiaTheme="minorEastAsia"/>
                <w:lang w:eastAsia="zh-CN"/>
              </w:rPr>
              <w:t>ZTE</w:t>
            </w:r>
          </w:p>
        </w:tc>
        <w:tc>
          <w:tcPr>
            <w:tcW w:w="1134" w:type="dxa"/>
          </w:tcPr>
          <w:p w14:paraId="79A18DBC" w14:textId="7B5A73A7" w:rsidR="000E6612" w:rsidRDefault="00D852F4">
            <w:pPr>
              <w:rPr>
                <w:rFonts w:eastAsiaTheme="minorEastAsia"/>
                <w:lang w:eastAsia="zh-CN"/>
              </w:rPr>
            </w:pPr>
            <w:r>
              <w:rPr>
                <w:rFonts w:eastAsiaTheme="minorEastAsia"/>
                <w:lang w:eastAsia="zh-CN"/>
              </w:rPr>
              <w:t>Yes</w:t>
            </w:r>
          </w:p>
        </w:tc>
        <w:tc>
          <w:tcPr>
            <w:tcW w:w="7089" w:type="dxa"/>
          </w:tcPr>
          <w:p w14:paraId="45C767F9" w14:textId="571B4E09" w:rsidR="000E6612" w:rsidRDefault="00D852F4">
            <w:r>
              <w:t xml:space="preserve">Since there is no RACH partition change in this case, there is no issue with this switching. No changes needed to running CR as pointed out by others. </w:t>
            </w:r>
          </w:p>
        </w:tc>
      </w:tr>
    </w:tbl>
    <w:p w14:paraId="46E664C4" w14:textId="77777777" w:rsidR="000E6612" w:rsidRDefault="000E6612"/>
    <w:p w14:paraId="0FB48DCB" w14:textId="77777777" w:rsidR="000E6612" w:rsidRDefault="0023656F">
      <w:r>
        <w:t xml:space="preserve">As on whether to support fallback from 2-step feature (combination) specific RACH to common 4-step RACH after N 2-step attempts, if 4-step feature (combination) specific RACH is </w:t>
      </w:r>
      <w:r>
        <w:t>not configured,  [7] and [8] think that it should not be supported, while [2] generally think so except for slicing. The reason for not supporting it is that it does not conform to what we agreed in common session and it may not work for some features such</w:t>
      </w:r>
      <w:r>
        <w:t xml:space="preserve"> as SDT due to TB rebuilding, RedCap and CE. Unless such fallback is only allowed for slicing on its own, it would be good to follow an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4-st</w:t>
      </w:r>
      <w:r>
        <w:rPr>
          <w:b/>
          <w:bCs/>
          <w:u w:val="single"/>
          <w:lang w:val="en-US"/>
        </w:rPr>
        <w:t xml:space="preserve">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r>
        <w:rPr>
          <w:rFonts w:ascii="Times New Roman" w:eastAsia="Times New Roman" w:hAnsi="Times New Roman"/>
          <w:i/>
          <w:iCs/>
        </w:rPr>
        <w:t>msgA-Tra</w:t>
      </w:r>
      <w:r>
        <w:rPr>
          <w:rFonts w:ascii="Times New Roman" w:eastAsia="Times New Roman" w:hAnsi="Times New Roman"/>
          <w:i/>
          <w:iCs/>
        </w:rPr>
        <w:t>nsMax</w:t>
      </w:r>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msgA is for access </w:t>
            </w:r>
            <w:r>
              <w:rPr>
                <w:rFonts w:eastAsiaTheme="minorEastAsia"/>
                <w:lang w:eastAsia="zh-CN"/>
              </w:rPr>
              <w:t>control. In case 2-step RACH is triggered but failed and it is not allowed to fallback to common 4-step RACH, it means the RACH will stop immediately. If this associated slice will be originally accommodated by network it means UE loss the chance from begi</w:t>
            </w:r>
            <w:r>
              <w:rPr>
                <w:rFonts w:eastAsiaTheme="minorEastAsia"/>
                <w:lang w:eastAsia="zh-CN"/>
              </w:rPr>
              <w:t>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bl>
    <w:p w14:paraId="6B444F2E" w14:textId="77777777" w:rsidR="000E6612" w:rsidRDefault="000E6612"/>
    <w:p w14:paraId="369E7ED0" w14:textId="77777777" w:rsidR="000E6612" w:rsidRDefault="0023656F">
      <w:pPr>
        <w:pStyle w:val="Heading1"/>
      </w:pPr>
      <w:r>
        <w:t>Issue#2: 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Proposal 4: When one RO provides preambles for multiple RACH partitions, it shall be possible to selectively apply backoff for sp</w:t>
            </w:r>
            <w:r>
              <w:rPr>
                <w:b/>
                <w:bCs/>
                <w:lang w:val="en-US"/>
              </w:rPr>
              <w:t>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backoff.  </w:t>
      </w:r>
    </w:p>
    <w:p w14:paraId="6D8B8E20" w14:textId="77777777" w:rsidR="000E6612" w:rsidRDefault="0023656F">
      <w:pPr>
        <w:rPr>
          <w:b/>
          <w:bCs/>
        </w:rPr>
      </w:pPr>
      <w:r>
        <w:rPr>
          <w:b/>
          <w:bCs/>
        </w:rPr>
        <w:t>5-1. Companies are invited to provide their views whether the p</w:t>
      </w:r>
      <w:r>
        <w:rPr>
          <w:b/>
          <w:bCs/>
        </w:rPr>
        <w:t>roposal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w:t>
            </w:r>
            <w:r>
              <w:t>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backoff is slicing. But slicing already has prioritization enhancements which allows network to </w:t>
            </w:r>
            <w:r>
              <w:lastRenderedPageBreak/>
              <w:t xml:space="preserve">apply different backoff for slicing groups with different priorities. So we </w:t>
            </w:r>
            <w:r>
              <w:t>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bl>
    <w:p w14:paraId="78C4B6B3" w14:textId="77777777" w:rsidR="000E6612" w:rsidRDefault="000E6612"/>
    <w:p w14:paraId="2DA1E76A" w14:textId="77777777" w:rsidR="000E6612" w:rsidRDefault="0023656F">
      <w:pPr>
        <w:pStyle w:val="Heading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 xml:space="preserve">Proposal 3: SDT can be configured to use common RACH resources in which case </w:t>
            </w:r>
            <w:r>
              <w:rPr>
                <w:b/>
                <w:bCs/>
                <w:lang w:val="en-US"/>
              </w:rPr>
              <w:t>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[4] thinks that the number of required RACH partitions in the cell is preferably minimized. One way to do it is to allow an alternative way to indicate SDT (i.e. SDT indication is in Msg3) instea</w:t>
      </w:r>
      <w:r>
        <w:rPr>
          <w:lang w:val="en-US"/>
        </w:rPr>
        <w:t xml:space="preserve">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w:t>
      </w:r>
      <w:r>
        <w:rPr>
          <w:b/>
          <w:bCs/>
        </w:rPr>
        <w:t>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ListParagraph"/>
              <w:rPr>
                <w:rFonts w:ascii="Segoe UI" w:eastAsia="Segoe UI" w:hAnsi="Segoe UI" w:cs="Segoe UI"/>
                <w:szCs w:val="20"/>
              </w:rPr>
            </w:pPr>
            <w:r>
              <w:rPr>
                <w:rFonts w:ascii="Segoe UI" w:eastAsia="Segoe UI" w:hAnsi="Segoe UI" w:cs="Segoe UI"/>
                <w:szCs w:val="20"/>
              </w:rPr>
              <w:t xml:space="preserve">RAN2 continues to progress the work based the separate RACH resources for SDT (i.e. explicit mechanisms to </w:t>
            </w:r>
            <w:r>
              <w:rPr>
                <w:rFonts w:ascii="Segoe UI" w:eastAsia="Segoe UI" w:hAnsi="Segoe UI" w:cs="Segoe UI"/>
                <w:szCs w:val="20"/>
              </w:rPr>
              <w:t>support common resources won’t be pursued unless there is sufficient support for this. However, use of common RACH resources will not be precluded if possible via implementation</w:t>
            </w:r>
          </w:p>
          <w:p w14:paraId="2F4E2824" w14:textId="77777777" w:rsidR="000E6612" w:rsidRDefault="0023656F">
            <w:r>
              <w:t>So we don’t think providing any additional indication in msg 3 should be discu</w:t>
            </w:r>
            <w:r>
              <w:t>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w:t>
            </w:r>
            <w:r>
              <w:t xml:space="preserve">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 xml:space="preserve">As RAN1 has agreed in 106-e meeting to support RA-SDT by </w:t>
            </w:r>
            <w:r>
              <w:rPr>
                <w:rFonts w:eastAsiaTheme="minorEastAsia" w:hint="eastAsia"/>
                <w:lang w:val="en-US" w:eastAsia="zh-CN"/>
              </w:rPr>
              <w:t>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bookmarkEnd w:id="2"/>
    </w:tbl>
    <w:p w14:paraId="17531FA2" w14:textId="77777777" w:rsidR="000E6612" w:rsidRDefault="000E6612"/>
    <w:p w14:paraId="6AF138D4" w14:textId="77777777" w:rsidR="000E6612" w:rsidRDefault="0023656F">
      <w:pPr>
        <w:pStyle w:val="Heading1"/>
      </w:pPr>
      <w:r>
        <w:lastRenderedPageBreak/>
        <w:t>Issues carried forward from [Post116bis-e][514][RA Part] [6]</w:t>
      </w:r>
    </w:p>
    <w:p w14:paraId="431E18F2" w14:textId="77777777" w:rsidR="000E6612" w:rsidRDefault="0023656F">
      <w:pPr>
        <w:pStyle w:val="Heading2"/>
        <w:ind w:left="633"/>
      </w:pPr>
      <w:r>
        <w:t xml:space="preserve">Proposals where technical discussion is not </w:t>
      </w:r>
      <w:r>
        <w:t>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w:t>
            </w:r>
            <w:r>
              <w:rPr>
                <w:rFonts w:ascii="Calibri" w:eastAsia="Calibri" w:hAnsi="Calibri" w:cs="Calibri"/>
                <w:color w:val="00B050"/>
                <w:szCs w:val="22"/>
                <w:shd w:val="clear" w:color="auto" w:fill="FFFFFF"/>
              </w:rPr>
              <w:t>configured differently in different RACH partitions (note this is conditional IE configured only in rach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w:t>
            </w:r>
            <w:r>
              <w:rPr>
                <w:rFonts w:ascii="Calibri" w:eastAsia="Calibri" w:hAnsi="Calibri"/>
                <w:color w:val="00B050"/>
                <w:sz w:val="20"/>
                <w:szCs w:val="20"/>
                <w:lang w:eastAsia="zh-CN"/>
              </w:rPr>
              <w:t>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TableGrid"/>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We do not support Proposal 3. We think CE selection threshold should be per partition. First, it i</w:t>
            </w:r>
            <w:r>
              <w:t>s already agreed that CE is a feature. And depend on which feature(s) it is jointly configured with, CE selection threshold may be different. For example, it is desirable to have higher CE thresholds when configured in a partition for RedCap. Or network ma</w:t>
            </w:r>
            <w:r>
              <w:t xml:space="preserve">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w:t>
            </w:r>
            <w:r>
              <w:rPr>
                <w:rFonts w:eastAsiaTheme="minorEastAsia"/>
                <w:lang w:eastAsia="zh-CN"/>
              </w:rPr>
              <w:t>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 xml:space="preserve">As for the comment from QC, I think per partition configuration is complicated for UE since it has to select among potential partitions based on </w:t>
            </w:r>
            <w:r>
              <w:rPr>
                <w:rFonts w:eastAsiaTheme="minorEastAsia"/>
                <w:lang w:eastAsia="zh-CN"/>
              </w:rPr>
              <w:t>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We agre</w:t>
            </w:r>
            <w:r>
              <w:rPr>
                <w:rFonts w:eastAsia="SimSun" w:hint="eastAsia"/>
                <w:lang w:val="en-US" w:eastAsia="zh-CN"/>
              </w:rPr>
              <w:t xml:space="preserve">e with all proposals including proposal 3. And for the comment from QC,  we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However, based on propsoal3,  wher</w:t>
            </w:r>
            <w:r>
              <w:rPr>
                <w:rFonts w:eastAsia="SimSun" w:hint="eastAsia"/>
                <w:lang w:val="en-US" w:eastAsia="zh-CN"/>
              </w:rPr>
              <w:t xml:space="preserve">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 xml:space="preserve">BWP-UplinkCommon or RACH-ConfigCommon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bl>
    <w:p w14:paraId="0A362D34" w14:textId="77777777" w:rsidR="000E6612" w:rsidRDefault="000E6612"/>
    <w:p w14:paraId="5B70CE13" w14:textId="77777777" w:rsidR="000E6612" w:rsidRDefault="000E6612"/>
    <w:p w14:paraId="119E92DC" w14:textId="77777777" w:rsidR="000E6612" w:rsidRDefault="0023656F">
      <w:pPr>
        <w:pStyle w:val="Heading2"/>
        <w:ind w:left="689"/>
      </w:pPr>
      <w:r>
        <w:t xml:space="preserve">Proposals where technical </w:t>
      </w:r>
      <w:r>
        <w:t>discussion is needed</w:t>
      </w:r>
    </w:p>
    <w:p w14:paraId="0B74C13D" w14:textId="77777777" w:rsidR="000E6612" w:rsidRDefault="000E6612"/>
    <w:p w14:paraId="1926074C" w14:textId="77777777" w:rsidR="000E6612" w:rsidRDefault="0023656F">
      <w:pPr>
        <w:pStyle w:val="Heading3"/>
      </w:pPr>
      <w:r>
        <w:lastRenderedPageBreak/>
        <w:t>Overall MAC procedure</w:t>
      </w:r>
    </w:p>
    <w:p w14:paraId="62F2A2AF" w14:textId="77777777" w:rsidR="000E6612" w:rsidRDefault="000E6612"/>
    <w:tbl>
      <w:tblPr>
        <w:tblStyle w:val="TableGrid"/>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14:paraId="2B2A42A0" w14:textId="77777777" w:rsidR="000E6612" w:rsidRDefault="0023656F">
            <w:pPr>
              <w:pStyle w:val="ListParagraph"/>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perform BWP selecti</w:t>
            </w:r>
            <w:r>
              <w:rPr>
                <w:color w:val="00B050"/>
                <w:szCs w:val="20"/>
                <w:lang w:eastAsia="zh-CN"/>
              </w:rPr>
              <w:t>on (this is also legacy behaviour)</w:t>
            </w:r>
          </w:p>
          <w:p w14:paraId="27F272A5"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w:t>
      </w:r>
      <w:r>
        <w:rPr>
          <w:b/>
          <w:bCs/>
        </w:rPr>
        <w:t>dure is agreeable.</w:t>
      </w:r>
    </w:p>
    <w:tbl>
      <w:tblPr>
        <w:tblStyle w:val="TableGrid"/>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 xml:space="preserve">SDT, CE, RedCap are features and hence should be considered during, instead of before, the selection procedure of RACH partitions. UE determines which feature to consider first based on the </w:t>
            </w:r>
            <w:r>
              <w:t>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bl>
    <w:p w14:paraId="03957194" w14:textId="77777777" w:rsidR="000E6612" w:rsidRDefault="000E6612"/>
    <w:p w14:paraId="1732EFD1" w14:textId="77777777" w:rsidR="000E6612" w:rsidRDefault="000E6612"/>
    <w:p w14:paraId="1826EF7B" w14:textId="77777777" w:rsidR="000E6612" w:rsidRDefault="0023656F">
      <w:pPr>
        <w:pStyle w:val="Heading3"/>
      </w:pPr>
      <w:r>
        <w:t>CFRA</w:t>
      </w:r>
    </w:p>
    <w:tbl>
      <w:tblPr>
        <w:tblStyle w:val="TableGrid"/>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rsrp-ThresholdSSB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In case o</w:t>
            </w:r>
            <w:r>
              <w:rPr>
                <w:color w:val="C0504D" w:themeColor="accent2"/>
                <w:szCs w:val="20"/>
                <w:lang w:eastAsia="zh-CN"/>
              </w:rPr>
              <w:t xml:space="preserve">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TableGrid"/>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 xml:space="preserve">It is CFRA. Let </w:t>
            </w:r>
            <w:r>
              <w:t>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Heading3"/>
      </w:pPr>
      <w:r>
        <w:t>RNTI collision issue</w:t>
      </w:r>
    </w:p>
    <w:tbl>
      <w:tblPr>
        <w:tblStyle w:val="TableGrid"/>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lastRenderedPageBreak/>
              <w:t xml:space="preserve">Proposal 11: The network may configure a separate search space for RAR/MSGB per RACH partition (to be captured in RRC CR if </w:t>
            </w:r>
            <w:r>
              <w:rPr>
                <w:color w:val="C0504D" w:themeColor="accent2"/>
                <w:szCs w:val="20"/>
                <w:lang w:eastAsia="zh-CN"/>
              </w:rPr>
              <w:t>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 xml:space="preserve">7.2.2 Companies are invited </w:t>
      </w:r>
      <w:r>
        <w:rPr>
          <w:b/>
          <w:bCs/>
        </w:rPr>
        <w:t>to provide their view whether the proposal is agreeable for handling the RNTI collision problem.</w:t>
      </w:r>
    </w:p>
    <w:tbl>
      <w:tblPr>
        <w:tblStyle w:val="TableGrid"/>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We don’t think Proposal 11 is an effective/scalable way to solve the RNTI collision problem. That is because network has to ensure none of the RA search spaces has overlapping monitoring occasions. That limits the maximum number of partitions that can be c</w:t>
            </w:r>
            <w:r>
              <w:t xml:space="preserve">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w:t>
            </w:r>
            <w:r>
              <w:t>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w:t>
            </w:r>
            <w:r>
              <w:rPr>
                <w:rFonts w:eastAsiaTheme="minorEastAsia"/>
                <w:lang w:eastAsia="zh-CN"/>
              </w:rPr>
              <w:t>tion among features during RACH procedure is not a must. And network should also take RNTI collision into account. If more search spaces are configured in order to avoid RNTI collision, this feature is too “heavy” to have since both uplink and downlink sig</w:t>
            </w:r>
            <w:r>
              <w:rPr>
                <w:rFonts w:eastAsiaTheme="minorEastAsia"/>
                <w:lang w:eastAsia="zh-CN"/>
              </w:rPr>
              <w:t>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allows as many search spaces as the number of partitions which may be impractical due to limited CORESET0 r</w:t>
            </w:r>
            <w:r>
              <w:rPr>
                <w:szCs w:val="20"/>
              </w:rPr>
              <w:t>esource/space, and the search spaces will overlap, and this overlap causes RNTI collisions as well as making difficult for the gNB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Howeve</w:t>
            </w:r>
            <w:r>
              <w:rPr>
                <w:szCs w:val="20"/>
              </w:rPr>
              <w:t xml:space="preserve">r, there is another solution, that just provides configurable offset(s) to either </w:t>
            </w:r>
            <w:r>
              <w:rPr>
                <w:i/>
                <w:iCs/>
                <w:szCs w:val="20"/>
              </w:rPr>
              <w:t xml:space="preserve">s_id </w:t>
            </w:r>
            <w:r>
              <w:rPr>
                <w:szCs w:val="20"/>
              </w:rPr>
              <w:t xml:space="preserve">or </w:t>
            </w:r>
            <w:r>
              <w:rPr>
                <w:i/>
                <w:iCs/>
                <w:szCs w:val="20"/>
              </w:rPr>
              <w:t xml:space="preserve">t_id </w:t>
            </w:r>
            <w:r>
              <w:rPr>
                <w:szCs w:val="20"/>
              </w:rPr>
              <w:t xml:space="preserve">or both, and it can easily be added in the PRACH configuration parameters, hence this solution does not need a separate search space for each </w:t>
            </w:r>
            <w:r>
              <w:rPr>
                <w:szCs w:val="20"/>
              </w:rPr>
              <w:t>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77777777" w:rsidR="000E6612" w:rsidRDefault="000E6612">
            <w:pPr>
              <w:rPr>
                <w:rFonts w:eastAsiaTheme="minorEastAsia"/>
                <w:lang w:eastAsia="zh-CN"/>
              </w:rPr>
            </w:pPr>
          </w:p>
        </w:tc>
        <w:tc>
          <w:tcPr>
            <w:tcW w:w="1134" w:type="dxa"/>
          </w:tcPr>
          <w:p w14:paraId="0C02E432" w14:textId="77777777" w:rsidR="000E6612" w:rsidRDefault="000E6612">
            <w:pPr>
              <w:rPr>
                <w:rFonts w:eastAsiaTheme="minorEastAsia"/>
                <w:lang w:eastAsia="zh-CN"/>
              </w:rPr>
            </w:pPr>
          </w:p>
        </w:tc>
        <w:tc>
          <w:tcPr>
            <w:tcW w:w="7089" w:type="dxa"/>
          </w:tcPr>
          <w:p w14:paraId="65F91CB7" w14:textId="77777777" w:rsidR="000E6612" w:rsidRDefault="000E6612">
            <w:pPr>
              <w:rPr>
                <w:szCs w:val="20"/>
                <w:lang w:eastAsia="zh-CN"/>
              </w:rPr>
            </w:pPr>
          </w:p>
        </w:tc>
      </w:tr>
      <w:tr w:rsidR="000E6612" w14:paraId="398B1D04" w14:textId="77777777">
        <w:tc>
          <w:tcPr>
            <w:tcW w:w="1696" w:type="dxa"/>
          </w:tcPr>
          <w:p w14:paraId="559774F6" w14:textId="77777777" w:rsidR="000E6612" w:rsidRDefault="000E6612">
            <w:pPr>
              <w:rPr>
                <w:rFonts w:eastAsiaTheme="minorEastAsia"/>
                <w:lang w:eastAsia="zh-CN"/>
              </w:rPr>
            </w:pPr>
          </w:p>
        </w:tc>
        <w:tc>
          <w:tcPr>
            <w:tcW w:w="1134" w:type="dxa"/>
          </w:tcPr>
          <w:p w14:paraId="2E6EF642" w14:textId="77777777" w:rsidR="000E6612" w:rsidRDefault="000E6612">
            <w:pPr>
              <w:rPr>
                <w:rFonts w:eastAsiaTheme="minorEastAsia"/>
                <w:lang w:eastAsia="zh-CN"/>
              </w:rPr>
            </w:pPr>
          </w:p>
        </w:tc>
        <w:tc>
          <w:tcPr>
            <w:tcW w:w="7089" w:type="dxa"/>
          </w:tcPr>
          <w:p w14:paraId="71EA033D" w14:textId="77777777" w:rsidR="000E6612" w:rsidRDefault="000E6612">
            <w:pPr>
              <w:rPr>
                <w:szCs w:val="20"/>
                <w:lang w:eastAsia="zh-CN"/>
              </w:rPr>
            </w:pPr>
          </w:p>
        </w:tc>
      </w:tr>
    </w:tbl>
    <w:p w14:paraId="28E504FC" w14:textId="77777777" w:rsidR="000E6612" w:rsidRDefault="000E6612"/>
    <w:p w14:paraId="74FD0BEA" w14:textId="77777777" w:rsidR="000E6612" w:rsidRDefault="0023656F">
      <w:pPr>
        <w:pStyle w:val="Heading1"/>
      </w:pPr>
      <w:r>
        <w:t>Conclusion</w:t>
      </w:r>
    </w:p>
    <w:p w14:paraId="2ABEFE14" w14:textId="77777777" w:rsidR="000E6612" w:rsidRDefault="0023656F">
      <w:r>
        <w:t>To be added latter</w:t>
      </w:r>
    </w:p>
    <w:p w14:paraId="7C2618A8" w14:textId="77777777" w:rsidR="000E6612" w:rsidRDefault="0023656F">
      <w:pPr>
        <w:pStyle w:val="Heading1"/>
      </w:pPr>
      <w:r>
        <w:t>References</w:t>
      </w:r>
    </w:p>
    <w:p w14:paraId="5C8CEB9A" w14:textId="77777777" w:rsidR="000E6612" w:rsidRDefault="0023656F">
      <w:pPr>
        <w:pStyle w:val="Doc-title"/>
      </w:pPr>
      <w:r>
        <w:t>[1] R2-2202694</w:t>
      </w:r>
      <w:r>
        <w:tab/>
      </w:r>
      <w:r>
        <w:t>Remaining issues for common aspects of RACH procedure</w:t>
      </w:r>
      <w:r>
        <w:tab/>
        <w:t>CATT</w:t>
      </w:r>
      <w:r>
        <w:tab/>
        <w:t>discussion</w:t>
      </w:r>
      <w:r>
        <w:tab/>
        <w:t>Rel-17</w:t>
      </w:r>
      <w:r>
        <w:tab/>
        <w:t>NR_cov_enh-Core, NR_slice-Core, NR_SmallData_INACTIVE-Core, NR_redcap-Core</w:t>
      </w:r>
    </w:p>
    <w:p w14:paraId="2537557A" w14:textId="77777777" w:rsidR="000E6612" w:rsidRDefault="0023656F">
      <w:pPr>
        <w:pStyle w:val="Doc-title"/>
      </w:pPr>
      <w:r>
        <w:t>[2] R2-2202976</w:t>
      </w:r>
      <w:r>
        <w:tab/>
        <w:t>Discussion on RACH partition UP open issues</w:t>
      </w:r>
      <w:r>
        <w:tab/>
        <w:t>OPPO</w:t>
      </w:r>
      <w:r>
        <w:tab/>
        <w:t>discussion</w:t>
      </w:r>
      <w:r>
        <w:tab/>
        <w:t>Rel-17</w:t>
      </w:r>
      <w:r>
        <w:tab/>
        <w:t>NR_SmallData_INACTIVE-</w:t>
      </w:r>
      <w:r>
        <w:t>Core, NR_cov_enh-Core, NR_redcap-Core, NR_slice-Core</w:t>
      </w:r>
    </w:p>
    <w:p w14:paraId="56D6FDB0" w14:textId="77777777" w:rsidR="000E6612" w:rsidRDefault="0023656F">
      <w:pPr>
        <w:pStyle w:val="Doc-title"/>
      </w:pPr>
      <w:r>
        <w:lastRenderedPageBreak/>
        <w:t>[3] R2-2203206</w:t>
      </w:r>
      <w:r>
        <w:tab/>
        <w:t>RNTI collision issue for different features in NR</w:t>
      </w:r>
      <w:r>
        <w:tab/>
        <w:t>Sony</w:t>
      </w:r>
      <w:r>
        <w:tab/>
        <w:t>discussion</w:t>
      </w:r>
      <w:r>
        <w:tab/>
        <w:t>Rel-17</w:t>
      </w:r>
      <w:r>
        <w:tab/>
        <w:t>NR_SmallData_INACTIVE-Core</w:t>
      </w:r>
      <w:r>
        <w:tab/>
        <w:t>R2-2200917</w:t>
      </w:r>
    </w:p>
    <w:p w14:paraId="10CF3703" w14:textId="77777777" w:rsidR="000E6612" w:rsidRDefault="0023656F">
      <w:pPr>
        <w:pStyle w:val="Doc-title"/>
      </w:pPr>
      <w:r>
        <w:t>[4] R2-2203283</w:t>
      </w:r>
      <w:r>
        <w:tab/>
        <w:t>Common aspects for RACH partitioning</w:t>
      </w:r>
      <w:r>
        <w:tab/>
        <w:t>Nokia, Nokia Shanghai Bel</w:t>
      </w:r>
      <w:r>
        <w:t>l</w:t>
      </w:r>
      <w:r>
        <w:tab/>
        <w:t>discussion</w:t>
      </w:r>
      <w:r>
        <w:tab/>
        <w:t>Rel-17</w:t>
      </w:r>
      <w:r>
        <w:tab/>
        <w:t>NR_SmallData_INACTIVE-Core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w:t>
      </w:r>
      <w:r>
        <w:t>ate</w:t>
      </w:r>
    </w:p>
    <w:p w14:paraId="18E0749A" w14:textId="77777777" w:rsidR="000E6612" w:rsidRDefault="0023656F">
      <w:pPr>
        <w:pStyle w:val="Doc-title"/>
      </w:pPr>
      <w:r>
        <w:t>[6] R2-2203309</w:t>
      </w:r>
      <w:r>
        <w:tab/>
        <w:t>[POST116bis-e][514][RA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Huawei, HiSilicon</w:t>
      </w:r>
      <w:r>
        <w:tab/>
        <w:t>discussion</w:t>
      </w:r>
      <w:r>
        <w:tab/>
        <w:t>Rel-17</w:t>
      </w:r>
      <w:r>
        <w:tab/>
      </w:r>
      <w:r>
        <w:t>NR_SmallData_INACTIVE-Core, NR_slice-Core, NR_redcap-Core, NR_cov_enh-Core</w:t>
      </w:r>
      <w:r>
        <w:tab/>
        <w:t>Late</w:t>
      </w:r>
    </w:p>
    <w:p w14:paraId="1273C9AA" w14:textId="77777777" w:rsidR="000E6612" w:rsidRDefault="0023656F">
      <w:pPr>
        <w:pStyle w:val="Doc-title"/>
      </w:pPr>
      <w:r>
        <w:t>[8] R2-2203459</w:t>
      </w:r>
      <w:r>
        <w:tab/>
        <w:t>Remaining issues for RACH partitioning</w:t>
      </w:r>
      <w:r>
        <w:tab/>
        <w:t>InterDigital</w:t>
      </w:r>
      <w:r>
        <w:tab/>
        <w:t>discussion</w:t>
      </w:r>
      <w:r>
        <w:tab/>
        <w:t>Rel-17</w:t>
      </w:r>
      <w:r>
        <w:tab/>
        <w:t>NR_SmallData_INACTIVE-Core, NR_cov_enh-Core, NR_redcap-Core, NR_slice-Core</w:t>
      </w:r>
    </w:p>
    <w:p w14:paraId="7F0C4603" w14:textId="77777777" w:rsidR="000E6612" w:rsidRDefault="0023656F">
      <w:pPr>
        <w:pStyle w:val="Doc-title"/>
      </w:pPr>
      <w:r>
        <w:t>[9] R2-2203357</w:t>
      </w:r>
      <w:r>
        <w:tab/>
        <w:t>R</w:t>
      </w:r>
      <w:r>
        <w:t>eport of [POST116bis-e][515][RA Part] CP open issues</w:t>
      </w:r>
      <w:r>
        <w:tab/>
        <w:t>Ericsson</w:t>
      </w:r>
      <w:r>
        <w:tab/>
        <w:t>report</w:t>
      </w:r>
      <w:r>
        <w:tab/>
        <w:t>Rel-17</w:t>
      </w:r>
      <w:r>
        <w:tab/>
        <w:t>NR_redcap-Core, NR_slice-Core, NR_cov_enh2-Core, NR_SmallData_INACTIVE-Core</w:t>
      </w:r>
      <w:r>
        <w:tab/>
        <w:t>Late</w:t>
      </w:r>
    </w:p>
    <w:p w14:paraId="14E6D754" w14:textId="77777777" w:rsidR="000E6612" w:rsidRDefault="000E6612">
      <w:pPr>
        <w:pStyle w:val="Doc-text2"/>
        <w:ind w:left="0" w:firstLine="0"/>
      </w:pPr>
    </w:p>
    <w:p w14:paraId="76DF7D44" w14:textId="77777777" w:rsidR="000E6612" w:rsidRDefault="000E6612"/>
    <w:sectPr w:rsidR="000E6612">
      <w:headerReference w:type="even" r:id="rId12"/>
      <w:headerReference w:type="default" r:id="rId13"/>
      <w:footerReference w:type="even" r:id="rId14"/>
      <w:footerReference w:type="default" r:id="rId15"/>
      <w:headerReference w:type="first" r:id="rId16"/>
      <w:footerReference w:type="first" r:id="rId17"/>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0ACA" w14:textId="77777777" w:rsidR="0023656F" w:rsidRDefault="0023656F"/>
  </w:endnote>
  <w:endnote w:type="continuationSeparator" w:id="0">
    <w:p w14:paraId="585A774F" w14:textId="77777777" w:rsidR="0023656F" w:rsidRDefault="00236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B5D" w14:textId="77777777" w:rsidR="00D852F4" w:rsidRDefault="00D8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6BA1" w14:textId="77777777" w:rsidR="000E6612" w:rsidRDefault="000E6612">
    <w:pPr>
      <w:pStyle w:val="Footer"/>
    </w:pPr>
  </w:p>
  <w:p w14:paraId="29ABDC2D" w14:textId="77777777" w:rsidR="000E6612" w:rsidRDefault="000E6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804B" w14:textId="77777777" w:rsidR="00D852F4" w:rsidRDefault="00D8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14C7" w14:textId="77777777" w:rsidR="0023656F" w:rsidRDefault="0023656F">
      <w:pPr>
        <w:spacing w:after="0"/>
      </w:pPr>
    </w:p>
  </w:footnote>
  <w:footnote w:type="continuationSeparator" w:id="0">
    <w:p w14:paraId="27FEB995" w14:textId="77777777" w:rsidR="0023656F" w:rsidRDefault="002365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6A89" w14:textId="77777777" w:rsidR="00D852F4" w:rsidRDefault="00D85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C96B" w14:textId="77777777" w:rsidR="00D852F4" w:rsidRDefault="00D8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EBAD" w14:textId="77777777" w:rsidR="00D852F4" w:rsidRDefault="00D85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1089B"/>
  <w15:docId w15:val="{B7BC5815-CD69-4892-B20F-A9347215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eastAsia="Batang"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customStyle="1" w:styleId="TdocHeading2">
    <w:name w:val="Tdoc_Heading_2"/>
    <w:basedOn w:val="Normal"/>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62D3C5-F14F-4CC9-970C-9946B0D4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TotalTime>
  <Pages>10</Pages>
  <Words>3705</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ZTE(Eswar)</cp:lastModifiedBy>
  <cp:revision>3</cp:revision>
  <cp:lastPrinted>2017-10-24T05:18:00Z</cp:lastPrinted>
  <dcterms:created xsi:type="dcterms:W3CDTF">2022-02-22T12:19:00Z</dcterms:created>
  <dcterms:modified xsi:type="dcterms:W3CDTF">2022-02-22T12:20:00Z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2052-11.1.0.11365</vt:lpwstr>
  </property>
  <property fmtid="{D5CDD505-2E9C-101B-9397-08002B2CF9AE}" pid="16" name="ICV">
    <vt:lpwstr>8463AF3D071A407D9DCF07B131DEF36C</vt:lpwstr>
  </property>
</Properties>
</file>