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 xml:space="preserve">][503][IIoT] Tsynch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 xml:space="preserve">-e][503][IIoT] Tsynch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[AT117-e][503][IIoT] Tsynch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Tsynch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r>
              <w:rPr>
                <w:rFonts w:eastAsia="MS Mincho" w:hint="eastAsia"/>
              </w:rPr>
              <w:t>O</w:t>
            </w:r>
            <w:r>
              <w:rPr>
                <w:rFonts w:eastAsia="MS Mincho"/>
              </w:rPr>
              <w:t>hta, Yoshiaki</w:t>
            </w:r>
          </w:p>
        </w:tc>
        <w:tc>
          <w:tcPr>
            <w:tcW w:w="5108" w:type="dxa"/>
          </w:tcPr>
          <w:p w14:paraId="54D9F2B6" w14:textId="06DAF2DD" w:rsidR="009E1A2A" w:rsidRDefault="00474EA9" w:rsidP="009E1A2A">
            <w:hyperlink r:id="rId12" w:history="1">
              <w:r w:rsidR="009E1A2A" w:rsidRPr="00DB0D2C">
                <w:rPr>
                  <w:rStyle w:val="af6"/>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r>
              <w:t>pradeep dot jose at mediatek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474EA9" w:rsidP="008F228F">
            <w:hyperlink r:id="rId13" w:history="1">
              <w:r w:rsidR="00BC1B83" w:rsidRPr="000F1B05">
                <w:rPr>
                  <w:rStyle w:val="af6"/>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r w:rsidR="008421E5" w14:paraId="14CF375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2DF0" w14:textId="7628BD86" w:rsidR="008421E5" w:rsidRDefault="008421E5" w:rsidP="004951EC">
            <w:pPr>
              <w:rPr>
                <w:rFonts w:hint="eastAsia"/>
                <w:lang w:eastAsia="zh-CN"/>
              </w:rPr>
            </w:pPr>
            <w:r>
              <w:rPr>
                <w:rFonts w:hint="eastAsia"/>
                <w:lang w:eastAsia="zh-CN"/>
              </w:rPr>
              <w:t>H</w:t>
            </w:r>
            <w:r>
              <w:rPr>
                <w:lang w:eastAsia="zh-CN"/>
              </w:rPr>
              <w:t>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3246" w14:textId="39E8E5DA" w:rsidR="008421E5" w:rsidRDefault="008421E5" w:rsidP="004951EC">
            <w:pPr>
              <w:rPr>
                <w:lang w:eastAsia="zh-CN"/>
              </w:rPr>
            </w:pPr>
            <w:r>
              <w:rPr>
                <w:rFonts w:hint="eastAsia"/>
                <w:lang w:eastAsia="zh-CN"/>
              </w:rPr>
              <w:t>T</w:t>
            </w:r>
            <w:r>
              <w:rPr>
                <w:lang w:eastAsia="zh-CN"/>
              </w:rPr>
              <w:t>ao Cai</w:t>
            </w:r>
          </w:p>
        </w:tc>
        <w:tc>
          <w:tcPr>
            <w:tcW w:w="5108" w:type="dxa"/>
            <w:tcBorders>
              <w:top w:val="single" w:sz="4" w:space="0" w:color="auto"/>
              <w:left w:val="single" w:sz="4" w:space="0" w:color="auto"/>
              <w:bottom w:val="single" w:sz="4" w:space="0" w:color="auto"/>
              <w:right w:val="single" w:sz="4" w:space="0" w:color="auto"/>
            </w:tcBorders>
          </w:tcPr>
          <w:p w14:paraId="39CD51FD" w14:textId="7DBE65E8" w:rsidR="008421E5" w:rsidRDefault="008421E5" w:rsidP="004951EC">
            <w:pPr>
              <w:rPr>
                <w:lang w:eastAsia="zh-CN"/>
              </w:rPr>
            </w:pPr>
            <w:r w:rsidRPr="008421E5">
              <w:rPr>
                <w:lang w:eastAsia="zh-CN"/>
              </w:rPr>
              <w:t>Tao.Cai@huawei.com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af3"/>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af8"/>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af8"/>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af3"/>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af3"/>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We think gNB-side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r w:rsidR="008421E5" w:rsidRPr="00F05222" w14:paraId="61D90847"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AF630" w14:textId="56D2DC8B" w:rsidR="008421E5" w:rsidRDefault="008421E5" w:rsidP="008421E5">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34CBC" w14:textId="69E734D2" w:rsidR="008421E5" w:rsidRDefault="008421E5" w:rsidP="008421E5">
            <w:pPr>
              <w:spacing w:after="0" w:line="276" w:lineRule="auto"/>
              <w:rPr>
                <w:rFonts w:eastAsia="Malgun Gothic" w:hint="eastAsia"/>
                <w:bCs/>
                <w:lang w:eastAsia="ko-KR"/>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D36BBC" w14:textId="77777777" w:rsidR="008421E5" w:rsidRDefault="008421E5" w:rsidP="008421E5">
            <w:pPr>
              <w:spacing w:after="0" w:line="276" w:lineRule="auto"/>
              <w:rPr>
                <w:bCs/>
              </w:rPr>
            </w:pPr>
          </w:p>
        </w:tc>
      </w:tr>
    </w:tbl>
    <w:p w14:paraId="499E7948" w14:textId="0D82B443" w:rsidR="002C7D0F" w:rsidRPr="004D4225" w:rsidRDefault="00B4474C" w:rsidP="00B4474C">
      <w:pPr>
        <w:pStyle w:val="a9"/>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af3"/>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af3"/>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宋体"/>
                <w:bCs/>
                <w:lang w:eastAsia="zh-CN"/>
              </w:rPr>
              <w:lastRenderedPageBreak/>
              <w:t>[</w:t>
            </w:r>
            <w:r>
              <w:rPr>
                <w:rFonts w:eastAsia="宋体"/>
                <w:bCs/>
                <w:lang w:eastAsia="zh-CN"/>
              </w:rPr>
              <w:t>6</w:t>
            </w:r>
            <w:r w:rsidRPr="004C1073">
              <w:rPr>
                <w:rFonts w:eastAsia="宋体"/>
                <w:bCs/>
                <w:lang w:eastAsia="zh-CN"/>
              </w:rPr>
              <w:t>]</w:t>
            </w:r>
            <w:r>
              <w:rPr>
                <w:b/>
                <w:noProof/>
                <w:sz w:val="24"/>
              </w:rPr>
              <w:t xml:space="preserve"> </w:t>
            </w:r>
            <w:r w:rsidRPr="001E1644">
              <w:rPr>
                <w:rFonts w:eastAsia="宋体"/>
                <w:bCs/>
                <w:lang w:eastAsia="zh-CN"/>
              </w:rPr>
              <w:t>R2-2202750</w:t>
            </w:r>
          </w:p>
        </w:tc>
        <w:tc>
          <w:tcPr>
            <w:tcW w:w="8079" w:type="dxa"/>
          </w:tcPr>
          <w:p w14:paraId="7BD0F08D"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af8"/>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af8"/>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af8"/>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af8"/>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af8"/>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af3"/>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af8"/>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af8"/>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af8"/>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af8"/>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 1</w:t>
            </w:r>
            <w:r w:rsidRPr="00507646">
              <w:rPr>
                <w:lang w:eastAsia="zh-CN"/>
              </w:rPr>
              <w:t>. As for the need to support a periodic report at all, we are still not convinced of the motivation. It was argued online that this could come in support of the scenario where the TSN clock (used as GM clock to be synchronized to) is of poor quality wrt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 xml:space="preserve">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w:t>
            </w:r>
            <w:r w:rsidRPr="00C53F10">
              <w:rPr>
                <w:lang w:eastAsia="zh-CN"/>
              </w:rPr>
              <w:lastRenderedPageBreak/>
              <w:t>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af8"/>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We are not sure periodic is required, but it can be supported if required with reportAmount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Malgun Gothic"/>
                <w:bCs/>
                <w:lang w:eastAsia="ko-KR"/>
              </w:rPr>
            </w:pPr>
            <w:r>
              <w:rPr>
                <w:rFonts w:eastAsia="Malgun Gothic" w:hint="eastAsia"/>
                <w:bCs/>
                <w:lang w:eastAsia="ko-KR"/>
              </w:rPr>
              <w:t>Option 1 is sufficient.</w:t>
            </w:r>
          </w:p>
        </w:tc>
      </w:tr>
      <w:tr w:rsidR="008421E5" w:rsidRPr="00447B3F" w14:paraId="4F94D8E5"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0990E4" w14:textId="1C51A68E" w:rsidR="008421E5" w:rsidRDefault="008421E5" w:rsidP="008421E5">
            <w:pPr>
              <w:spacing w:after="0" w:line="276" w:lineRule="auto"/>
              <w:rPr>
                <w:rFonts w:eastAsia="Malgun Gothic" w:hint="eastAsia"/>
                <w:bCs/>
                <w:lang w:eastAsia="ko-KR"/>
              </w:rPr>
            </w:pPr>
            <w:r>
              <w:rPr>
                <w:bCs/>
              </w:rP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0829A9" w14:textId="35B0CFA6" w:rsidR="008421E5" w:rsidRDefault="008421E5" w:rsidP="008421E5">
            <w:pPr>
              <w:spacing w:after="0" w:line="276" w:lineRule="auto"/>
              <w:rPr>
                <w:rFonts w:eastAsia="Malgun Gothic" w:hint="eastAsia"/>
                <w:bCs/>
                <w:lang w:eastAsia="ko-KR"/>
              </w:rPr>
            </w:pPr>
            <w:r>
              <w:rPr>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330006" w14:textId="5B1AD637" w:rsidR="008421E5" w:rsidRDefault="008421E5" w:rsidP="008421E5">
            <w:pPr>
              <w:spacing w:afterLines="50" w:after="120" w:line="276" w:lineRule="auto"/>
              <w:rPr>
                <w:rFonts w:eastAsia="Malgun Gothic" w:hint="eastAsia"/>
                <w:bCs/>
                <w:lang w:eastAsia="ko-KR"/>
              </w:rPr>
            </w:pPr>
            <w:r>
              <w:rPr>
                <w:bCs/>
              </w:rPr>
              <w:t>Agree with Ericsson and Nokia. We also think periodic reporting is a safe option for the network, which shall be at least supported. In fact, in LTE positioning, we have already supported periodic reporting of UE Rx-Tx time diff result to the RAN node by the UE. We think a similar reporting method shall be supported in RTT-based PDC.</w:t>
            </w:r>
          </w:p>
        </w:tc>
      </w:tr>
    </w:tbl>
    <w:p w14:paraId="473A42BE" w14:textId="28F2928C" w:rsidR="006E72BD" w:rsidRDefault="006E72BD" w:rsidP="006E72BD">
      <w:pPr>
        <w:pStyle w:val="a9"/>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a9"/>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af3"/>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a9"/>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af3"/>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a9"/>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lastRenderedPageBreak/>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r w:rsidRPr="00507646">
              <w:rPr>
                <w:i/>
                <w:iCs/>
                <w:lang w:val="en-GB"/>
              </w:rPr>
              <w:t xml:space="preserve">reportType </w:t>
            </w:r>
            <w:r w:rsidRPr="00507646">
              <w:rPr>
                <w:lang w:val="en-GB"/>
              </w:rPr>
              <w:t xml:space="preserve">= </w:t>
            </w:r>
            <w:r w:rsidRPr="00507646">
              <w:rPr>
                <w:i/>
                <w:iCs/>
                <w:lang w:val="en-GB"/>
              </w:rPr>
              <w:t xml:space="preserve">periodical </w:t>
            </w:r>
            <w:r w:rsidRPr="00507646">
              <w:rPr>
                <w:lang w:eastAsia="zh-CN"/>
              </w:rPr>
              <w:t xml:space="preserve">and </w:t>
            </w:r>
            <w:r w:rsidRPr="00507646">
              <w:rPr>
                <w:i/>
                <w:iCs/>
                <w:lang w:val="en-GB"/>
              </w:rPr>
              <w:t>reportAmount</w:t>
            </w:r>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r w:rsidR="008421E5" w:rsidRPr="00DF7AA5" w14:paraId="691759F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985DFF" w14:textId="13AEAE45" w:rsidR="008421E5" w:rsidRDefault="008421E5" w:rsidP="001D66A1">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AB2E4" w14:textId="4C96D587" w:rsidR="008421E5" w:rsidRDefault="008421E5" w:rsidP="001D66A1">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8D9199" w14:textId="77777777" w:rsidR="008421E5" w:rsidRPr="00B766D3" w:rsidRDefault="008421E5" w:rsidP="001D66A1">
            <w:pPr>
              <w:spacing w:after="0" w:line="276" w:lineRule="auto"/>
              <w:rPr>
                <w:rFonts w:ascii="Arial" w:hAnsi="Arial" w:cs="Arial"/>
                <w:bCs/>
              </w:rPr>
            </w:pPr>
          </w:p>
        </w:tc>
      </w:tr>
    </w:tbl>
    <w:p w14:paraId="7F37C2F9" w14:textId="26BDA160" w:rsidR="004674CB" w:rsidRDefault="004674CB" w:rsidP="004674C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a9"/>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r w:rsidRPr="00DE03DE">
              <w:rPr>
                <w:i/>
              </w:rPr>
              <w:t>reportInterval</w:t>
            </w:r>
            <w:r w:rsidRPr="00DE03DE">
              <w:rPr>
                <w:lang w:eastAsia="zh-CN"/>
              </w:rPr>
              <w:t xml:space="preserve"> parameter of the RRC measurement procedure. The current range of this parameter is {ms120, ms240, ms480, ms640, ms1024, ms2048, ms5120, ms10240, ms20480, ms40960, min1,min6,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r w:rsidRPr="00DE03DE">
              <w:rPr>
                <w:i/>
              </w:rPr>
              <w:t>reportInterval</w:t>
            </w:r>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9D582A" w:rsidRDefault="009D582A" w:rsidP="001D66A1">
            <w:pPr>
              <w:spacing w:after="0" w:line="276" w:lineRule="auto"/>
              <w:rPr>
                <w:rFonts w:eastAsia="Malgun Gothic"/>
                <w:bCs/>
                <w:lang w:eastAsia="ko-KR"/>
              </w:rPr>
            </w:pPr>
            <w:r>
              <w:rPr>
                <w:rFonts w:eastAsia="Malgun Gothic" w:hint="eastAsia"/>
                <w:bCs/>
                <w:lang w:eastAsia="ko-KR"/>
              </w:rPr>
              <w:t>C</w:t>
            </w:r>
            <w:r>
              <w:rPr>
                <w:rFonts w:eastAsia="Malgun Gothic"/>
                <w:bCs/>
                <w:lang w:eastAsia="ko-KR"/>
              </w:rPr>
              <w:t>o</w:t>
            </w:r>
            <w:r>
              <w:rPr>
                <w:rFonts w:eastAsia="Malgun Gothic" w:hint="eastAsia"/>
                <w:bCs/>
                <w:lang w:eastAsia="ko-KR"/>
              </w:rPr>
              <w:t xml:space="preserve">nfirm </w:t>
            </w:r>
            <w:r>
              <w:rPr>
                <w:rFonts w:eastAsia="Malgun Gothic"/>
                <w:bCs/>
                <w:lang w:eastAsia="ko-KR"/>
              </w:rPr>
              <w:t>from RAN1/4 may be needed.</w:t>
            </w:r>
          </w:p>
        </w:tc>
      </w:tr>
      <w:tr w:rsidR="008421E5" w:rsidRPr="00AC2D42" w14:paraId="57415997"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43045" w14:textId="0116D3F8" w:rsidR="008421E5" w:rsidRDefault="008421E5" w:rsidP="008421E5">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C9C69" w14:textId="6FFA005B" w:rsidR="008421E5" w:rsidRDefault="008421E5" w:rsidP="008421E5">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793DB6" w14:textId="64EC9313" w:rsidR="008421E5" w:rsidRDefault="008421E5" w:rsidP="008421E5">
            <w:pPr>
              <w:spacing w:after="0" w:line="276" w:lineRule="auto"/>
              <w:rPr>
                <w:rFonts w:eastAsia="Malgun Gothic" w:hint="eastAsia"/>
                <w:bCs/>
                <w:lang w:eastAsia="ko-KR"/>
              </w:rPr>
            </w:pPr>
            <w:r>
              <w:rPr>
                <w:rFonts w:hint="eastAsia"/>
                <w:bCs/>
                <w:lang w:eastAsia="zh-CN"/>
              </w:rPr>
              <w:t>A</w:t>
            </w:r>
            <w:r>
              <w:rPr>
                <w:bCs/>
                <w:lang w:eastAsia="zh-CN"/>
              </w:rPr>
              <w:t>gree with oppo.</w:t>
            </w:r>
          </w:p>
        </w:tc>
      </w:tr>
    </w:tbl>
    <w:p w14:paraId="65191023" w14:textId="713A29F4" w:rsidR="00177A33" w:rsidRDefault="00177A33" w:rsidP="00177A3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a9"/>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af8"/>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af8"/>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r w:rsidR="008421E5" w:rsidRPr="00E77764" w14:paraId="70CBC6F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4C3D44" w14:textId="549D0ACF" w:rsidR="008421E5" w:rsidRDefault="008421E5" w:rsidP="001D66A1">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723D0" w14:textId="5ABFBAF7" w:rsidR="008421E5" w:rsidRDefault="008421E5" w:rsidP="001D66A1">
            <w:pPr>
              <w:spacing w:after="0" w:line="276" w:lineRule="auto"/>
              <w:rPr>
                <w:rFonts w:eastAsia="Malgun Gothic" w:hint="eastAsia"/>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858853" w14:textId="77777777" w:rsidR="008421E5" w:rsidRDefault="008421E5" w:rsidP="001D66A1">
            <w:pPr>
              <w:spacing w:after="0" w:line="276" w:lineRule="auto"/>
              <w:rPr>
                <w:bCs/>
              </w:rPr>
            </w:pPr>
          </w:p>
        </w:tc>
      </w:tr>
    </w:tbl>
    <w:p w14:paraId="332E9B87" w14:textId="77777777" w:rsidR="00BB7917" w:rsidRDefault="00BB7917" w:rsidP="00BB7917">
      <w:pPr>
        <w:pStyle w:val="a9"/>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af3"/>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r>
            <w:r w:rsidR="009D582A">
              <w:rPr>
                <w:rFonts w:ascii="Arial" w:hAnsi="Arial"/>
                <w:color w:val="auto"/>
                <w:szCs w:val="24"/>
                <w:lang w:val="en-GB" w:eastAsia="en-GB"/>
              </w:rPr>
              <w:t>ignaling</w:t>
            </w:r>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af3"/>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宋体"/>
                <w:bCs/>
                <w:lang w:eastAsia="zh-CN"/>
              </w:rPr>
              <w:t>[</w:t>
            </w:r>
            <w:r>
              <w:rPr>
                <w:rFonts w:eastAsia="宋体"/>
                <w:bCs/>
                <w:lang w:eastAsia="zh-CN"/>
              </w:rPr>
              <w:t>8</w:t>
            </w:r>
            <w:r w:rsidRPr="004C1073">
              <w:rPr>
                <w:rFonts w:eastAsia="宋体"/>
                <w:bCs/>
                <w:lang w:eastAsia="zh-CN"/>
              </w:rPr>
              <w:t>]</w:t>
            </w:r>
            <w:r>
              <w:rPr>
                <w:b/>
                <w:noProof/>
                <w:sz w:val="24"/>
              </w:rPr>
              <w:t xml:space="preserve"> </w:t>
            </w:r>
            <w:r w:rsidRPr="00F86EEE">
              <w:rPr>
                <w:rFonts w:eastAsia="宋体"/>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i.e.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r>
            <w:r w:rsidR="009D582A">
              <w:rPr>
                <w:rFonts w:ascii="Arial" w:eastAsiaTheme="minorEastAsia" w:hAnsi="Arial" w:cs="Arial"/>
                <w:b/>
                <w:lang w:val="en-GB" w:eastAsia="zh-CN"/>
              </w:rPr>
              <w:t>ignaling</w:t>
            </w:r>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 xml:space="preserve">Okay to the principle, but </w:t>
            </w:r>
            <w:r>
              <w:rPr>
                <w:bCs/>
              </w:rPr>
              <w:lastRenderedPageBreak/>
              <w:t>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lastRenderedPageBreak/>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lastRenderedPageBreak/>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r w:rsidR="009D582A">
              <w:rPr>
                <w:bCs/>
                <w:lang w:eastAsia="zh-CN"/>
              </w:rPr>
              <w:pgNum/>
            </w:r>
            <w:r w:rsidR="009D582A">
              <w:rPr>
                <w:bCs/>
                <w:lang w:eastAsia="zh-CN"/>
              </w:rPr>
              <w:t>ignaling</w:t>
            </w:r>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Is there a need for such an optimization? Do we expect that an I</w:t>
            </w:r>
            <w:r w:rsidR="009D582A">
              <w:rPr>
                <w:bCs/>
                <w:lang w:eastAsia="zh-CN"/>
              </w:rPr>
              <w:t>i</w:t>
            </w:r>
            <w:r>
              <w:rPr>
                <w:bCs/>
                <w:lang w:eastAsia="zh-CN"/>
              </w:rPr>
              <w:t xml:space="preserve">oT system (that is expected to be relatively local, geographically speaking) will comprise of a mix of cells that support dedicated RTI </w:t>
            </w:r>
            <w:r w:rsidR="009D582A">
              <w:rPr>
                <w:bCs/>
                <w:lang w:eastAsia="zh-CN"/>
              </w:rPr>
              <w:pgNum/>
            </w:r>
            <w:r w:rsidR="009D582A">
              <w:rPr>
                <w:bCs/>
                <w:lang w:eastAsia="zh-CN"/>
              </w:rPr>
              <w:t>ignaling</w:t>
            </w:r>
            <w:r>
              <w:rPr>
                <w:bCs/>
                <w:lang w:eastAsia="zh-CN"/>
              </w:rPr>
              <w:t xml:space="preserve"> and cells that do not support dedicated RTI </w:t>
            </w:r>
            <w:r w:rsidR="009D582A">
              <w:rPr>
                <w:bCs/>
                <w:lang w:eastAsia="zh-CN"/>
              </w:rPr>
              <w:pgNum/>
            </w:r>
            <w:r w:rsidR="009D582A">
              <w:rPr>
                <w:bCs/>
                <w:lang w:eastAsia="zh-CN"/>
              </w:rPr>
              <w:t>ignaling</w:t>
            </w:r>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The target cell will not send RTI right away as e.g.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(switch on SIB9)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Malgun Gothic"/>
                <w:bCs/>
                <w:lang w:eastAsia="ko-KR"/>
              </w:rPr>
            </w:pPr>
            <w:r>
              <w:rPr>
                <w:rFonts w:eastAsia="Malgun Gothic" w:hint="eastAsia"/>
                <w:bCs/>
                <w:lang w:eastAsia="ko-KR"/>
              </w:rPr>
              <w:t>Y</w:t>
            </w:r>
            <w:r>
              <w:rPr>
                <w:rFonts w:eastAsia="Malgun Gothic"/>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36516F" w14:paraId="4B61C9C9"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109A88" w14:textId="01870548" w:rsidR="008421E5" w:rsidRDefault="008421E5" w:rsidP="008421E5">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50F92" w14:textId="2B4FD659" w:rsidR="008421E5" w:rsidRDefault="008421E5" w:rsidP="008421E5">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334EC7" w14:textId="30DEDB37" w:rsidR="008421E5" w:rsidRDefault="008421E5" w:rsidP="008421E5">
            <w:pPr>
              <w:spacing w:after="0" w:line="276" w:lineRule="auto"/>
              <w:rPr>
                <w:rFonts w:ascii="Arial" w:eastAsia="Malgun Gothic" w:hAnsi="Arial" w:cs="Arial" w:hint="eastAsia"/>
                <w:bCs/>
                <w:lang w:eastAsia="ko-KR"/>
              </w:rPr>
            </w:pPr>
            <w:r>
              <w:rPr>
                <w:rFonts w:ascii="Arial" w:hAnsi="Arial" w:cs="Arial" w:hint="eastAsia"/>
                <w:bCs/>
                <w:lang w:eastAsia="zh-CN"/>
              </w:rPr>
              <w:t>A</w:t>
            </w:r>
            <w:r>
              <w:rPr>
                <w:rFonts w:ascii="Arial" w:hAnsi="Arial" w:cs="Arial"/>
                <w:bCs/>
                <w:lang w:eastAsia="zh-CN"/>
              </w:rPr>
              <w:t>gree with Nokia.</w:t>
            </w:r>
          </w:p>
        </w:tc>
      </w:tr>
    </w:tbl>
    <w:p w14:paraId="1FB90085" w14:textId="4A534AB2" w:rsidR="00745DD0" w:rsidRDefault="00745DD0" w:rsidP="00745DD0">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a9"/>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lastRenderedPageBreak/>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B203F0" w14:paraId="6547CFB0"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55BFEC" w14:textId="0EF7910C" w:rsidR="008421E5" w:rsidRDefault="008421E5" w:rsidP="001D66A1">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B06E70" w14:textId="5DF16315" w:rsidR="008421E5" w:rsidRDefault="008421E5" w:rsidP="001D66A1">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9B73F" w14:textId="77777777" w:rsidR="008421E5" w:rsidRDefault="008421E5" w:rsidP="001D66A1">
            <w:pPr>
              <w:spacing w:after="0" w:line="276" w:lineRule="auto"/>
              <w:rPr>
                <w:rFonts w:ascii="Arial" w:eastAsia="Malgun Gothic" w:hAnsi="Arial" w:cs="Arial" w:hint="eastAsia"/>
                <w:bCs/>
                <w:lang w:eastAsia="ko-KR"/>
              </w:rPr>
            </w:pPr>
          </w:p>
        </w:tc>
      </w:tr>
    </w:tbl>
    <w:p w14:paraId="515590B1" w14:textId="77777777" w:rsidR="00EA5AE5" w:rsidRDefault="00EA5AE5" w:rsidP="00EA5AE5">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a9"/>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r>
      <w:r w:rsidR="009D582A">
        <w:rPr>
          <w:b/>
        </w:rPr>
        <w:t>ignaling</w:t>
      </w:r>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clarify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13F63FD5"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9D582A">
              <w:rPr>
                <w:bCs/>
                <w:lang w:eastAsia="zh-CN"/>
              </w:rPr>
              <w:pgNum/>
            </w:r>
            <w:r w:rsidR="009D582A">
              <w:rPr>
                <w:bCs/>
                <w:lang w:eastAsia="zh-CN"/>
              </w:rPr>
              <w:t>ignaling</w:t>
            </w:r>
            <w:r>
              <w:rPr>
                <w:rFonts w:hint="eastAsia"/>
                <w:bCs/>
                <w:lang w:eastAsia="zh-CN"/>
              </w:rPr>
              <w:t>, e.g. more and more U</w:t>
            </w:r>
            <w:r w:rsidR="004B72E6">
              <w:rPr>
                <w:bCs/>
                <w:lang w:eastAsia="zh-CN"/>
              </w:rPr>
              <w:t>e</w:t>
            </w:r>
            <w:r>
              <w:rPr>
                <w:rFonts w:hint="eastAsia"/>
                <w:bCs/>
                <w:lang w:eastAsia="zh-CN"/>
              </w:rPr>
              <w:t xml:space="preserv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a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Pr>
                <w:rFonts w:hint="eastAsia"/>
                <w:bCs/>
                <w:lang w:eastAsia="zh-CN"/>
              </w:rPr>
              <w:t>T</w:t>
            </w:r>
            <w:r>
              <w:rPr>
                <w:bCs/>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shd w:val="clear" w:color="auto" w:fill="auto"/>
            <w:vAlign w:val="center"/>
          </w:tcPr>
          <w:p w14:paraId="00D5C338" w14:textId="57F3FFAD" w:rsidR="009D582A" w:rsidRPr="009D582A" w:rsidRDefault="009D582A" w:rsidP="001D66A1">
            <w:pPr>
              <w:spacing w:after="0" w:line="276" w:lineRule="auto"/>
              <w:rPr>
                <w:rFonts w:eastAsia="Malgun Gothic"/>
                <w:bCs/>
                <w:lang w:eastAsia="ko-KR"/>
              </w:rPr>
            </w:pPr>
            <w:r>
              <w:rPr>
                <w:rFonts w:eastAsia="Malgun Gothic" w:hint="eastAsia"/>
                <w:bCs/>
                <w:lang w:eastAsia="ko-KR"/>
              </w:rPr>
              <w:t>Agree with Nokia.</w:t>
            </w:r>
          </w:p>
        </w:tc>
      </w:tr>
      <w:tr w:rsidR="008421E5" w14:paraId="1AF07184" w14:textId="77777777" w:rsidTr="00BC1B83">
        <w:tc>
          <w:tcPr>
            <w:tcW w:w="1555" w:type="dxa"/>
            <w:shd w:val="clear" w:color="auto" w:fill="auto"/>
            <w:vAlign w:val="center"/>
          </w:tcPr>
          <w:p w14:paraId="118F5CC2" w14:textId="153F8BBB" w:rsidR="008421E5" w:rsidRDefault="008421E5" w:rsidP="008421E5">
            <w:pPr>
              <w:spacing w:after="0" w:line="276" w:lineRule="auto"/>
              <w:rPr>
                <w:rFonts w:eastAsia="Malgun Gothic" w:hint="eastAsia"/>
                <w:bCs/>
                <w:lang w:eastAsia="ko-KR"/>
              </w:rPr>
            </w:pPr>
            <w:r>
              <w:rPr>
                <w:bCs/>
              </w:rPr>
              <w:t>Huawei, HiSilicon</w:t>
            </w:r>
          </w:p>
        </w:tc>
        <w:tc>
          <w:tcPr>
            <w:tcW w:w="1417" w:type="dxa"/>
            <w:shd w:val="clear" w:color="auto" w:fill="auto"/>
            <w:vAlign w:val="center"/>
          </w:tcPr>
          <w:p w14:paraId="43E64BF4" w14:textId="6158946A" w:rsidR="008421E5" w:rsidRDefault="008421E5" w:rsidP="008421E5">
            <w:pPr>
              <w:spacing w:after="0" w:line="276" w:lineRule="auto"/>
              <w:rPr>
                <w:rFonts w:eastAsia="Malgun Gothic" w:hint="eastAsia"/>
                <w:bCs/>
                <w:lang w:eastAsia="ko-KR"/>
              </w:rPr>
            </w:pPr>
            <w:r>
              <w:rPr>
                <w:rFonts w:hint="eastAsia"/>
                <w:bCs/>
                <w:lang w:eastAsia="zh-CN"/>
              </w:rPr>
              <w:t>N</w:t>
            </w:r>
            <w:r>
              <w:rPr>
                <w:bCs/>
                <w:lang w:eastAsia="zh-CN"/>
              </w:rPr>
              <w:t>o</w:t>
            </w:r>
          </w:p>
        </w:tc>
        <w:tc>
          <w:tcPr>
            <w:tcW w:w="6662" w:type="dxa"/>
            <w:shd w:val="clear" w:color="auto" w:fill="auto"/>
            <w:vAlign w:val="center"/>
          </w:tcPr>
          <w:p w14:paraId="74FCA26F" w14:textId="1E429EC5" w:rsidR="008421E5" w:rsidRDefault="008421E5" w:rsidP="008421E5">
            <w:pPr>
              <w:spacing w:after="0" w:line="276" w:lineRule="auto"/>
              <w:rPr>
                <w:rFonts w:eastAsia="Malgun Gothic" w:hint="eastAsia"/>
                <w:bCs/>
                <w:lang w:eastAsia="ko-KR"/>
              </w:rPr>
            </w:pPr>
            <w:r>
              <w:rPr>
                <w:rFonts w:hint="eastAsia"/>
                <w:bCs/>
                <w:lang w:eastAsia="zh-CN"/>
              </w:rPr>
              <w:t>A</w:t>
            </w:r>
            <w:r>
              <w:rPr>
                <w:bCs/>
                <w:lang w:eastAsia="zh-CN"/>
              </w:rPr>
              <w:t>gree with Nokia.</w:t>
            </w:r>
          </w:p>
        </w:tc>
      </w:tr>
    </w:tbl>
    <w:p w14:paraId="189E845E" w14:textId="2B65439D" w:rsidR="00A822CC" w:rsidRDefault="00A822CC" w:rsidP="00A822C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a9"/>
        <w:snapToGrid w:val="0"/>
        <w:spacing w:before="60" w:after="60" w:line="288" w:lineRule="auto"/>
        <w:jc w:val="both"/>
        <w:rPr>
          <w:b/>
          <w:bCs/>
          <w:lang w:eastAsia="zh-CN"/>
        </w:rPr>
      </w:pPr>
    </w:p>
    <w:p w14:paraId="1F664748" w14:textId="5A1F4162" w:rsidR="00F10BCB" w:rsidRDefault="00643A01" w:rsidP="00A822CC">
      <w:pPr>
        <w:pStyle w:val="a9"/>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af8"/>
              <w:numPr>
                <w:ilvl w:val="0"/>
                <w:numId w:val="30"/>
              </w:numPr>
              <w:spacing w:after="0" w:line="276" w:lineRule="auto"/>
              <w:ind w:firstLineChars="0"/>
              <w:rPr>
                <w:bCs/>
              </w:rPr>
            </w:pPr>
            <w:r w:rsidRPr="009328AC">
              <w:rPr>
                <w:bCs/>
              </w:rPr>
              <w:lastRenderedPageBreak/>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lastRenderedPageBreak/>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r w:rsidRPr="00CB50BA">
              <w:rPr>
                <w:i/>
                <w:lang w:eastAsia="zh-CN"/>
              </w:rPr>
              <w:t>DLInformationTransfer</w:t>
            </w:r>
            <w:r w:rsidRPr="00CB50BA">
              <w:rPr>
                <w:lang w:eastAsia="zh-CN"/>
              </w:rPr>
              <w:t xml:space="preserve"> to the UE where </w:t>
            </w:r>
            <w:r w:rsidRPr="00CB50BA">
              <w:rPr>
                <w:i/>
                <w:lang w:eastAsia="zh-CN"/>
              </w:rPr>
              <w:t>referenceTimeInfo</w:t>
            </w:r>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r>
              <w:rPr>
                <w:rFonts w:eastAsia="Times New Roman"/>
                <w:bCs/>
                <w:color w:val="auto"/>
                <w:lang w:eastAsia="en-US"/>
              </w:rPr>
              <w:t>ReconfigurationWithSync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In our view, we only need to capture in RRC that dedicated RTI signalling is prioritized over SIB9 when UE stays in the serving cell where dedicated RTI signalling is received.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An explicit indication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Malgun Gothic"/>
                <w:bCs/>
                <w:lang w:eastAsia="ko-KR"/>
              </w:rPr>
            </w:pPr>
            <w:r>
              <w:rPr>
                <w:rFonts w:eastAsia="Malgun Gothic"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r w:rsidR="008421E5" w:rsidRPr="006565DC" w14:paraId="6EF2090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7BF6BD" w14:textId="2E4A67B0" w:rsidR="008421E5" w:rsidRDefault="008421E5" w:rsidP="008421E5">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58AB9" w14:textId="620CC12C" w:rsidR="008421E5" w:rsidRDefault="008421E5" w:rsidP="008421E5">
            <w:pPr>
              <w:spacing w:after="0" w:line="276" w:lineRule="auto"/>
              <w:rPr>
                <w:rFonts w:eastAsia="Malgun Gothic" w:hint="eastAsia"/>
                <w:bCs/>
                <w:lang w:eastAsia="ko-KR"/>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7C1CA" w14:textId="1E5BA9A6" w:rsidR="008421E5" w:rsidRDefault="008421E5" w:rsidP="008421E5">
            <w:pPr>
              <w:spacing w:after="0" w:line="276" w:lineRule="auto"/>
              <w:rPr>
                <w:bCs/>
              </w:rPr>
            </w:pPr>
            <w:r>
              <w:rPr>
                <w:rFonts w:hint="eastAsia"/>
                <w:bCs/>
                <w:lang w:eastAsia="zh-CN"/>
              </w:rPr>
              <w:t>C</w:t>
            </w:r>
            <w:r>
              <w:rPr>
                <w:bCs/>
                <w:lang w:eastAsia="zh-CN"/>
              </w:rPr>
              <w:t>an follow the majority.</w:t>
            </w:r>
          </w:p>
        </w:tc>
      </w:tr>
    </w:tbl>
    <w:p w14:paraId="2F254291" w14:textId="77777777" w:rsidR="006F6CF7" w:rsidRDefault="006F6CF7" w:rsidP="006F6CF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a9"/>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3"/>
      </w:pPr>
      <w:r>
        <w:t xml:space="preserve">UE-side </w:t>
      </w:r>
      <w:r w:rsidR="003A36A2">
        <w:t xml:space="preserve">RTT </w:t>
      </w:r>
      <w:r>
        <w:t>PDC</w:t>
      </w:r>
    </w:p>
    <w:tbl>
      <w:tblPr>
        <w:tblStyle w:val="af3"/>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宋体"/>
                <w:bCs/>
                <w:lang w:eastAsia="zh-CN"/>
              </w:rPr>
              <w:lastRenderedPageBreak/>
              <w:t>[</w:t>
            </w:r>
            <w:r>
              <w:rPr>
                <w:rFonts w:eastAsia="宋体"/>
                <w:bCs/>
                <w:lang w:eastAsia="zh-CN"/>
              </w:rPr>
              <w:t>3</w:t>
            </w:r>
            <w:r w:rsidRPr="004C1073">
              <w:rPr>
                <w:rFonts w:eastAsia="宋体"/>
                <w:bCs/>
                <w:lang w:eastAsia="zh-CN"/>
              </w:rPr>
              <w:t>]</w:t>
            </w:r>
            <w:r>
              <w:rPr>
                <w:b/>
                <w:noProof/>
                <w:sz w:val="24"/>
              </w:rPr>
              <w:t xml:space="preserve"> </w:t>
            </w:r>
            <w:r w:rsidRPr="00E13514">
              <w:rPr>
                <w:rFonts w:eastAsia="宋体"/>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宋体"/>
                <w:bCs/>
                <w:lang w:eastAsia="zh-CN"/>
              </w:rPr>
              <w:t>[</w:t>
            </w:r>
            <w:r>
              <w:rPr>
                <w:rFonts w:eastAsia="宋体"/>
                <w:bCs/>
                <w:lang w:eastAsia="zh-CN"/>
              </w:rPr>
              <w:t>9</w:t>
            </w:r>
            <w:r w:rsidRPr="004C1073">
              <w:rPr>
                <w:rFonts w:eastAsia="宋体"/>
                <w:bCs/>
                <w:lang w:eastAsia="zh-CN"/>
              </w:rPr>
              <w:t>]</w:t>
            </w:r>
            <w:r>
              <w:rPr>
                <w:b/>
                <w:noProof/>
                <w:sz w:val="24"/>
              </w:rPr>
              <w:t xml:space="preserve"> </w:t>
            </w:r>
            <w:r w:rsidRPr="00140653">
              <w:rPr>
                <w:rFonts w:eastAsia="宋体"/>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Cs/>
              </w:rPr>
              <w:t xml:space="preserve"> </w:t>
            </w:r>
            <w:r w:rsidRPr="00B64CAE">
              <w:rPr>
                <w:rFonts w:eastAsia="宋体"/>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a9"/>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af3"/>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a9"/>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a9"/>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a9"/>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r w:rsidR="008421E5" w:rsidRPr="003F4E9C" w14:paraId="6FA3D81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6167B0" w14:textId="7BA4D818" w:rsidR="008421E5" w:rsidRDefault="008421E5" w:rsidP="001D66A1">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D3B543" w14:textId="290E8C67" w:rsidR="008421E5" w:rsidRDefault="008421E5" w:rsidP="001D66A1">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D9B84" w14:textId="77777777" w:rsidR="008421E5" w:rsidRDefault="008421E5" w:rsidP="001D66A1">
            <w:pPr>
              <w:spacing w:after="0" w:line="276" w:lineRule="auto"/>
              <w:rPr>
                <w:rFonts w:ascii="Arial" w:hAnsi="Arial" w:cs="Arial"/>
                <w:bCs/>
              </w:rPr>
            </w:pPr>
          </w:p>
        </w:tc>
      </w:tr>
    </w:tbl>
    <w:p w14:paraId="70DA1327" w14:textId="3CD78000" w:rsidR="00DA3377" w:rsidRPr="0087525B" w:rsidRDefault="0087525B" w:rsidP="009916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a9"/>
        <w:snapToGrid w:val="0"/>
        <w:spacing w:before="60" w:after="60" w:line="288" w:lineRule="auto"/>
        <w:jc w:val="both"/>
        <w:rPr>
          <w:lang w:eastAsia="zh-CN"/>
        </w:rPr>
      </w:pPr>
    </w:p>
    <w:p w14:paraId="7A120263" w14:textId="5B514CE5" w:rsidR="00505FD3" w:rsidRDefault="009F49D9" w:rsidP="007E386A">
      <w:pPr>
        <w:pStyle w:val="a9"/>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af3"/>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a9"/>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a9"/>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af8"/>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af8"/>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af8"/>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r w:rsidRPr="0062262C">
              <w:rPr>
                <w:i/>
                <w:lang w:eastAsia="zh-CN"/>
              </w:rPr>
              <w:t>referenceTimeInfo</w:t>
            </w:r>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We understand that configuring the parameters used for RTT is means RTT-based PDC is applied. As indicated by the Rapporteur, TA-based and RTT-based PDC will not be activated together, in the case with the parameters used for RTT, we understand that it implies gNB-side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measurement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r w:rsidR="008421E5" w:rsidRPr="005D45A0" w14:paraId="2A2D3D08"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67FF92" w14:textId="248B27BC" w:rsidR="008421E5" w:rsidRDefault="008421E5" w:rsidP="001D66A1">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48331" w14:textId="3F570BA4" w:rsidR="008421E5" w:rsidRDefault="008421E5" w:rsidP="001D66A1">
            <w:pPr>
              <w:spacing w:after="0" w:line="276" w:lineRule="auto"/>
              <w:rPr>
                <w:rFonts w:eastAsia="Malgun Gothic" w:hint="eastAsia"/>
                <w:bCs/>
                <w:lang w:eastAsia="ko-KR"/>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E9D215" w14:textId="77777777" w:rsidR="008421E5" w:rsidRDefault="008421E5" w:rsidP="001D66A1">
            <w:pPr>
              <w:spacing w:after="0" w:line="276" w:lineRule="auto"/>
              <w:rPr>
                <w:rFonts w:ascii="Arial" w:hAnsi="Arial" w:cs="Arial"/>
                <w:bCs/>
                <w:lang w:eastAsia="zh-CN"/>
              </w:rPr>
            </w:pPr>
          </w:p>
        </w:tc>
      </w:tr>
    </w:tbl>
    <w:p w14:paraId="4AD85531" w14:textId="77777777" w:rsidR="00F53B67" w:rsidRDefault="00F53B67" w:rsidP="007E386A">
      <w:pPr>
        <w:pStyle w:val="a9"/>
        <w:snapToGrid w:val="0"/>
        <w:spacing w:before="60" w:after="60" w:line="288" w:lineRule="auto"/>
        <w:jc w:val="both"/>
        <w:rPr>
          <w:lang w:eastAsia="zh-CN"/>
        </w:rPr>
      </w:pPr>
    </w:p>
    <w:p w14:paraId="2A0E4D18" w14:textId="6E2A0F39" w:rsidR="008B6F93" w:rsidRDefault="0053375A" w:rsidP="0053375A">
      <w:pPr>
        <w:pStyle w:val="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af3"/>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af3"/>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10</w:t>
            </w:r>
            <w:r w:rsidRPr="004C1073">
              <w:rPr>
                <w:rFonts w:eastAsia="宋体"/>
                <w:bCs/>
                <w:lang w:eastAsia="zh-CN"/>
              </w:rPr>
              <w:t>]</w:t>
            </w:r>
            <w:r>
              <w:rPr>
                <w:b/>
                <w:noProof/>
                <w:sz w:val="24"/>
              </w:rPr>
              <w:t xml:space="preserve"> </w:t>
            </w:r>
            <w:r w:rsidRPr="00B64CAE">
              <w:rPr>
                <w:rFonts w:eastAsia="宋体"/>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宋体"/>
                <w:bCs/>
                <w:lang w:eastAsia="zh-CN"/>
              </w:rPr>
              <w:t>[</w:t>
            </w:r>
            <w:r>
              <w:rPr>
                <w:rFonts w:eastAsia="宋体"/>
                <w:bCs/>
                <w:lang w:eastAsia="zh-CN"/>
              </w:rPr>
              <w:t>7</w:t>
            </w:r>
            <w:r w:rsidRPr="004C1073">
              <w:rPr>
                <w:rFonts w:eastAsia="宋体"/>
                <w:bCs/>
                <w:lang w:eastAsia="zh-CN"/>
              </w:rPr>
              <w:t>]</w:t>
            </w:r>
            <w:r>
              <w:rPr>
                <w:b/>
                <w:noProof/>
                <w:sz w:val="24"/>
              </w:rPr>
              <w:t xml:space="preserve"> </w:t>
            </w:r>
            <w:r w:rsidRPr="001E7D53">
              <w:rPr>
                <w:rFonts w:eastAsia="宋体"/>
                <w:bCs/>
                <w:lang w:eastAsia="zh-CN"/>
              </w:rPr>
              <w:t>R2-2202784</w:t>
            </w:r>
          </w:p>
        </w:tc>
        <w:tc>
          <w:tcPr>
            <w:tcW w:w="7839" w:type="dxa"/>
          </w:tcPr>
          <w:p w14:paraId="7DA714AE" w14:textId="77777777" w:rsidR="003D202C" w:rsidRPr="00787F6B" w:rsidRDefault="003D202C" w:rsidP="00BC1B83">
            <w:pPr>
              <w:pStyle w:val="a9"/>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a9"/>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a9"/>
              <w:spacing w:before="240"/>
              <w:rPr>
                <w:lang w:val="en-GB" w:eastAsia="zh-CN"/>
              </w:rPr>
            </w:pPr>
            <w:r w:rsidRPr="00CD41C3">
              <w:rPr>
                <w:rFonts w:eastAsia="Arial Unicode MS"/>
                <w:b/>
                <w:lang w:eastAsia="zh-CN"/>
              </w:rPr>
              <w:lastRenderedPageBreak/>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宋体"/>
                <w:bCs/>
                <w:lang w:eastAsia="zh-CN"/>
              </w:rPr>
              <w:lastRenderedPageBreak/>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af8"/>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af8"/>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af8"/>
        <w:numPr>
          <w:ilvl w:val="0"/>
          <w:numId w:val="24"/>
        </w:numPr>
        <w:ind w:firstLineChars="0"/>
        <w:rPr>
          <w:lang w:val="en-GB"/>
        </w:rPr>
      </w:pPr>
      <w:r>
        <w:rPr>
          <w:rFonts w:eastAsia="Arial Unicode MS"/>
          <w:lang w:eastAsia="zh-CN"/>
        </w:rPr>
        <w:t xml:space="preserve">When SRS for PDC is not activated, UE does not expect to receive the </w:t>
      </w:r>
      <w:r w:rsidRPr="00984E03">
        <w:rPr>
          <w:rFonts w:eastAsia="Arial Unicode MS"/>
          <w:lang w:eastAsia="zh-CN"/>
        </w:rPr>
        <w:t>g</w:t>
      </w:r>
      <w:r w:rsidRPr="00984E03">
        <w:rPr>
          <w:rFonts w:eastAsia="Arial Unicode MS"/>
        </w:rPr>
        <w:t>NB</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r>
        <w:rPr>
          <w:rFonts w:eastAsia="Arial Unicode MS"/>
        </w:rPr>
        <w:t>UE</w:t>
      </w:r>
      <w:r w:rsidRPr="00984E03">
        <w:rPr>
          <w:rFonts w:eastAsia="Arial Unicode MS"/>
          <w:vertAlign w:val="subscript"/>
        </w:rPr>
        <w:t xml:space="preserve">Rx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af8"/>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af8"/>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af8"/>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af8"/>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af3"/>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lastRenderedPageBreak/>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lastRenderedPageBreak/>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a8"/>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af3"/>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a9"/>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i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lastRenderedPageBreak/>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1B7A871D" w:rsidR="001365BA" w:rsidRPr="009D582A" w:rsidRDefault="001365BA" w:rsidP="009D582A">
            <w:pPr>
              <w:pStyle w:val="af8"/>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r>
      <w:r w:rsidR="009D582A">
        <w:t>ignaling</w:t>
      </w:r>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r w:rsidRPr="00350F68">
        <w:rPr>
          <w:rFonts w:eastAsia="MS Mincho" w:cs="Arial"/>
          <w:i/>
          <w:szCs w:val="18"/>
          <w:lang w:eastAsia="en-GB"/>
        </w:rPr>
        <w:t>DLInformationTransfer</w:t>
      </w:r>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af3"/>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宋体"/>
                <w:bCs/>
                <w:lang w:eastAsia="zh-CN"/>
              </w:rPr>
              <w:t>[</w:t>
            </w:r>
            <w:r>
              <w:rPr>
                <w:rFonts w:eastAsia="宋体"/>
                <w:bCs/>
                <w:lang w:eastAsia="zh-CN"/>
              </w:rPr>
              <w:t>5</w:t>
            </w:r>
            <w:r w:rsidRPr="004C1073">
              <w:rPr>
                <w:rFonts w:eastAsia="宋体"/>
                <w:bCs/>
                <w:lang w:eastAsia="zh-CN"/>
              </w:rPr>
              <w:t>]</w:t>
            </w:r>
            <w:r>
              <w:rPr>
                <w:b/>
                <w:noProof/>
                <w:sz w:val="24"/>
              </w:rPr>
              <w:t xml:space="preserve"> </w:t>
            </w:r>
            <w:r w:rsidRPr="00927AE5">
              <w:rPr>
                <w:rFonts w:eastAsia="宋体"/>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w:t>
            </w:r>
            <w:r w:rsidR="00610757" w:rsidRPr="00BD6B6E">
              <w:rPr>
                <w:lang w:val="en-GB"/>
              </w:rPr>
              <w:t>e</w:t>
            </w:r>
            <w:r w:rsidR="00876CC3" w:rsidRPr="00BD6B6E">
              <w:rPr>
                <w:lang w:val="en-GB"/>
              </w:rPr>
              <w:t>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U</w:t>
            </w:r>
            <w:r w:rsidR="00610757">
              <w:t>e</w:t>
            </w:r>
            <w:r w:rsidR="007A6489">
              <w:t xml:space="preserv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Unclear how precompensated RTI can be carried in the SIB unless all U</w:t>
            </w:r>
            <w:r w:rsidR="00610757" w:rsidRPr="00C53F10">
              <w:rPr>
                <w:rFonts w:eastAsia="MS Mincho"/>
                <w:lang w:eastAsia="zh-CN"/>
              </w:rPr>
              <w:t>e</w:t>
            </w:r>
            <w:r w:rsidRPr="00C53F10">
              <w:rPr>
                <w:rFonts w:eastAsia="MS Mincho"/>
                <w:lang w:eastAsia="zh-CN"/>
              </w:rPr>
              <w:t>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We don’t see that pre-compensated reference time information can be sent via SIB9, since compensation is propagation delay specific and U</w:t>
            </w:r>
            <w:r w:rsidR="00610757">
              <w:rPr>
                <w:bCs/>
              </w:rPr>
              <w:t>e</w:t>
            </w:r>
            <w:r>
              <w:rPr>
                <w:bCs/>
              </w:rPr>
              <w:t>s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Malgun Gothic"/>
                <w:bCs/>
                <w:lang w:eastAsia="ko-KR"/>
              </w:rPr>
            </w:pPr>
            <w:r>
              <w:rPr>
                <w:rFonts w:eastAsia="Malgun Gothic" w:hint="eastAsia"/>
                <w:bCs/>
                <w:lang w:eastAsia="ko-KR"/>
              </w:rPr>
              <w:t xml:space="preserve">It </w:t>
            </w:r>
            <w:r>
              <w:rPr>
                <w:rFonts w:eastAsia="Malgun Gothic"/>
                <w:bCs/>
                <w:lang w:eastAsia="ko-KR"/>
              </w:rPr>
              <w:t>is basically</w:t>
            </w:r>
            <w:r>
              <w:rPr>
                <w:rFonts w:eastAsia="Malgun Gothic" w:hint="eastAsia"/>
                <w:bCs/>
                <w:lang w:eastAsia="ko-KR"/>
              </w:rPr>
              <w:t xml:space="preserve"> UE-specific.</w:t>
            </w:r>
            <w:r>
              <w:rPr>
                <w:rFonts w:eastAsia="Malgun Gothic"/>
                <w:bCs/>
                <w:lang w:eastAsia="ko-KR"/>
              </w:rPr>
              <w:t xml:space="preserve"> We see no need of further optimization for pre-compensation in a very small area.</w:t>
            </w:r>
            <w:r>
              <w:rPr>
                <w:rFonts w:eastAsia="Malgun Gothic" w:hint="eastAsia"/>
                <w:bCs/>
                <w:lang w:eastAsia="ko-KR"/>
              </w:rPr>
              <w:t xml:space="preserve"> </w:t>
            </w:r>
          </w:p>
        </w:tc>
      </w:tr>
      <w:tr w:rsidR="008421E5" w:rsidRPr="004654F3" w14:paraId="70FE367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7DB6A2" w14:textId="637BDD59" w:rsidR="008421E5" w:rsidRDefault="008421E5" w:rsidP="008421E5">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41B54" w14:textId="4B28FD21" w:rsidR="008421E5" w:rsidRDefault="008421E5" w:rsidP="008421E5">
            <w:pPr>
              <w:spacing w:after="0" w:line="276" w:lineRule="auto"/>
              <w:rPr>
                <w:rFonts w:eastAsia="Malgun Gothic" w:hint="eastAsia"/>
                <w:bCs/>
                <w:lang w:eastAsia="ko-KR"/>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91B05" w14:textId="7E83AEAE" w:rsidR="008421E5" w:rsidRDefault="008421E5" w:rsidP="008421E5">
            <w:pPr>
              <w:spacing w:after="0" w:line="276" w:lineRule="auto"/>
              <w:rPr>
                <w:rFonts w:eastAsia="Malgun Gothic" w:hint="eastAsia"/>
                <w:bCs/>
                <w:lang w:eastAsia="ko-KR"/>
              </w:rPr>
            </w:pPr>
            <w:r>
              <w:rPr>
                <w:rFonts w:hint="eastAsia"/>
                <w:bCs/>
                <w:lang w:eastAsia="zh-CN"/>
              </w:rPr>
              <w:t>W</w:t>
            </w:r>
            <w:r>
              <w:rPr>
                <w:bCs/>
                <w:lang w:eastAsia="zh-CN"/>
              </w:rPr>
              <w:t>e prefer to not complicate the mechanism.</w:t>
            </w:r>
          </w:p>
        </w:tc>
      </w:tr>
    </w:tbl>
    <w:p w14:paraId="706201A0" w14:textId="4450D03C" w:rsidR="00FB32BC" w:rsidRDefault="00FB32BC" w:rsidP="00FB32BC">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a9"/>
        <w:snapToGrid w:val="0"/>
        <w:spacing w:before="60" w:after="60" w:line="288" w:lineRule="auto"/>
        <w:jc w:val="both"/>
        <w:rPr>
          <w:b/>
          <w:bCs/>
          <w:lang w:eastAsia="zh-CN"/>
        </w:rPr>
      </w:pPr>
    </w:p>
    <w:p w14:paraId="5C81DF38" w14:textId="77777777" w:rsidR="00DD7007" w:rsidRPr="00AF7528" w:rsidRDefault="00DD7007" w:rsidP="00AF7528">
      <w:pPr>
        <w:pStyle w:val="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af3"/>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af3"/>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2</w:t>
            </w:r>
            <w:r w:rsidRPr="004C1073">
              <w:rPr>
                <w:rFonts w:eastAsia="宋体"/>
                <w:bCs/>
                <w:lang w:eastAsia="zh-CN"/>
              </w:rPr>
              <w:t>]</w:t>
            </w:r>
            <w:r>
              <w:rPr>
                <w:b/>
                <w:noProof/>
                <w:sz w:val="24"/>
              </w:rPr>
              <w:t xml:space="preserve"> </w:t>
            </w:r>
            <w:r w:rsidRPr="00905166">
              <w:rPr>
                <w:rFonts w:eastAsia="宋体"/>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If the unicast enabling/disabling signaling applies to the broadcast reference time info and if the UE receives the enabling/disabling signaling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宋体"/>
                <w:bCs/>
                <w:lang w:eastAsia="zh-CN"/>
              </w:rPr>
              <w:t>[</w:t>
            </w:r>
            <w:r>
              <w:rPr>
                <w:rFonts w:eastAsia="宋体"/>
                <w:bCs/>
                <w:lang w:eastAsia="zh-CN"/>
              </w:rPr>
              <w:t>11</w:t>
            </w:r>
            <w:r w:rsidRPr="004C1073">
              <w:rPr>
                <w:rFonts w:eastAsia="宋体"/>
                <w:bCs/>
                <w:lang w:eastAsia="zh-CN"/>
              </w:rPr>
              <w:t>]</w:t>
            </w:r>
            <w:r>
              <w:rPr>
                <w:b/>
                <w:noProof/>
                <w:sz w:val="24"/>
              </w:rPr>
              <w:t xml:space="preserve"> </w:t>
            </w:r>
            <w:r w:rsidRPr="00B64CAE">
              <w:rPr>
                <w:rFonts w:eastAsia="宋体"/>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lastRenderedPageBreak/>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r w:rsidR="008421E5" w:rsidRPr="003D5A96" w14:paraId="1D9EE98A"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4B1D39" w14:textId="7472082E" w:rsidR="008421E5" w:rsidRDefault="008421E5" w:rsidP="00934CDD">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CD92B" w14:textId="235C204B" w:rsidR="008421E5" w:rsidRDefault="008421E5" w:rsidP="00934CDD">
            <w:pPr>
              <w:spacing w:after="0" w:line="276" w:lineRule="auto"/>
              <w:rPr>
                <w:rFonts w:eastAsia="Malgun Gothic" w:hint="eastAsia"/>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1408B5" w14:textId="77777777" w:rsidR="008421E5" w:rsidRDefault="008421E5" w:rsidP="00934CDD">
            <w:pPr>
              <w:spacing w:after="0" w:line="276" w:lineRule="auto"/>
              <w:rPr>
                <w:bCs/>
                <w:lang w:eastAsia="zh-CN"/>
              </w:rPr>
            </w:pPr>
          </w:p>
        </w:tc>
      </w:tr>
    </w:tbl>
    <w:p w14:paraId="622E74BC" w14:textId="3977EAA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af3"/>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8F091E">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lastRenderedPageBreak/>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We wonder what is the benefit in the case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r w:rsidR="008421E5" w:rsidRPr="00F8635F" w14:paraId="589CEE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0C8CD9" w14:textId="1788B521" w:rsidR="008421E5" w:rsidRDefault="008421E5" w:rsidP="004405AE">
            <w:pPr>
              <w:spacing w:after="0" w:line="276" w:lineRule="auto"/>
              <w:rPr>
                <w:rFonts w:eastAsia="Malgun Gothic" w:hint="eastAsia"/>
                <w:bCs/>
                <w:lang w:eastAsia="ko-KR"/>
              </w:rPr>
            </w:pPr>
            <w:r>
              <w:rPr>
                <w:bCs/>
              </w:rP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43067" w14:textId="416C9EF1" w:rsidR="008421E5" w:rsidRDefault="008421E5" w:rsidP="004405AE">
            <w:pPr>
              <w:spacing w:after="0" w:line="276" w:lineRule="auto"/>
              <w:rPr>
                <w:rFonts w:eastAsia="Malgun Gothic" w:hint="eastAsia"/>
                <w:bCs/>
                <w:lang w:eastAsia="ko-KR"/>
              </w:rPr>
            </w:pPr>
            <w:r>
              <w:rPr>
                <w:rFonts w:hint="eastAsia"/>
                <w:bCs/>
                <w:lang w:eastAsia="zh-CN"/>
              </w:rPr>
              <w:t>Y</w:t>
            </w:r>
            <w:r>
              <w:rPr>
                <w:bCs/>
                <w:lang w:eastAsia="zh-CN"/>
              </w:rPr>
              <w:t>es</w:t>
            </w:r>
            <w:bookmarkStart w:id="6" w:name="_GoBack"/>
            <w:bookmarkEnd w:id="6"/>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1DBDF" w14:textId="77777777" w:rsidR="008421E5" w:rsidRDefault="008421E5" w:rsidP="004405AE">
            <w:pPr>
              <w:spacing w:after="0" w:line="276" w:lineRule="auto"/>
              <w:rPr>
                <w:bCs/>
                <w:lang w:eastAsia="zh-CN"/>
              </w:rPr>
            </w:pPr>
          </w:p>
        </w:tc>
      </w:tr>
    </w:tbl>
    <w:p w14:paraId="0D35978C" w14:textId="77777777" w:rsidR="00DD7007" w:rsidRDefault="00DD7007" w:rsidP="00DD7007">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r w:rsidR="00C7423A">
        <w:rPr>
          <w:rFonts w:ascii="Times New Roman" w:eastAsia="宋体" w:hAnsi="Times New Roman"/>
          <w:bCs/>
          <w:color w:val="000000"/>
          <w:szCs w:val="20"/>
          <w:lang w:eastAsia="zh-CN"/>
        </w:rPr>
        <w:t xml:space="preserve">R2- </w:t>
      </w:r>
      <w:r w:rsidR="00194B10" w:rsidRPr="00194B10">
        <w:rPr>
          <w:rFonts w:ascii="Times New Roman" w:eastAsia="宋体" w:hAnsi="Times New Roman"/>
          <w:bCs/>
          <w:color w:val="000000"/>
          <w:szCs w:val="20"/>
          <w:lang w:eastAsia="zh-CN"/>
        </w:rPr>
        <w:t>2203302</w:t>
      </w:r>
      <w:r w:rsidR="00C7423A">
        <w:rPr>
          <w:rFonts w:ascii="Times New Roman" w:eastAsia="宋体" w:hAnsi="Times New Roman"/>
          <w:bCs/>
          <w:color w:val="000000"/>
          <w:szCs w:val="20"/>
          <w:lang w:eastAsia="zh-CN"/>
        </w:rPr>
        <w:t xml:space="preserve"> </w:t>
      </w:r>
      <w:r w:rsidR="00C7423A" w:rsidRPr="00C7423A">
        <w:rPr>
          <w:rFonts w:ascii="Times New Roman" w:eastAsia="宋体" w:hAnsi="Times New Roman"/>
          <w:bCs/>
          <w:color w:val="000000"/>
          <w:szCs w:val="20"/>
          <w:lang w:eastAsia="zh-CN"/>
        </w:rPr>
        <w:t>Summary of [POST116bis-e][513][IIoT] CP open issues (Ericsson)</w:t>
      </w:r>
    </w:p>
    <w:p w14:paraId="62276BC6" w14:textId="0177BE35" w:rsidR="004C1073" w:rsidRDefault="007646FF" w:rsidP="00C7423A">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905166" w:rsidRPr="00905166">
        <w:rPr>
          <w:rFonts w:ascii="Times New Roman" w:eastAsia="宋体" w:hAnsi="Times New Roman"/>
          <w:bCs/>
          <w:color w:val="000000"/>
          <w:szCs w:val="20"/>
          <w:lang w:eastAsia="zh-CN"/>
        </w:rPr>
        <w:t>R2-2202437</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Remaining issues on time synchronization enhancement</w:t>
      </w:r>
      <w:r w:rsidR="005037EF">
        <w:rPr>
          <w:rFonts w:ascii="Times New Roman" w:eastAsia="宋体" w:hAnsi="Times New Roman"/>
          <w:bCs/>
          <w:color w:val="000000"/>
          <w:szCs w:val="20"/>
          <w:lang w:eastAsia="zh-CN"/>
        </w:rPr>
        <w:t xml:space="preserve">, </w:t>
      </w:r>
      <w:r w:rsidR="00905166" w:rsidRPr="00905166">
        <w:rPr>
          <w:rFonts w:ascii="Times New Roman" w:eastAsia="宋体" w:hAnsi="Times New Roman"/>
          <w:bCs/>
          <w:color w:val="000000"/>
          <w:szCs w:val="20"/>
          <w:lang w:eastAsia="zh-CN"/>
        </w:rPr>
        <w:t>OPPO</w:t>
      </w:r>
    </w:p>
    <w:p w14:paraId="2DB485D6" w14:textId="69C8A69B"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b/>
          <w:noProof/>
          <w:sz w:val="24"/>
        </w:rPr>
        <w:t xml:space="preserve"> </w:t>
      </w:r>
      <w:r w:rsidR="00E13514" w:rsidRPr="00E13514">
        <w:rPr>
          <w:rFonts w:ascii="Times New Roman" w:eastAsia="宋体" w:hAnsi="Times New Roman"/>
          <w:bCs/>
          <w:color w:val="000000"/>
          <w:szCs w:val="20"/>
          <w:lang w:eastAsia="zh-CN"/>
        </w:rPr>
        <w:t>R2-2202580</w:t>
      </w:r>
      <w:r w:rsidR="00E13514">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Left issues for time synchronization</w:t>
      </w:r>
      <w:r w:rsidR="005037EF">
        <w:rPr>
          <w:rFonts w:ascii="Times New Roman" w:eastAsia="宋体" w:hAnsi="Times New Roman"/>
          <w:bCs/>
          <w:color w:val="000000"/>
          <w:szCs w:val="20"/>
          <w:lang w:eastAsia="zh-CN"/>
        </w:rPr>
        <w:t xml:space="preserve">, </w:t>
      </w:r>
      <w:r w:rsidR="00E13514" w:rsidRPr="00E13514">
        <w:rPr>
          <w:rFonts w:ascii="Times New Roman" w:eastAsia="宋体"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b/>
          <w:noProof/>
          <w:sz w:val="24"/>
        </w:rPr>
        <w:t xml:space="preserve"> </w:t>
      </w:r>
      <w:r w:rsidR="00795AAF" w:rsidRPr="00795AAF">
        <w:rPr>
          <w:rFonts w:ascii="Times New Roman" w:eastAsia="宋体" w:hAnsi="Times New Roman"/>
          <w:bCs/>
          <w:color w:val="000000"/>
          <w:szCs w:val="20"/>
          <w:lang w:eastAsia="zh-CN"/>
        </w:rPr>
        <w:t>R2-2202708</w:t>
      </w:r>
      <w:r w:rsidR="00795AAF">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Discussion on remaining issues for accurate time synchronization</w:t>
      </w:r>
      <w:r w:rsidR="00061306">
        <w:rPr>
          <w:rFonts w:ascii="Times New Roman" w:eastAsia="宋体" w:hAnsi="Times New Roman"/>
          <w:bCs/>
          <w:color w:val="000000"/>
          <w:szCs w:val="20"/>
          <w:lang w:eastAsia="zh-CN"/>
        </w:rPr>
        <w:t xml:space="preserve">, </w:t>
      </w:r>
      <w:r w:rsidR="00795AAF" w:rsidRPr="00795AAF">
        <w:rPr>
          <w:rFonts w:ascii="Times New Roman" w:eastAsia="宋体" w:hAnsi="Times New Roman"/>
          <w:bCs/>
          <w:color w:val="000000"/>
          <w:szCs w:val="20"/>
          <w:lang w:eastAsia="zh-CN"/>
        </w:rPr>
        <w:t>Huawei, HiSilicon</w:t>
      </w:r>
    </w:p>
    <w:p w14:paraId="4DA14FB1" w14:textId="31D44CA5" w:rsidR="00927AE5"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b/>
          <w:noProof/>
          <w:sz w:val="24"/>
        </w:rPr>
        <w:t xml:space="preserve"> </w:t>
      </w:r>
      <w:r w:rsidR="00927AE5" w:rsidRPr="00927AE5">
        <w:rPr>
          <w:rFonts w:ascii="Times New Roman" w:eastAsia="宋体" w:hAnsi="Times New Roman"/>
          <w:bCs/>
          <w:color w:val="000000"/>
          <w:szCs w:val="20"/>
          <w:lang w:eastAsia="zh-CN"/>
        </w:rPr>
        <w:t>R2-2202728</w:t>
      </w:r>
      <w:r w:rsidR="00927AE5">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Remaining Issues on PDC Enhancement</w:t>
      </w:r>
      <w:r w:rsidR="00061306">
        <w:rPr>
          <w:rFonts w:ascii="Times New Roman" w:eastAsia="宋体" w:hAnsi="Times New Roman"/>
          <w:bCs/>
          <w:color w:val="000000"/>
          <w:szCs w:val="20"/>
          <w:lang w:eastAsia="zh-CN"/>
        </w:rPr>
        <w:t xml:space="preserve">, </w:t>
      </w:r>
      <w:r w:rsidR="00927AE5" w:rsidRPr="00927AE5">
        <w:rPr>
          <w:rFonts w:ascii="Times New Roman" w:eastAsia="宋体" w:hAnsi="Times New Roman"/>
          <w:bCs/>
          <w:color w:val="000000"/>
          <w:szCs w:val="20"/>
          <w:lang w:eastAsia="zh-CN"/>
        </w:rPr>
        <w:t>CMCC</w:t>
      </w:r>
    </w:p>
    <w:p w14:paraId="7F8958EA" w14:textId="69EBAD4E"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lastRenderedPageBreak/>
        <w:t>[</w:t>
      </w:r>
      <w:r w:rsidR="00E13514">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b/>
          <w:noProof/>
          <w:sz w:val="24"/>
        </w:rPr>
        <w:t xml:space="preserve"> </w:t>
      </w:r>
      <w:r w:rsidR="001E1644" w:rsidRPr="001E1644">
        <w:rPr>
          <w:rFonts w:ascii="Times New Roman" w:eastAsia="宋体" w:hAnsi="Times New Roman"/>
          <w:bCs/>
          <w:color w:val="000000"/>
          <w:szCs w:val="20"/>
          <w:lang w:eastAsia="zh-CN"/>
        </w:rPr>
        <w:t>R2-2202750</w:t>
      </w:r>
      <w:r w:rsidR="001E1644">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Remaining issues of time synchronization</w:t>
      </w:r>
      <w:r w:rsidR="00061306">
        <w:rPr>
          <w:rFonts w:ascii="Times New Roman" w:eastAsia="宋体" w:hAnsi="Times New Roman"/>
          <w:bCs/>
          <w:color w:val="000000"/>
          <w:szCs w:val="20"/>
          <w:lang w:eastAsia="zh-CN"/>
        </w:rPr>
        <w:t xml:space="preserve">, </w:t>
      </w:r>
      <w:r w:rsidR="001E1644" w:rsidRPr="001E1644">
        <w:rPr>
          <w:rFonts w:ascii="Times New Roman" w:eastAsia="宋体" w:hAnsi="Times New Roman"/>
          <w:bCs/>
          <w:color w:val="000000"/>
          <w:szCs w:val="20"/>
          <w:lang w:eastAsia="zh-CN"/>
        </w:rPr>
        <w:t>ZTE Corporation, Sanechips, China Southern Power Grid Co., Ltd</w:t>
      </w:r>
    </w:p>
    <w:p w14:paraId="4C09263B" w14:textId="3D2CDD32"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E13514">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w:t>
      </w:r>
      <w:r>
        <w:rPr>
          <w:b/>
          <w:noProof/>
          <w:sz w:val="24"/>
        </w:rPr>
        <w:t xml:space="preserve"> </w:t>
      </w:r>
      <w:r w:rsidR="001E7D53" w:rsidRPr="001E7D53">
        <w:rPr>
          <w:rFonts w:ascii="Times New Roman" w:eastAsia="宋体" w:hAnsi="Times New Roman"/>
          <w:bCs/>
          <w:color w:val="000000"/>
          <w:szCs w:val="20"/>
          <w:lang w:eastAsia="zh-CN"/>
        </w:rPr>
        <w:t>R2-2202784</w:t>
      </w:r>
      <w:r w:rsidR="001E7D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Simplifying the PRS procedure for</w:t>
      </w:r>
      <w:r w:rsidR="00140653">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Remaining Issues of RTT-based PDC</w:t>
      </w:r>
      <w:r w:rsidR="00061306">
        <w:rPr>
          <w:rFonts w:ascii="Times New Roman" w:eastAsia="宋体" w:hAnsi="Times New Roman"/>
          <w:bCs/>
          <w:color w:val="000000"/>
          <w:szCs w:val="20"/>
          <w:lang w:eastAsia="zh-CN"/>
        </w:rPr>
        <w:t xml:space="preserve">, </w:t>
      </w:r>
      <w:r w:rsidR="001E7D53" w:rsidRPr="001E7D53">
        <w:rPr>
          <w:rFonts w:ascii="Times New Roman" w:eastAsia="宋体" w:hAnsi="Times New Roman"/>
          <w:bCs/>
          <w:color w:val="000000"/>
          <w:szCs w:val="20"/>
          <w:lang w:eastAsia="zh-CN"/>
        </w:rPr>
        <w:t>CATT</w:t>
      </w:r>
    </w:p>
    <w:p w14:paraId="5F4F35AD" w14:textId="2D3FEBAF" w:rsidR="007A7DDE" w:rsidRPr="007A7DDE" w:rsidRDefault="007A7DDE" w:rsidP="007A7DDE">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w:t>
      </w:r>
      <w:r>
        <w:rPr>
          <w:b/>
          <w:noProof/>
          <w:sz w:val="24"/>
        </w:rPr>
        <w:t xml:space="preserve"> </w:t>
      </w:r>
      <w:r w:rsidRPr="00F86EEE">
        <w:rPr>
          <w:rFonts w:ascii="Times New Roman" w:eastAsia="宋体" w:hAnsi="Times New Roman"/>
          <w:bCs/>
          <w:color w:val="000000"/>
          <w:szCs w:val="20"/>
          <w:lang w:eastAsia="zh-CN"/>
        </w:rPr>
        <w:t>R2-2202894</w:t>
      </w:r>
      <w:r>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Remaining issues for PDC</w:t>
      </w:r>
      <w:r w:rsidR="00061306">
        <w:rPr>
          <w:rFonts w:ascii="Times New Roman" w:eastAsia="宋体" w:hAnsi="Times New Roman"/>
          <w:bCs/>
          <w:color w:val="000000"/>
          <w:szCs w:val="20"/>
          <w:lang w:eastAsia="zh-CN"/>
        </w:rPr>
        <w:t xml:space="preserve">, </w:t>
      </w:r>
      <w:r w:rsidRPr="00F86EEE">
        <w:rPr>
          <w:rFonts w:ascii="Times New Roman" w:eastAsia="宋体" w:hAnsi="Times New Roman"/>
          <w:bCs/>
          <w:color w:val="000000"/>
          <w:szCs w:val="20"/>
          <w:lang w:eastAsia="zh-CN"/>
        </w:rPr>
        <w:t>vivo</w:t>
      </w:r>
    </w:p>
    <w:p w14:paraId="71015C53" w14:textId="5B52B689" w:rsidR="00016144" w:rsidRDefault="00016144" w:rsidP="00016144">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7A7DDE">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w:t>
      </w:r>
      <w:r>
        <w:rPr>
          <w:b/>
          <w:noProof/>
          <w:sz w:val="24"/>
        </w:rPr>
        <w:t xml:space="preserve"> </w:t>
      </w:r>
      <w:r w:rsidR="00140653" w:rsidRPr="00140653">
        <w:rPr>
          <w:rFonts w:ascii="Times New Roman" w:eastAsia="宋体" w:hAnsi="Times New Roman"/>
          <w:bCs/>
          <w:color w:val="000000"/>
          <w:szCs w:val="20"/>
          <w:lang w:eastAsia="zh-CN"/>
        </w:rPr>
        <w:t>R2-2203197</w:t>
      </w:r>
      <w:r w:rsidR="00140653">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Propagation Delay Compensation signalling</w:t>
      </w:r>
      <w:r w:rsidR="00061306">
        <w:rPr>
          <w:rFonts w:ascii="Times New Roman" w:eastAsia="宋体" w:hAnsi="Times New Roman"/>
          <w:bCs/>
          <w:color w:val="000000"/>
          <w:szCs w:val="20"/>
          <w:lang w:eastAsia="zh-CN"/>
        </w:rPr>
        <w:t xml:space="preserve">, </w:t>
      </w:r>
      <w:r w:rsidR="00140653" w:rsidRPr="00140653">
        <w:rPr>
          <w:rFonts w:ascii="Times New Roman" w:eastAsia="宋体"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R2-2203303</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MAC CE update for SRS Spatial Relation Indication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Ericsson</w:t>
      </w:r>
    </w:p>
    <w:p w14:paraId="2C52F44C" w14:textId="4E089BE2" w:rsidR="00D900C3" w:rsidRDefault="00D900C3" w:rsidP="00D900C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b/>
          <w:noProof/>
          <w:sz w:val="24"/>
        </w:rPr>
        <w:t xml:space="preserve"> </w:t>
      </w:r>
      <w:r w:rsidR="00B64CAE" w:rsidRPr="00B64CAE">
        <w:rPr>
          <w:rFonts w:ascii="Times New Roman" w:eastAsia="宋体" w:hAnsi="Times New Roman"/>
          <w:bCs/>
          <w:color w:val="000000"/>
          <w:szCs w:val="20"/>
          <w:lang w:eastAsia="zh-CN"/>
        </w:rPr>
        <w:t>R2-2203461</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Propagation Delay Compensation for TSN</w:t>
      </w:r>
      <w:r w:rsidR="00061306">
        <w:rPr>
          <w:rFonts w:ascii="Times New Roman" w:eastAsia="宋体" w:hAnsi="Times New Roman"/>
          <w:bCs/>
          <w:color w:val="000000"/>
          <w:szCs w:val="20"/>
          <w:lang w:eastAsia="zh-CN"/>
        </w:rPr>
        <w:t xml:space="preserve">, </w:t>
      </w:r>
      <w:r w:rsidR="00B64CAE" w:rsidRPr="00B64CAE">
        <w:rPr>
          <w:rFonts w:ascii="Times New Roman" w:eastAsia="宋体"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宋体" w:hAnsi="Times New Roman"/>
          <w:bCs/>
          <w:color w:val="000000"/>
          <w:szCs w:val="20"/>
          <w:lang w:eastAsia="zh-CN"/>
        </w:rPr>
        <w:t>[12]</w:t>
      </w:r>
      <w:r w:rsidR="005037EF" w:rsidRPr="005037EF">
        <w:t xml:space="preserve"> </w:t>
      </w:r>
      <w:r w:rsidR="005037EF" w:rsidRPr="005037EF">
        <w:rPr>
          <w:rFonts w:ascii="Times New Roman" w:eastAsia="宋体" w:hAnsi="Times New Roman"/>
          <w:bCs/>
          <w:color w:val="000000"/>
          <w:szCs w:val="20"/>
          <w:lang w:eastAsia="zh-CN"/>
        </w:rPr>
        <w:t>R2-2202182</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RE: LS on Time Synchronization</w:t>
      </w:r>
      <w:r w:rsidR="00061306">
        <w:rPr>
          <w:rFonts w:ascii="Times New Roman" w:eastAsia="宋体" w:hAnsi="Times New Roman"/>
          <w:bCs/>
          <w:color w:val="000000"/>
          <w:szCs w:val="20"/>
          <w:lang w:eastAsia="zh-CN"/>
        </w:rPr>
        <w:t xml:space="preserve">, </w:t>
      </w:r>
      <w:r w:rsidR="005037EF" w:rsidRPr="005037EF">
        <w:rPr>
          <w:rFonts w:ascii="Times New Roman" w:eastAsia="宋体"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420CC" w14:textId="77777777" w:rsidR="00474EA9" w:rsidRDefault="00474EA9">
      <w:pPr>
        <w:spacing w:after="0"/>
      </w:pPr>
      <w:r>
        <w:separator/>
      </w:r>
    </w:p>
  </w:endnote>
  <w:endnote w:type="continuationSeparator" w:id="0">
    <w:p w14:paraId="4469C8DC" w14:textId="77777777" w:rsidR="00474EA9" w:rsidRDefault="00474E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23F5" w14:textId="77777777" w:rsidR="00474EA9" w:rsidRDefault="00474EA9">
      <w:pPr>
        <w:spacing w:after="0"/>
      </w:pPr>
      <w:r>
        <w:separator/>
      </w:r>
    </w:p>
  </w:footnote>
  <w:footnote w:type="continuationSeparator" w:id="0">
    <w:p w14:paraId="67BBF62C" w14:textId="77777777" w:rsidR="00474EA9" w:rsidRDefault="00474E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9D3DEF"/>
    <w:multiLevelType w:val="hybridMultilevel"/>
    <w:tmpl w:val="E368CDA4"/>
    <w:lvl w:ilvl="0" w:tplc="BD6A1AEA">
      <w:start w:val="4"/>
      <w:numFmt w:val="lowerRoman"/>
      <w:lvlText w:val="%1)"/>
      <w:lvlJc w:val="left"/>
      <w:pPr>
        <w:ind w:left="1120" w:hanging="720"/>
      </w:pPr>
      <w:rPr>
        <w:rFonts w:eastAsia="宋体"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5"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7"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8750F"/>
    <w:multiLevelType w:val="multilevel"/>
    <w:tmpl w:val="78C8750F"/>
    <w:lvl w:ilvl="0">
      <w:start w:val="1"/>
      <w:numFmt w:val="decimal"/>
      <w:pStyle w:val="1"/>
      <w:lvlText w:val="%1"/>
      <w:lvlJc w:val="left"/>
      <w:pPr>
        <w:ind w:left="457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8"/>
  </w:num>
  <w:num w:numId="2">
    <w:abstractNumId w:val="0"/>
  </w:num>
  <w:num w:numId="3">
    <w:abstractNumId w:val="17"/>
  </w:num>
  <w:num w:numId="4">
    <w:abstractNumId w:val="30"/>
  </w:num>
  <w:num w:numId="5">
    <w:abstractNumId w:val="24"/>
  </w:num>
  <w:num w:numId="6">
    <w:abstractNumId w:val="8"/>
  </w:num>
  <w:num w:numId="7">
    <w:abstractNumId w:val="9"/>
  </w:num>
  <w:num w:numId="8">
    <w:abstractNumId w:val="16"/>
  </w:num>
  <w:num w:numId="9">
    <w:abstractNumId w:val="23"/>
  </w:num>
  <w:num w:numId="10">
    <w:abstractNumId w:val="2"/>
  </w:num>
  <w:num w:numId="11">
    <w:abstractNumId w:val="22"/>
  </w:num>
  <w:num w:numId="12">
    <w:abstractNumId w:val="4"/>
  </w:num>
  <w:num w:numId="13">
    <w:abstractNumId w:val="26"/>
  </w:num>
  <w:num w:numId="14">
    <w:abstractNumId w:val="21"/>
  </w:num>
  <w:num w:numId="15">
    <w:abstractNumId w:val="19"/>
  </w:num>
  <w:num w:numId="16">
    <w:abstractNumId w:val="3"/>
  </w:num>
  <w:num w:numId="17">
    <w:abstractNumId w:val="27"/>
  </w:num>
  <w:num w:numId="18">
    <w:abstractNumId w:val="15"/>
  </w:num>
  <w:num w:numId="19">
    <w:abstractNumId w:val="31"/>
  </w:num>
  <w:num w:numId="20">
    <w:abstractNumId w:val="18"/>
  </w:num>
  <w:num w:numId="21">
    <w:abstractNumId w:val="14"/>
  </w:num>
  <w:num w:numId="22">
    <w:abstractNumId w:val="6"/>
  </w:num>
  <w:num w:numId="23">
    <w:abstractNumId w:val="25"/>
  </w:num>
  <w:num w:numId="24">
    <w:abstractNumId w:val="5"/>
  </w:num>
  <w:num w:numId="25">
    <w:abstractNumId w:val="13"/>
  </w:num>
  <w:num w:numId="26">
    <w:abstractNumId w:val="10"/>
  </w:num>
  <w:num w:numId="27">
    <w:abstractNumId w:val="20"/>
  </w:num>
  <w:num w:numId="28">
    <w:abstractNumId w:val="11"/>
  </w:num>
  <w:num w:numId="29">
    <w:abstractNumId w:val="29"/>
  </w:num>
  <w:num w:numId="30">
    <w:abstractNumId w:val="1"/>
  </w:num>
  <w:num w:numId="31">
    <w:abstractNumId w:val="7"/>
  </w:num>
  <w:num w:numId="3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4EA9"/>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1E5"/>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16C5"/>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ind w:left="666"/>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aliases w:val="cap Char1,cap Char Char,Caption Char Char,Caption Char1 Char Char,cap Char Char1 Char,Caption Char Char1 Char Char,cap Char2 Char,条目 Char,Ca Char,cap1 Char,cap2 Char,cap11 Char,Légende-figure Char1,Légende-figure Char Char,Beschrifubg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Lista1 Char,?? ?? Char,????? Char,???? Char,列出段落1 Char,中等深浅网格 1 - 着色 21 Char,¥ê¥¹¥È¶ÎÂä Char,¥¡¡¡¡ì¬º¥¹¥È¶ÎÂä Char,ÁÐ³ö¶ÎÂä Char,列表段落1 Char,—ño’i—Ž Char,1st level - Bullet List Paragraph Char,Lettre d'introduction Char,列 Char"/>
    <w:link w:val="af8"/>
    <w:uiPriority w:val="34"/>
    <w:qFormat/>
    <w:locked/>
    <w:rPr>
      <w:rFonts w:eastAsia="Times New Roman"/>
      <w:lang w:val="en-GB" w:eastAsia="en-US"/>
    </w:rPr>
  </w:style>
  <w:style w:type="paragraph" w:styleId="af8">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footnote text"/>
    <w:basedOn w:val="a0"/>
    <w:link w:val="Char6"/>
    <w:semiHidden/>
    <w:rsid w:val="001E68BF"/>
    <w:pPr>
      <w:keepLines/>
      <w:overflowPunct/>
      <w:autoSpaceDE/>
      <w:autoSpaceDN/>
      <w:adjustRightInd/>
      <w:spacing w:after="0"/>
      <w:ind w:left="454" w:hanging="454"/>
    </w:pPr>
    <w:rPr>
      <w:color w:val="auto"/>
      <w:sz w:val="16"/>
      <w:lang w:val="en-GB" w:eastAsia="en-US"/>
    </w:rPr>
  </w:style>
  <w:style w:type="character" w:customStyle="1" w:styleId="Char6">
    <w:name w:val="脚注文本 Char"/>
    <w:basedOn w:val="a1"/>
    <w:link w:val="afb"/>
    <w:semiHidden/>
    <w:rsid w:val="001E68BF"/>
    <w:rPr>
      <w:sz w:val="16"/>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9223E5"/>
    <w:rPr>
      <w:rFonts w:ascii="Arial" w:hAnsi="Arial"/>
      <w:sz w:val="28"/>
      <w:lang w:val="en-GB" w:eastAsia="ja-JP"/>
    </w:rPr>
  </w:style>
  <w:style w:type="paragraph" w:styleId="afc">
    <w:name w:val="Revision"/>
    <w:hidden/>
    <w:uiPriority w:val="99"/>
    <w:semiHidden/>
    <w:rsid w:val="00DC0E26"/>
    <w:rPr>
      <w:color w:val="000000"/>
      <w:lang w:eastAsia="ja-JP"/>
    </w:rPr>
  </w:style>
  <w:style w:type="character" w:customStyle="1" w:styleId="13">
    <w:name w:val="未解決のメンション1"/>
    <w:basedOn w:val="a1"/>
    <w:uiPriority w:val="99"/>
    <w:semiHidden/>
    <w:unhideWhenUsed/>
    <w:rsid w:val="00D63732"/>
    <w:rPr>
      <w:color w:val="605E5C"/>
      <w:shd w:val="clear" w:color="auto" w:fill="E1DFDD"/>
    </w:rPr>
  </w:style>
  <w:style w:type="character" w:customStyle="1" w:styleId="UnresolvedMention2">
    <w:name w:val="Unresolved Mention2"/>
    <w:basedOn w:val="a1"/>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8EEA4E34-534B-47EF-87EB-B05C77B4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8693</Words>
  <Characters>49552</Characters>
  <Application>Microsoft Office Word</Application>
  <DocSecurity>0</DocSecurity>
  <Lines>412</Lines>
  <Paragraphs>116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Huawei_Li Zhao</cp:lastModifiedBy>
  <cp:revision>48</cp:revision>
  <cp:lastPrinted>2017-03-22T08:13:00Z</cp:lastPrinted>
  <dcterms:created xsi:type="dcterms:W3CDTF">2022-02-24T14:37:00Z</dcterms:created>
  <dcterms:modified xsi:type="dcterms:W3CDTF">2022-02-25T01:51:00Z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2022-02-24T11:24:06Z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22eab083-47f4-45ac-b672-3dd1738a012e</vt:lpwstr>
  </property>
  <property fmtid="{D5CDD505-2E9C-101B-9397-08002B2CF9AE}" pid="10" name="MSIP_Label_a7295cc1-d279-42ac-ab4d-3b0f4fece050_ContentBits">
    <vt:lpwstr>0</vt:lpwstr>
  </property>
  <property fmtid="{D5CDD505-2E9C-101B-9397-08002B2CF9AE}" pid="11" name="CWM6be33cc615794a36a5d8f05079ef9107">
    <vt:lpwstr>CWMHef35hAgoVqbHgpTDlbBU3SfZ6voiu9EcUE2UGO6RFtFVQ6/4GnHPepFIpcNb4Iyhbmp7AeXtV5Gu86au/4RMQ==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