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w:t>
      </w:r>
      <w:proofErr w:type="gramStart"/>
      <w:r w:rsidR="000A2673" w:rsidRPr="000A2673">
        <w:rPr>
          <w:rFonts w:ascii="Arial" w:hAnsi="Arial" w:cs="Arial"/>
          <w:b/>
          <w:bCs/>
          <w:color w:val="auto"/>
          <w:sz w:val="22"/>
          <w:szCs w:val="22"/>
          <w:lang w:eastAsia="zh-CN"/>
        </w:rPr>
        <w: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D17014" w:rsidP="009E1A2A">
            <w:hyperlink r:id="rId12" w:history="1">
              <w:r w:rsidR="009E1A2A" w:rsidRPr="00DB0D2C">
                <w:rPr>
                  <w:rStyle w:val="afc"/>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D17014" w:rsidP="008F228F">
            <w:hyperlink r:id="rId13" w:history="1">
              <w:r w:rsidR="00BC1B83" w:rsidRPr="000F1B05">
                <w:rPr>
                  <w:rStyle w:val="afc"/>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9"/>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f"/>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9"/>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9"/>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bl>
    <w:p w14:paraId="499E7948" w14:textId="0D82B443" w:rsidR="002C7D0F" w:rsidRPr="004D4225" w:rsidRDefault="00B4474C" w:rsidP="00B4474C">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9"/>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9"/>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aff"/>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f"/>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f"/>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aff"/>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lastRenderedPageBreak/>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f"/>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9"/>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f"/>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f"/>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f"/>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lastRenderedPageBreak/>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f"/>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f"/>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aff"/>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xml:space="preserve">, and thus, it is guaranteed to work </w:t>
            </w:r>
            <w:proofErr w:type="gramStart"/>
            <w:r>
              <w:rPr>
                <w:rFonts w:ascii="Arial" w:hAnsi="Arial" w:cs="Arial"/>
                <w:bCs/>
              </w:rPr>
              <w:t>The</w:t>
            </w:r>
            <w:proofErr w:type="gramEnd"/>
            <w:r>
              <w:rPr>
                <w:rFonts w:ascii="Arial" w:hAnsi="Arial" w:cs="Arial"/>
                <w:bCs/>
              </w:rPr>
              <w:t xml:space="preserve"> </w:t>
            </w:r>
            <w:r>
              <w:rPr>
                <w:rFonts w:ascii="Arial" w:hAnsi="Arial" w:cs="Arial"/>
                <w:bCs/>
              </w:rPr>
              <w:lastRenderedPageBreak/>
              <w:t>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lastRenderedPageBreak/>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hint="eastAsia"/>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bl>
    <w:p w14:paraId="473A42BE" w14:textId="28F2928C" w:rsidR="006E72BD" w:rsidRDefault="006E72BD" w:rsidP="006E72BD">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b"/>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9"/>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b"/>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9"/>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b"/>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lastRenderedPageBreak/>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bl>
    <w:p w14:paraId="7F37C2F9" w14:textId="26BDA160" w:rsidR="004674CB" w:rsidRDefault="004674CB" w:rsidP="004674C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ab"/>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rFonts w:hint="eastAsia"/>
                <w:bCs/>
                <w:lang w:eastAsia="zh-CN"/>
              </w:rPr>
            </w:pPr>
            <w:r w:rsidRPr="00C12C99">
              <w:rPr>
                <w:bCs/>
                <w:lang w:eastAsia="zh-CN"/>
              </w:rPr>
              <w:t>RAN2 can decide the value and range, but can be revisited if we have further RAN1/4 input.</w:t>
            </w:r>
          </w:p>
        </w:tc>
      </w:tr>
    </w:tbl>
    <w:p w14:paraId="65191023" w14:textId="713A29F4" w:rsidR="00177A33" w:rsidRDefault="00177A33" w:rsidP="00177A3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b"/>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f"/>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f"/>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bl>
    <w:p w14:paraId="332E9B87" w14:textId="77777777" w:rsidR="00BB7917" w:rsidRDefault="00BB7917" w:rsidP="00BB791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9"/>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9"/>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宋体"/>
                <w:bCs/>
                <w:lang w:eastAsia="zh-CN"/>
              </w:rPr>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 xml:space="preserve">While it may be useful for some cases for the UE to save the dedicated RTI during HO, since the target cell may take time to configure and perform PDC, at which time the UE may get an uncompensated RTI via SIB9, we think that late in the WI and given all the use cases where the </w:t>
            </w:r>
            <w:r w:rsidRPr="007F0563">
              <w:rPr>
                <w:rFonts w:ascii="Arial" w:hAnsi="Arial" w:cs="Arial"/>
                <w:bCs/>
              </w:rPr>
              <w:lastRenderedPageBreak/>
              <w:t>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lastRenderedPageBreak/>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bl>
    <w:p w14:paraId="1FB90085" w14:textId="4A534AB2" w:rsidR="00745DD0" w:rsidRDefault="00745DD0" w:rsidP="00745DD0">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b"/>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bl>
    <w:p w14:paraId="515590B1" w14:textId="77777777" w:rsidR="00EA5AE5" w:rsidRDefault="00EA5AE5" w:rsidP="00EA5AE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b"/>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bl>
    <w:p w14:paraId="189E845E" w14:textId="2B65439D" w:rsidR="00A822CC" w:rsidRDefault="00A822CC" w:rsidP="00A822C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b"/>
        <w:snapToGrid w:val="0"/>
        <w:spacing w:before="60" w:after="60" w:line="288" w:lineRule="auto"/>
        <w:jc w:val="both"/>
        <w:rPr>
          <w:b/>
          <w:bCs/>
          <w:lang w:eastAsia="zh-CN"/>
        </w:rPr>
      </w:pPr>
    </w:p>
    <w:p w14:paraId="1F664748" w14:textId="5A1F4162" w:rsidR="00F10BCB" w:rsidRDefault="00643A01" w:rsidP="00A822CC">
      <w:pPr>
        <w:pStyle w:val="ab"/>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lastRenderedPageBreak/>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f"/>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bl>
    <w:p w14:paraId="2F254291" w14:textId="77777777" w:rsidR="006F6CF7" w:rsidRDefault="006F6CF7" w:rsidP="006F6CF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b"/>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t xml:space="preserve">UE-side </w:t>
      </w:r>
      <w:r w:rsidR="003A36A2">
        <w:t xml:space="preserve">RTT </w:t>
      </w:r>
      <w:r>
        <w:t>PDC</w:t>
      </w:r>
    </w:p>
    <w:tbl>
      <w:tblPr>
        <w:tblStyle w:val="af9"/>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宋体"/>
                <w:bCs/>
                <w:lang w:eastAsia="zh-CN"/>
              </w:rPr>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lastRenderedPageBreak/>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宋体"/>
                <w:bCs/>
                <w:lang w:eastAsia="zh-CN"/>
              </w:rPr>
              <w:lastRenderedPageBreak/>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b"/>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9"/>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b"/>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b"/>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b"/>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bl>
    <w:p w14:paraId="70DA1327" w14:textId="3CD78000" w:rsidR="00DA3377" w:rsidRPr="0087525B" w:rsidRDefault="0087525B" w:rsidP="009916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b"/>
        <w:snapToGrid w:val="0"/>
        <w:spacing w:before="60" w:after="60" w:line="288" w:lineRule="auto"/>
        <w:jc w:val="both"/>
        <w:rPr>
          <w:lang w:eastAsia="zh-CN"/>
        </w:rPr>
      </w:pPr>
    </w:p>
    <w:p w14:paraId="7A120263" w14:textId="5B514CE5" w:rsidR="00505FD3" w:rsidRDefault="009F49D9" w:rsidP="007E386A">
      <w:pPr>
        <w:pStyle w:val="ab"/>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9"/>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b"/>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b"/>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lastRenderedPageBreak/>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f"/>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f"/>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f"/>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f"/>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w:t>
            </w:r>
            <w:proofErr w:type="spellStart"/>
            <w:r w:rsidRPr="007D413C">
              <w:rPr>
                <w:rFonts w:ascii="Arial" w:hAnsi="Arial" w:cs="Arial"/>
                <w:bCs/>
              </w:rPr>
              <w:t>gNB</w:t>
            </w:r>
            <w:proofErr w:type="spellEnd"/>
            <w:r w:rsidRPr="007D413C">
              <w:rPr>
                <w:rFonts w:ascii="Arial" w:hAnsi="Arial" w:cs="Arial"/>
                <w:bCs/>
              </w:rPr>
              <w:t>-side RTT-based PDC is implemented or no compensation is performed. Ericsson’s clarification looks fine to us.</w:t>
            </w:r>
          </w:p>
        </w:tc>
      </w:tr>
    </w:tbl>
    <w:p w14:paraId="4AD85531" w14:textId="77777777" w:rsidR="00F53B67" w:rsidRDefault="00F53B67" w:rsidP="007E386A">
      <w:pPr>
        <w:pStyle w:val="ab"/>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9"/>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9"/>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BC1B83">
            <w:pPr>
              <w:pStyle w:val="ab"/>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ab"/>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b"/>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aff"/>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f"/>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f"/>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f"/>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f"/>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f"/>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f"/>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9"/>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BC1B83">
            <w:pPr>
              <w:rPr>
                <w:lang w:val="en-GB"/>
              </w:rPr>
            </w:pPr>
            <w:r>
              <w:rPr>
                <w:lang w:val="en-GB"/>
              </w:rPr>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9"/>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af9"/>
              <w:tblW w:w="0" w:type="auto"/>
              <w:tblLook w:val="04A0" w:firstRow="1" w:lastRow="0" w:firstColumn="1" w:lastColumn="0" w:noHBand="0" w:noVBand="1"/>
            </w:tblPr>
            <w:tblGrid>
              <w:gridCol w:w="6074"/>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ab"/>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spellStart"/>
            <w:r w:rsidRPr="00FF2EE9">
              <w:rPr>
                <w:b/>
                <w:lang w:val="en-GB"/>
              </w:rPr>
              <w:t>i</w:t>
            </w:r>
            <w:proofErr w:type="spellEnd"/>
            <w:r w:rsidRPr="00FF2EE9">
              <w:rPr>
                <w:b/>
                <w:lang w:val="en-GB"/>
              </w:rPr>
              <w:t xml:space="preserve">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9"/>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lastRenderedPageBreak/>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bl>
    <w:p w14:paraId="706201A0" w14:textId="4450D03C" w:rsidR="00FB32BC" w:rsidRDefault="00FB32BC" w:rsidP="00FB32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b"/>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9"/>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9"/>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lastRenderedPageBreak/>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bookmarkStart w:id="6" w:name="_GoBack"/>
            <w:bookmarkEnd w:id="6"/>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bl>
    <w:p w14:paraId="622E74BC" w14:textId="3977EAA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af9"/>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is the benefit in the case that RTIs are send via both SIB and dedicated RRC with the same value. If the value is the same, why the NW needs to send RTI via dedicated RRC? We understand that, usually, a smart </w:t>
            </w:r>
            <w:proofErr w:type="spellStart"/>
            <w:r w:rsidRPr="00F8635F">
              <w:rPr>
                <w:bCs/>
                <w:lang w:eastAsia="zh-CN"/>
              </w:rPr>
              <w:t>gNB</w:t>
            </w:r>
            <w:proofErr w:type="spellEnd"/>
            <w:r w:rsidRPr="00F8635F">
              <w:rPr>
                <w:bCs/>
                <w:lang w:eastAsia="zh-CN"/>
              </w:rPr>
              <w:t xml:space="preserve">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w:t>
            </w:r>
            <w:proofErr w:type="spellStart"/>
            <w:r>
              <w:rPr>
                <w:bCs/>
                <w:lang w:eastAsia="zh-CN"/>
              </w:rPr>
              <w:t>gNB</w:t>
            </w:r>
            <w:proofErr w:type="spellEnd"/>
            <w:r>
              <w:rPr>
                <w:bCs/>
                <w:lang w:eastAsia="zh-CN"/>
              </w:rPr>
              <w:t xml:space="preserve"> will always provide unicast </w:t>
            </w:r>
            <w:r w:rsidRPr="003E04F1">
              <w:rPr>
                <w:bCs/>
                <w:lang w:eastAsia="zh-CN"/>
              </w:rPr>
              <w:t>activation/deactivation</w:t>
            </w:r>
            <w:r>
              <w:rPr>
                <w:bCs/>
                <w:lang w:eastAsia="zh-CN"/>
              </w:rPr>
              <w:t xml:space="preserve"> together, we can fine with the proposal. </w:t>
            </w:r>
          </w:p>
        </w:tc>
      </w:tr>
    </w:tbl>
    <w:p w14:paraId="0D35978C" w14:textId="7777777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w:t>
      </w:r>
      <w:proofErr w:type="gramStart"/>
      <w:r w:rsidR="00C7423A" w:rsidRPr="00C7423A">
        <w:rPr>
          <w:rFonts w:ascii="Times New Roman" w:eastAsia="宋体" w:hAnsi="Times New Roman"/>
          <w:bCs/>
          <w:color w:val="000000"/>
          <w:szCs w:val="20"/>
          <w:lang w:eastAsia="zh-CN"/>
        </w:rPr>
        <w:t>e][</w:t>
      </w:r>
      <w:proofErr w:type="gramEnd"/>
      <w:r w:rsidR="00C7423A" w:rsidRPr="00C7423A">
        <w:rPr>
          <w:rFonts w:ascii="Times New Roman" w:eastAsia="宋体" w:hAnsi="Times New Roman"/>
          <w:bCs/>
          <w:color w:val="000000"/>
          <w:szCs w:val="20"/>
          <w:lang w:eastAsia="zh-CN"/>
        </w:rPr>
        <w:t>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 xml:space="preserve">Huawei, </w:t>
      </w:r>
      <w:proofErr w:type="spellStart"/>
      <w:r w:rsidR="00795AAF" w:rsidRPr="00795AAF">
        <w:rPr>
          <w:rFonts w:ascii="Times New Roman" w:eastAsia="宋体"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 xml:space="preserve">ZTE Corporation, </w:t>
      </w:r>
      <w:proofErr w:type="spellStart"/>
      <w:r w:rsidR="001E1644" w:rsidRPr="001E1644">
        <w:rPr>
          <w:rFonts w:ascii="Times New Roman" w:eastAsia="宋体" w:hAnsi="Times New Roman"/>
          <w:bCs/>
          <w:color w:val="000000"/>
          <w:szCs w:val="20"/>
          <w:lang w:eastAsia="zh-CN"/>
        </w:rPr>
        <w:t>Sanechips</w:t>
      </w:r>
      <w:proofErr w:type="spellEnd"/>
      <w:r w:rsidR="001E1644" w:rsidRPr="001E1644">
        <w:rPr>
          <w:rFonts w:ascii="Times New Roman" w:eastAsia="宋体"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E8EE" w14:textId="77777777" w:rsidR="00D17014" w:rsidRDefault="00D17014">
      <w:pPr>
        <w:spacing w:after="0"/>
      </w:pPr>
      <w:r>
        <w:separator/>
      </w:r>
    </w:p>
  </w:endnote>
  <w:endnote w:type="continuationSeparator" w:id="0">
    <w:p w14:paraId="70F6DC48" w14:textId="77777777" w:rsidR="00D17014" w:rsidRDefault="00D17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B7A1" w14:textId="77777777" w:rsidR="00D17014" w:rsidRDefault="00D17014">
      <w:pPr>
        <w:spacing w:after="0"/>
      </w:pPr>
      <w:r>
        <w:separator/>
      </w:r>
    </w:p>
  </w:footnote>
  <w:footnote w:type="continuationSeparator" w:id="0">
    <w:p w14:paraId="6FB6B432" w14:textId="77777777" w:rsidR="00D17014" w:rsidRDefault="00D17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6D3"/>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eastAsia="Times New Roman"/>
      <w:lang w:val="en-GB" w:eastAsia="en-US"/>
    </w:rPr>
  </w:style>
  <w:style w:type="paragraph" w:styleId="aff">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9223E5"/>
    <w:rPr>
      <w:rFonts w:ascii="Arial" w:hAnsi="Arial"/>
      <w:sz w:val="28"/>
      <w:lang w:val="en-GB" w:eastAsia="ja-JP"/>
    </w:rPr>
  </w:style>
  <w:style w:type="paragraph" w:styleId="aff4">
    <w:name w:val="Revision"/>
    <w:hidden/>
    <w:uiPriority w:val="99"/>
    <w:semiHidden/>
    <w:rsid w:val="00DC0E26"/>
    <w:rPr>
      <w:color w:val="000000"/>
      <w:lang w:eastAsia="ja-JP"/>
    </w:rPr>
  </w:style>
  <w:style w:type="character" w:customStyle="1" w:styleId="12">
    <w:name w:val="未解決のメンション1"/>
    <w:basedOn w:val="a1"/>
    <w:uiPriority w:val="99"/>
    <w:semiHidden/>
    <w:unhideWhenUsed/>
    <w:rsid w:val="00D63732"/>
    <w:rPr>
      <w:color w:val="605E5C"/>
      <w:shd w:val="clear" w:color="auto" w:fill="E1DFDD"/>
    </w:rPr>
  </w:style>
  <w:style w:type="character" w:styleId="aff5">
    <w:name w:val="Unresolved Mention"/>
    <w:basedOn w:val="a1"/>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BEFF756-8EE4-429B-BDF1-CADB9DD0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7716</Words>
  <Characters>43985</Characters>
  <Application>Microsoft Office Word</Application>
  <DocSecurity>0</DocSecurity>
  <Lines>366</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Zhe Fu</cp:lastModifiedBy>
  <cp:revision>18</cp:revision>
  <cp:lastPrinted>2017-03-22T08:13:00Z</cp:lastPrinted>
  <dcterms:created xsi:type="dcterms:W3CDTF">2022-02-24T14:37:00Z</dcterms:created>
  <dcterms:modified xsi:type="dcterms:W3CDTF">2022-02-24T14:44:00Z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