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cs="Arial"/>
          <w:b/>
          <w:bCs/>
          <w:color w:val="000000"/>
          <w:sz w:val="26"/>
          <w:szCs w:val="26"/>
        </w:rPr>
      </w:pPr>
      <w:r>
        <w:rPr>
          <w:rFonts w:ascii="Arial" w:hAnsi="Arial" w:eastAsia="Times New Roman"/>
          <w:b/>
          <w:bCs/>
          <w:sz w:val="24"/>
          <w:szCs w:val="24"/>
        </w:rPr>
        <w:t>3GPP T</w:t>
      </w:r>
      <w:bookmarkStart w:id="0" w:name="_Ref452454252"/>
      <w:bookmarkEnd w:id="0"/>
      <w:r>
        <w:rPr>
          <w:rFonts w:ascii="Arial" w:hAnsi="Arial" w:eastAsia="Times New Roman"/>
          <w:b/>
          <w:bCs/>
          <w:sz w:val="24"/>
          <w:szCs w:val="24"/>
        </w:rPr>
        <w:t xml:space="preserve">SG-RAN WG2 Meeting #117-e                                                       </w:t>
      </w:r>
      <w:r>
        <w:rPr>
          <w:rFonts w:ascii="Arial" w:hAnsi="Arial" w:cs="Arial"/>
          <w:b/>
          <w:bCs/>
          <w:color w:val="000000" w:themeColor="text1"/>
          <w:sz w:val="26"/>
          <w:szCs w:val="26"/>
          <w14:textFill>
            <w14:solidFill>
              <w14:schemeClr w14:val="tx1"/>
            </w14:solidFill>
          </w14:textFill>
        </w:rPr>
        <w:t>R2-2203640</w:t>
      </w:r>
    </w:p>
    <w:p>
      <w:pPr>
        <w:widowControl w:val="0"/>
        <w:tabs>
          <w:tab w:val="right" w:pos="9639"/>
        </w:tabs>
        <w:spacing w:after="0"/>
        <w:rPr>
          <w:rFonts w:ascii="Arial" w:hAnsi="Arial" w:eastAsia="Times New Roman"/>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th</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p>
    <w:p>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pPr>
        <w:tabs>
          <w:tab w:val="left" w:pos="1985"/>
        </w:tabs>
        <w:spacing w:after="120"/>
        <w:rPr>
          <w:rFonts w:ascii="Arial" w:hAnsi="Arial" w:eastAsia="MS Mincho" w:cs="Arial"/>
          <w:b/>
          <w:bCs/>
          <w:sz w:val="24"/>
          <w:szCs w:val="24"/>
        </w:rPr>
      </w:pPr>
      <w:r>
        <w:rPr>
          <w:rFonts w:ascii="Arial" w:hAnsi="Arial" w:eastAsia="MS Mincho" w:cs="Arial"/>
          <w:b/>
          <w:bCs/>
          <w:sz w:val="24"/>
          <w:szCs w:val="24"/>
        </w:rPr>
        <w:t xml:space="preserve">Agenda item: </w:t>
      </w:r>
      <w:r>
        <w:tab/>
      </w:r>
      <w:r>
        <w:rPr>
          <w:rFonts w:ascii="Arial" w:hAnsi="Arial" w:eastAsia="MS Mincho" w:cs="Arial"/>
          <w:b/>
          <w:bCs/>
          <w:sz w:val="24"/>
          <w:szCs w:val="24"/>
        </w:rPr>
        <w:t>8.2.5</w:t>
      </w:r>
    </w:p>
    <w:p>
      <w:pPr>
        <w:tabs>
          <w:tab w:val="left" w:pos="1985"/>
        </w:tabs>
        <w:ind w:left="1985" w:hanging="1985"/>
        <w:rPr>
          <w:rFonts w:ascii="Arial" w:hAnsi="Arial" w:eastAsia="Times New Roman" w:cs="Arial"/>
          <w:b/>
          <w:bCs/>
          <w:sz w:val="24"/>
        </w:rPr>
      </w:pPr>
      <w:r>
        <w:rPr>
          <w:rFonts w:ascii="Arial" w:hAnsi="Arial" w:eastAsia="Times New Roman" w:cs="Arial"/>
          <w:b/>
          <w:bCs/>
          <w:sz w:val="24"/>
        </w:rPr>
        <w:t>Source:</w:t>
      </w:r>
      <w:r>
        <w:rPr>
          <w:rFonts w:ascii="Arial" w:hAnsi="Arial" w:eastAsia="Times New Roman" w:cs="Arial"/>
          <w:b/>
          <w:bCs/>
          <w:sz w:val="24"/>
        </w:rPr>
        <w:tab/>
      </w:r>
      <w:r>
        <w:rPr>
          <w:rFonts w:ascii="Arial" w:hAnsi="Arial" w:eastAsia="Times New Roman" w:cs="Arial"/>
          <w:b/>
          <w:bCs/>
          <w:sz w:val="24"/>
        </w:rPr>
        <w:t>Intel Corporation</w:t>
      </w:r>
    </w:p>
    <w:p>
      <w:pPr>
        <w:ind w:left="1985" w:hanging="1985"/>
        <w:rPr>
          <w:rFonts w:ascii="Arial" w:hAnsi="Arial" w:eastAsia="Times New Roman" w:cs="Arial"/>
          <w:b/>
          <w:bCs/>
          <w:sz w:val="24"/>
          <w:szCs w:val="24"/>
        </w:rPr>
      </w:pPr>
      <w:r>
        <w:rPr>
          <w:rFonts w:ascii="Arial" w:hAnsi="Arial" w:eastAsia="Times New Roman" w:cs="Arial"/>
          <w:b/>
          <w:bCs/>
          <w:sz w:val="24"/>
          <w:szCs w:val="24"/>
        </w:rPr>
        <w:t xml:space="preserve">Title: </w:t>
      </w:r>
      <w:r>
        <w:rPr>
          <w:rFonts w:ascii="Arial" w:hAnsi="Arial" w:eastAsia="Times New Roman" w:cs="Arial"/>
          <w:b/>
          <w:bCs/>
          <w:sz w:val="24"/>
        </w:rPr>
        <w:tab/>
      </w:r>
      <w:r>
        <w:rPr>
          <w:rFonts w:ascii="Arial" w:hAnsi="Arial" w:eastAsia="Times New Roman" w:cs="Arial"/>
          <w:b/>
          <w:bCs/>
          <w:sz w:val="24"/>
        </w:rPr>
        <w:t>Report of [AT117-e][225][DCCA] DCCA UE capabilities (Intel)</w:t>
      </w:r>
    </w:p>
    <w:p>
      <w:pPr>
        <w:tabs>
          <w:tab w:val="left" w:pos="1985"/>
        </w:tabs>
        <w:rPr>
          <w:rFonts w:ascii="Arial" w:hAnsi="Arial" w:eastAsia="Times New Roman" w:cs="Arial"/>
          <w:b/>
          <w:bCs/>
          <w:sz w:val="24"/>
        </w:rPr>
      </w:pPr>
      <w:r>
        <w:rPr>
          <w:rFonts w:ascii="Arial" w:hAnsi="Arial" w:eastAsia="Times New Roman" w:cs="Arial"/>
          <w:b/>
          <w:bCs/>
          <w:sz w:val="24"/>
        </w:rPr>
        <w:t>Document for:</w:t>
      </w:r>
      <w:r>
        <w:rPr>
          <w:rFonts w:ascii="Arial" w:hAnsi="Arial" w:eastAsia="Times New Roman" w:cs="Arial"/>
          <w:b/>
          <w:bCs/>
          <w:sz w:val="24"/>
        </w:rPr>
        <w:tab/>
      </w:r>
      <w:r>
        <w:rPr>
          <w:rFonts w:ascii="Arial" w:hAnsi="Arial" w:eastAsia="Times New Roman" w:cs="Arial"/>
          <w:b/>
          <w:bCs/>
          <w:sz w:val="24"/>
        </w:rPr>
        <w:t>Discussion</w:t>
      </w:r>
    </w:p>
    <w:p>
      <w:pPr>
        <w:pStyle w:val="2"/>
        <w:numPr>
          <w:ilvl w:val="0"/>
          <w:numId w:val="5"/>
        </w:numPr>
        <w:pBdr>
          <w:top w:val="single" w:color="auto" w:sz="12" w:space="2"/>
        </w:pBdr>
      </w:pPr>
      <w:r>
        <w:t xml:space="preserve">Introduction </w:t>
      </w:r>
    </w:p>
    <w:p>
      <w:r>
        <w:rPr>
          <w:sz w:val="22"/>
          <w:szCs w:val="22"/>
          <w:lang w:val="en-US"/>
        </w:rPr>
        <w:t>This is the report of the following email discussion:</w:t>
      </w:r>
    </w:p>
    <w:p>
      <w:pPr>
        <w:pStyle w:val="65"/>
      </w:pPr>
      <w:bookmarkStart w:id="1" w:name="_Hlk96678685"/>
      <w:r>
        <w:t>[AT117-e][225][DCCA] DCCA UE capabilities (Intel)</w:t>
      </w:r>
    </w:p>
    <w:p>
      <w:pPr>
        <w:pStyle w:val="67"/>
      </w:pPr>
      <w:r>
        <w:tab/>
      </w:r>
      <w:r>
        <w:t>Scope: Finalize RAN2 parts of UE capabilities of the DCCA WI based on contributions to 8.2.5.</w:t>
      </w:r>
    </w:p>
    <w:p>
      <w:pPr>
        <w:pStyle w:val="67"/>
      </w:pPr>
      <w:r>
        <w:tab/>
      </w:r>
      <w:r>
        <w:t xml:space="preserve">Intended outcome: Discussion report in </w:t>
      </w:r>
      <w:r>
        <w:fldChar w:fldCharType="begin"/>
      </w:r>
      <w:r>
        <w:instrText xml:space="preserve"> HYPERLINK "https://www.3gpp.org/ftp/TSG_RAN/WG2_RL2/TSGR2_117-e/Docs/R2-2203640.zip" </w:instrText>
      </w:r>
      <w:r>
        <w:fldChar w:fldCharType="separate"/>
      </w:r>
      <w:r>
        <w:rPr>
          <w:rStyle w:val="23"/>
        </w:rPr>
        <w:t>R2-2203640</w:t>
      </w:r>
      <w:r>
        <w:rPr>
          <w:rStyle w:val="23"/>
        </w:rPr>
        <w:fldChar w:fldCharType="end"/>
      </w:r>
      <w:r>
        <w:t>.</w:t>
      </w:r>
    </w:p>
    <w:p>
      <w:pPr>
        <w:pStyle w:val="67"/>
      </w:pPr>
      <w:r>
        <w:tab/>
      </w:r>
      <w:r>
        <w:t>Deadline: Deadline 4</w:t>
      </w:r>
      <w:bookmarkEnd w:id="1"/>
    </w:p>
    <w:p>
      <w:pPr>
        <w:spacing w:before="240" w:after="60"/>
        <w:outlineLvl w:val="8"/>
        <w:rPr>
          <w:b/>
        </w:rPr>
      </w:pPr>
      <w:r>
        <w:rPr>
          <w:b/>
        </w:rPr>
        <w:t>Deadline 4 (discussions for 2</w:t>
      </w:r>
      <w:r>
        <w:rPr>
          <w:b/>
          <w:vertAlign w:val="superscript"/>
        </w:rPr>
        <w:t>nd</w:t>
      </w:r>
      <w:r>
        <w:rPr>
          <w:b/>
        </w:rPr>
        <w:t xml:space="preserve"> week Wed online):</w:t>
      </w:r>
    </w:p>
    <w:p>
      <w:pPr>
        <w:pStyle w:val="28"/>
        <w:numPr>
          <w:ilvl w:val="0"/>
          <w:numId w:val="6"/>
        </w:numPr>
        <w:spacing w:after="0"/>
        <w:contextualSpacing w:val="0"/>
        <w:rPr>
          <w:bCs/>
        </w:rPr>
      </w:pPr>
      <w:r>
        <w:rPr>
          <w:b/>
        </w:rPr>
        <w:t xml:space="preserve">Comment deadline: </w:t>
      </w:r>
      <w:r>
        <w:rPr>
          <w:bCs/>
          <w:strike/>
          <w:color w:val="FF0000"/>
        </w:rPr>
        <w:t>Monday</w:t>
      </w:r>
      <w:r>
        <w:rPr>
          <w:b/>
          <w:strike/>
          <w:color w:val="FF0000"/>
        </w:rPr>
        <w:t xml:space="preserve"> </w:t>
      </w:r>
      <w:r>
        <w:rPr>
          <w:bCs/>
          <w:strike/>
          <w:color w:val="FF0000"/>
        </w:rPr>
        <w:t>W2, 1200 UTC</w:t>
      </w:r>
      <w:r>
        <w:rPr>
          <w:bCs/>
          <w:color w:val="FF0000"/>
        </w:rPr>
        <w:t xml:space="preserve"> </w:t>
      </w:r>
      <w:r>
        <w:t xml:space="preserve">Tuesday </w:t>
      </w:r>
      <w:r>
        <w:rPr>
          <w:bCs/>
        </w:rPr>
        <w:t>W2, 1200 UTC (for collecting views)</w:t>
      </w:r>
    </w:p>
    <w:p>
      <w:pPr>
        <w:pStyle w:val="28"/>
        <w:numPr>
          <w:ilvl w:val="0"/>
          <w:numId w:val="6"/>
        </w:numPr>
        <w:spacing w:after="0"/>
        <w:contextualSpacing w:val="0"/>
      </w:pPr>
      <w:r>
        <w:rPr>
          <w:b/>
          <w:bCs/>
        </w:rPr>
        <w:t>Rapporteur proposals:</w:t>
      </w:r>
      <w:r>
        <w:t xml:space="preserve"> Tuesday W2, </w:t>
      </w:r>
      <w:r>
        <w:rPr>
          <w:strike/>
          <w:color w:val="FF0000"/>
        </w:rPr>
        <w:t>1200</w:t>
      </w:r>
      <w:r>
        <w:t xml:space="preserve"> 1400 UTC (proposed resolution of issues)</w:t>
      </w:r>
    </w:p>
    <w:p>
      <w:pPr>
        <w:pStyle w:val="28"/>
        <w:numPr>
          <w:ilvl w:val="0"/>
          <w:numId w:val="6"/>
        </w:numPr>
        <w:spacing w:after="0"/>
        <w:contextualSpacing w:val="0"/>
      </w:pPr>
      <w:r>
        <w:rPr>
          <w:b/>
          <w:bCs/>
        </w:rPr>
        <w:t>Document deadline:</w:t>
      </w:r>
      <w:r>
        <w:t xml:space="preserve"> Tuesday W2, 1600 UTC (report or agreed CRs) </w:t>
      </w:r>
    </w:p>
    <w:p>
      <w:pPr>
        <w:pStyle w:val="28"/>
        <w:numPr>
          <w:ilvl w:val="1"/>
          <w:numId w:val="6"/>
        </w:numPr>
        <w:spacing w:after="0"/>
        <w:contextualSpacing w:val="0"/>
      </w:pPr>
      <w:r>
        <w:t>No extensions to this deadline for regular discussions. Discussions handling CRs may continue to short post-meeting email (based on chair decision).</w:t>
      </w:r>
    </w:p>
    <w:p>
      <w:pPr>
        <w:pStyle w:val="67"/>
      </w:pPr>
    </w:p>
    <w:p>
      <w:pPr>
        <w:pStyle w:val="67"/>
        <w:ind w:left="0" w:firstLine="0"/>
        <w:rPr>
          <w:rFonts w:ascii="Times New Roman" w:hAnsi="Times New Roman" w:eastAsia="Malgun Gothic"/>
          <w:sz w:val="22"/>
          <w:szCs w:val="22"/>
          <w:lang w:val="en-US" w:eastAsia="en-US"/>
        </w:rPr>
      </w:pPr>
      <w:r>
        <w:rPr>
          <w:rFonts w:ascii="Times New Roman" w:hAnsi="Times New Roman" w:eastAsia="Malgun Gothic"/>
          <w:sz w:val="22"/>
          <w:szCs w:val="22"/>
          <w:lang w:val="en-US" w:eastAsia="en-US"/>
        </w:rPr>
        <w:t>To allow at least 24h for all delegates to join this offline discussion, rapporteur suggests setting the comment deadline to Tuesday W2, 1000 UTC.</w:t>
      </w:r>
    </w:p>
    <w:p>
      <w:pPr>
        <w:pStyle w:val="2"/>
        <w:numPr>
          <w:ilvl w:val="0"/>
          <w:numId w:val="5"/>
        </w:numPr>
        <w:pBdr>
          <w:top w:val="single" w:color="auto" w:sz="12" w:space="2"/>
        </w:pBdr>
      </w:pPr>
      <w:r>
        <w:t xml:space="preserve">Discussion </w:t>
      </w:r>
    </w:p>
    <w:p>
      <w:pPr>
        <w:rPr>
          <w:sz w:val="22"/>
          <w:szCs w:val="22"/>
        </w:rPr>
      </w:pPr>
      <w:r>
        <w:rPr>
          <w:sz w:val="22"/>
          <w:szCs w:val="22"/>
        </w:rPr>
        <w:t>In RAN2#116e meeting, initial discussion on DCCA UE capabilities was made, and the following agreements were achieved:</w:t>
      </w:r>
    </w:p>
    <w:p>
      <w:pPr>
        <w:pStyle w:val="75"/>
        <w:tabs>
          <w:tab w:val="left" w:pos="1260"/>
          <w:tab w:val="clear" w:pos="1619"/>
        </w:tabs>
        <w:ind w:left="720"/>
      </w:pPr>
      <w:r>
        <w:t>1:  consider the following UE capabilities and corresponding descriptions as baseline (can still discuss exact details in the next meeting):</w:t>
      </w:r>
    </w:p>
    <w:p>
      <w:pPr>
        <w:tabs>
          <w:tab w:val="left" w:pos="1622"/>
        </w:tabs>
        <w:spacing w:after="0"/>
        <w:ind w:left="1622" w:hanging="363"/>
        <w:rPr>
          <w:rFonts w:ascii="Arial" w:hAnsi="Arial" w:eastAsia="MS Mincho"/>
          <w:i/>
          <w:iCs/>
          <w:szCs w:val="24"/>
          <w:lang w:eastAsia="en-GB"/>
        </w:rPr>
      </w:pPr>
    </w:p>
    <w:tbl>
      <w:tblPr>
        <w:tblStyle w:val="20"/>
        <w:tblW w:w="981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354"/>
        <w:gridCol w:w="1897"/>
        <w:gridCol w:w="990"/>
        <w:gridCol w:w="1080"/>
        <w:gridCol w:w="990"/>
        <w:gridCol w:w="162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6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Tahoma" w:hAnsi="Tahoma" w:eastAsia="MS LineDraw" w:cs="MS LineDraw"/>
                <w:b/>
                <w:sz w:val="18"/>
              </w:rPr>
            </w:pPr>
            <w:r>
              <w:rPr>
                <w:rFonts w:ascii="Tahoma" w:hAnsi="Tahoma" w:eastAsia="MS LineDraw" w:cs="MS LineDraw"/>
                <w:b/>
                <w:sz w:val="18"/>
              </w:rPr>
              <w:t>Index</w:t>
            </w:r>
          </w:p>
        </w:tc>
        <w:tc>
          <w:tcPr>
            <w:tcW w:w="135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Tahoma" w:hAnsi="Tahoma" w:eastAsia="MS LineDraw" w:cs="MS LineDraw"/>
                <w:b/>
                <w:sz w:val="18"/>
              </w:rPr>
            </w:pPr>
            <w:r>
              <w:rPr>
                <w:rFonts w:ascii="Tahoma" w:hAnsi="Tahoma" w:eastAsia="MS LineDraw" w:cs="MS LineDraw"/>
                <w:b/>
                <w:sz w:val="18"/>
              </w:rPr>
              <w:t>Feature group</w:t>
            </w:r>
          </w:p>
        </w:tc>
        <w:tc>
          <w:tcPr>
            <w:tcW w:w="189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Tahoma" w:hAnsi="Tahoma" w:eastAsia="MS LineDraw" w:cs="MS LineDraw"/>
                <w:b/>
                <w:sz w:val="18"/>
              </w:rPr>
            </w:pPr>
            <w:r>
              <w:rPr>
                <w:rFonts w:ascii="Tahoma" w:hAnsi="Tahoma" w:eastAsia="MS LineDraw" w:cs="MS LineDraw"/>
                <w:b/>
                <w:sz w:val="18"/>
              </w:rPr>
              <w:t>Components</w:t>
            </w:r>
          </w:p>
        </w:tc>
        <w:tc>
          <w:tcPr>
            <w:tcW w:w="9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Tahoma" w:hAnsi="Tahoma" w:eastAsia="MS LineDraw" w:cs="MS LineDraw"/>
                <w:b/>
                <w:sz w:val="18"/>
              </w:rPr>
            </w:pPr>
            <w:r>
              <w:rPr>
                <w:rFonts w:ascii="Tahoma" w:hAnsi="Tahoma" w:eastAsia="MS LineDraw" w:cs="MS LineDraw"/>
                <w:b/>
                <w:sz w:val="18"/>
              </w:rPr>
              <w:t>Prerequisite feature groups</w:t>
            </w:r>
          </w:p>
        </w:tc>
        <w:tc>
          <w:tcPr>
            <w:tcW w:w="108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Tahoma" w:hAnsi="Tahoma" w:eastAsia="MS LineDraw" w:cs="MS LineDraw"/>
                <w:b/>
                <w:sz w:val="18"/>
                <w:lang w:val="en-US"/>
              </w:rPr>
            </w:pPr>
            <w:r>
              <w:rPr>
                <w:rFonts w:ascii="Tahoma" w:hAnsi="Tahoma" w:eastAsia="MS LineDraw" w:cs="MS LineDraw"/>
                <w:b/>
                <w:sz w:val="18"/>
                <w:lang w:val="en-US"/>
              </w:rPr>
              <w:t>Need of FDD/TDD differentiation</w:t>
            </w:r>
          </w:p>
        </w:tc>
        <w:tc>
          <w:tcPr>
            <w:tcW w:w="99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Tahoma" w:hAnsi="Tahoma" w:eastAsia="MS LineDraw" w:cs="MS LineDraw"/>
                <w:b/>
                <w:sz w:val="18"/>
                <w:lang w:val="en-US"/>
              </w:rPr>
            </w:pPr>
            <w:r>
              <w:rPr>
                <w:rFonts w:ascii="Tahoma" w:hAnsi="Tahoma" w:eastAsia="MS LineDraw" w:cs="MS LineDraw"/>
                <w:b/>
                <w:sz w:val="18"/>
                <w:lang w:val="en-US"/>
              </w:rPr>
              <w:t>Need of FR1/FR2 differentiation</w:t>
            </w:r>
          </w:p>
        </w:tc>
        <w:tc>
          <w:tcPr>
            <w:tcW w:w="162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59" w:lineRule="auto"/>
              <w:textAlignment w:val="baseline"/>
              <w:rPr>
                <w:rFonts w:ascii="Arial" w:hAnsi="Arial" w:eastAsia="Times New Roman"/>
                <w:b/>
                <w:sz w:val="18"/>
                <w:lang w:val="en-US" w:eastAsia="zh-CN"/>
              </w:rPr>
            </w:pPr>
            <w:r>
              <w:rPr>
                <w:rFonts w:hint="eastAsia" w:ascii="Arial" w:hAnsi="Arial" w:eastAsia="Times New Roman"/>
                <w:b/>
                <w:sz w:val="18"/>
                <w:lang w:val="en-US" w:eastAsia="zh-CN"/>
              </w:rPr>
              <w:t>Type</w:t>
            </w:r>
          </w:p>
          <w:p>
            <w:pPr>
              <w:keepNext/>
              <w:keepLines/>
              <w:overflowPunct w:val="0"/>
              <w:autoSpaceDE w:val="0"/>
              <w:autoSpaceDN w:val="0"/>
              <w:adjustRightInd w:val="0"/>
              <w:spacing w:after="0"/>
              <w:textAlignment w:val="baseline"/>
              <w:rPr>
                <w:rFonts w:ascii="Tahoma" w:hAnsi="Tahoma" w:eastAsia="MS LineDraw" w:cs="MS LineDraw"/>
                <w:b/>
                <w:sz w:val="18"/>
                <w:lang w:val="en-US"/>
              </w:rPr>
            </w:pPr>
            <w:r>
              <w:rPr>
                <w:rFonts w:ascii="Tahoma" w:hAnsi="Tahoma" w:eastAsia="MS LineDraw" w:cs="MS LineDraw"/>
                <w:b/>
                <w:sz w:val="18"/>
                <w:lang w:val="en-US"/>
              </w:rPr>
              <w:t>(the ‘type’ definition from UE features should be based on the granularity of 1) Per UE or 2) Per Band or 3) Per BC or 4) Per FS or 5) Per FSPC)</w:t>
            </w:r>
          </w:p>
        </w:tc>
        <w:tc>
          <w:tcPr>
            <w:tcW w:w="1268"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Tahoma" w:hAnsi="Tahoma" w:eastAsia="MS LineDraw" w:cs="MS LineDraw"/>
                <w:b/>
                <w:sz w:val="18"/>
              </w:rPr>
            </w:pPr>
            <w:r>
              <w:rPr>
                <w:rFonts w:ascii="Tahoma" w:hAnsi="Tahoma" w:eastAsia="MS LineDraw" w:cs="MS LineDraw"/>
                <w:b/>
                <w:sz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614" w:type="dxa"/>
            <w:tcBorders>
              <w:top w:val="single" w:color="auto" w:sz="4" w:space="0"/>
              <w:left w:val="single" w:color="auto" w:sz="4" w:space="0"/>
              <w:bottom w:val="single" w:color="auto" w:sz="4" w:space="0"/>
              <w:right w:val="single" w:color="auto" w:sz="4" w:space="0"/>
            </w:tcBorders>
          </w:tcPr>
          <w:p>
            <w:pPr>
              <w:keepNext/>
              <w:keepLines/>
              <w:spacing w:after="0"/>
              <w:rPr>
                <w:rFonts w:asciiTheme="majorHAnsi" w:hAnsiTheme="majorHAnsi" w:cstheme="majorHAnsi"/>
                <w:sz w:val="18"/>
                <w:szCs w:val="18"/>
                <w:lang w:val="zh-CN"/>
              </w:rPr>
            </w:pPr>
            <w:r>
              <w:rPr>
                <w:rFonts w:ascii="Arial" w:hAnsi="Arial"/>
                <w:sz w:val="18"/>
                <w:lang w:val="en-US"/>
              </w:rPr>
              <w:t>x</w:t>
            </w:r>
            <w:r>
              <w:rPr>
                <w:rFonts w:ascii="Arial" w:hAnsi="Arial"/>
                <w:sz w:val="18"/>
                <w:lang w:val="zh-CN"/>
              </w:rPr>
              <w:t>-1</w:t>
            </w:r>
          </w:p>
        </w:tc>
        <w:tc>
          <w:tcPr>
            <w:tcW w:w="1354"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asciiTheme="majorHAnsi" w:hAnsiTheme="majorHAnsi" w:cstheme="majorHAnsi"/>
                <w:sz w:val="18"/>
                <w:szCs w:val="18"/>
                <w:lang w:val="zh-CN"/>
              </w:rPr>
            </w:pPr>
            <w:r>
              <w:rPr>
                <w:rFonts w:eastAsia="宋体"/>
                <w:sz w:val="18"/>
                <w:lang w:val="en-US"/>
              </w:rPr>
              <w:t>Activation/Deactivation of SCG</w:t>
            </w:r>
          </w:p>
        </w:tc>
        <w:tc>
          <w:tcPr>
            <w:tcW w:w="189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val="en-US"/>
              </w:rPr>
            </w:pPr>
            <w:r>
              <w:rPr>
                <w:rFonts w:ascii="Arial" w:hAnsi="Arial"/>
                <w:sz w:val="18"/>
                <w:lang w:val="en-US"/>
              </w:rPr>
              <w:t>Support of activation/deactivation of SCG</w:t>
            </w:r>
            <w:r>
              <w:rPr>
                <w:rFonts w:ascii="Arial" w:hAnsi="Arial" w:eastAsia="MS PGothic"/>
                <w:sz w:val="18"/>
                <w:lang w:val="en-US"/>
              </w:rPr>
              <w:t>.</w:t>
            </w:r>
          </w:p>
        </w:tc>
        <w:tc>
          <w:tcPr>
            <w:tcW w:w="990"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MS Mincho"/>
                <w:sz w:val="18"/>
                <w:lang w:val="en-US"/>
              </w:rPr>
            </w:pPr>
          </w:p>
        </w:tc>
        <w:tc>
          <w:tcPr>
            <w:tcW w:w="1080"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val="zh-CN"/>
              </w:rPr>
            </w:pPr>
            <w:r>
              <w:rPr>
                <w:rFonts w:ascii="Arial" w:hAnsi="Arial"/>
                <w:sz w:val="18"/>
                <w:lang w:val="zh-CN"/>
              </w:rPr>
              <w:t>No</w:t>
            </w:r>
          </w:p>
        </w:tc>
        <w:tc>
          <w:tcPr>
            <w:tcW w:w="990"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val="en-US"/>
              </w:rPr>
            </w:pPr>
            <w:r>
              <w:rPr>
                <w:rFonts w:ascii="Arial" w:hAnsi="Arial" w:eastAsia="等线"/>
                <w:sz w:val="18"/>
                <w:lang w:val="en-US"/>
              </w:rPr>
              <w:t>Yes</w:t>
            </w:r>
          </w:p>
        </w:tc>
        <w:tc>
          <w:tcPr>
            <w:tcW w:w="1620"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Cs/>
                <w:sz w:val="18"/>
                <w:lang w:val="zh-CN"/>
              </w:rPr>
            </w:pPr>
            <w:r>
              <w:rPr>
                <w:rFonts w:ascii="Arial" w:hAnsi="Arial"/>
                <w:bCs/>
                <w:sz w:val="18"/>
                <w:lang w:val="en-US"/>
              </w:rPr>
              <w:t>Per UE</w:t>
            </w:r>
          </w:p>
        </w:tc>
        <w:tc>
          <w:tcPr>
            <w:tcW w:w="126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val="zh-CN"/>
              </w:rPr>
            </w:pPr>
            <w:r>
              <w:rPr>
                <w:rFonts w:ascii="Arial" w:hAnsi="Arial"/>
                <w:sz w:val="18"/>
                <w:lang w:val="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614"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Theme="majorHAnsi" w:hAnsiTheme="majorHAnsi" w:cstheme="majorHAnsi"/>
                <w:sz w:val="18"/>
                <w:szCs w:val="18"/>
                <w:lang w:val="zh-CN"/>
              </w:rPr>
            </w:pPr>
            <w:r>
              <w:rPr>
                <w:rFonts w:ascii="Arial" w:hAnsi="Arial"/>
                <w:sz w:val="18"/>
                <w:lang w:val="en-US"/>
              </w:rPr>
              <w:t>x</w:t>
            </w:r>
            <w:r>
              <w:rPr>
                <w:rFonts w:ascii="Arial" w:hAnsi="Arial"/>
                <w:sz w:val="18"/>
                <w:lang w:val="zh-CN"/>
              </w:rPr>
              <w:t>-2</w:t>
            </w:r>
          </w:p>
        </w:tc>
        <w:tc>
          <w:tcPr>
            <w:tcW w:w="1354"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asciiTheme="majorHAnsi" w:hAnsiTheme="majorHAnsi" w:cstheme="majorHAnsi"/>
                <w:sz w:val="18"/>
                <w:szCs w:val="18"/>
                <w:lang w:val="zh-CN"/>
              </w:rPr>
            </w:pPr>
            <w:r>
              <w:rPr>
                <w:rFonts w:eastAsia="宋体"/>
                <w:sz w:val="18"/>
                <w:lang w:val="en-US"/>
              </w:rPr>
              <w:t>Activation/Deactivation of SCG</w:t>
            </w:r>
          </w:p>
        </w:tc>
        <w:tc>
          <w:tcPr>
            <w:tcW w:w="1897"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en-US"/>
              </w:rPr>
            </w:pPr>
            <w:r>
              <w:rPr>
                <w:rFonts w:ascii="Arial" w:hAnsi="Arial"/>
                <w:sz w:val="18"/>
                <w:lang w:val="zh-CN"/>
              </w:rPr>
              <w:t>RACH-less SCG activation</w:t>
            </w:r>
            <w:r>
              <w:rPr>
                <w:rFonts w:ascii="Arial" w:hAnsi="Arial"/>
                <w:sz w:val="18"/>
                <w:lang w:val="en-US"/>
              </w:rPr>
              <w:t>.</w:t>
            </w:r>
          </w:p>
        </w:tc>
        <w:tc>
          <w:tcPr>
            <w:tcW w:w="99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en-US"/>
              </w:rPr>
            </w:pPr>
            <w:r>
              <w:rPr>
                <w:rFonts w:ascii="Arial" w:hAnsi="Arial"/>
                <w:sz w:val="18"/>
                <w:lang w:val="en-US"/>
              </w:rPr>
              <w:t>FFS</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zh-CN"/>
              </w:rPr>
            </w:pPr>
            <w:r>
              <w:rPr>
                <w:rFonts w:ascii="Arial" w:hAnsi="Arial"/>
                <w:sz w:val="18"/>
                <w:lang w:val="zh-CN"/>
              </w:rPr>
              <w:t>No</w:t>
            </w:r>
          </w:p>
        </w:tc>
        <w:tc>
          <w:tcPr>
            <w:tcW w:w="99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eastAsia="等线"/>
                <w:sz w:val="18"/>
                <w:lang w:val="en-US"/>
              </w:rPr>
            </w:pPr>
            <w:r>
              <w:rPr>
                <w:rFonts w:ascii="Arial" w:hAnsi="Arial"/>
                <w:sz w:val="18"/>
                <w:lang w:val="en-US"/>
              </w:rPr>
              <w:t>Yes</w:t>
            </w:r>
          </w:p>
        </w:tc>
        <w:tc>
          <w:tcPr>
            <w:tcW w:w="162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Cs/>
                <w:sz w:val="18"/>
                <w:lang w:val="zh-CN"/>
              </w:rPr>
            </w:pPr>
            <w:r>
              <w:rPr>
                <w:rFonts w:ascii="Arial" w:hAnsi="Arial"/>
                <w:bCs/>
                <w:sz w:val="18"/>
                <w:lang w:val="en-US"/>
              </w:rPr>
              <w:t>Per UE</w:t>
            </w:r>
          </w:p>
        </w:tc>
        <w:tc>
          <w:tcPr>
            <w:tcW w:w="1268"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zh-CN"/>
              </w:rPr>
            </w:pPr>
            <w:r>
              <w:rPr>
                <w:rFonts w:ascii="Arial" w:hAnsi="Arial"/>
                <w:sz w:val="18"/>
                <w:lang w:val="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614"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Theme="majorHAnsi" w:hAnsiTheme="majorHAnsi" w:cstheme="majorHAnsi"/>
                <w:sz w:val="18"/>
                <w:szCs w:val="18"/>
                <w:lang w:val="zh-CN"/>
              </w:rPr>
            </w:pPr>
            <w:r>
              <w:rPr>
                <w:rFonts w:ascii="Arial" w:hAnsi="Arial"/>
                <w:sz w:val="18"/>
                <w:lang w:val="en-US"/>
              </w:rPr>
              <w:t>x-3</w:t>
            </w:r>
          </w:p>
        </w:tc>
        <w:tc>
          <w:tcPr>
            <w:tcW w:w="1354"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asciiTheme="majorHAnsi" w:hAnsiTheme="majorHAnsi" w:cstheme="majorHAnsi"/>
                <w:sz w:val="18"/>
                <w:szCs w:val="18"/>
                <w:lang w:val="en-US"/>
              </w:rPr>
            </w:pPr>
            <w:r>
              <w:rPr>
                <w:rFonts w:ascii="Arial" w:hAnsi="Arial"/>
                <w:sz w:val="18"/>
                <w:lang w:val="en-US"/>
              </w:rPr>
              <w:t>CPAC</w:t>
            </w:r>
          </w:p>
        </w:tc>
        <w:tc>
          <w:tcPr>
            <w:tcW w:w="189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40" w:after="120" w:afterLines="50"/>
              <w:jc w:val="both"/>
              <w:rPr>
                <w:rFonts w:ascii="Arial" w:hAnsi="Arial" w:eastAsia="MS Mincho"/>
                <w:sz w:val="18"/>
                <w:szCs w:val="24"/>
                <w:lang w:eastAsia="en-GB"/>
              </w:rPr>
            </w:pPr>
            <w:r>
              <w:rPr>
                <w:rFonts w:ascii="Arial" w:hAnsi="Arial" w:eastAsia="MS Mincho"/>
                <w:sz w:val="18"/>
                <w:szCs w:val="24"/>
                <w:lang w:eastAsia="en-GB"/>
              </w:rPr>
              <w:t>CPA for NR-DC</w:t>
            </w:r>
          </w:p>
          <w:p>
            <w:pPr>
              <w:keepNext/>
              <w:keepLines/>
              <w:spacing w:after="0"/>
              <w:rPr>
                <w:rFonts w:ascii="Arial" w:hAnsi="Arial"/>
                <w:sz w:val="18"/>
                <w:lang w:val="en-US"/>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en-US"/>
              </w:rPr>
            </w:pPr>
            <w:r>
              <w:rPr>
                <w:rFonts w:ascii="Arial" w:hAnsi="Arial"/>
                <w:sz w:val="18"/>
                <w:lang w:val="en-US"/>
              </w:rPr>
              <w:t>No</w:t>
            </w:r>
          </w:p>
        </w:tc>
        <w:tc>
          <w:tcPr>
            <w:tcW w:w="99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zh-CN"/>
              </w:rPr>
            </w:pPr>
            <w:r>
              <w:rPr>
                <w:rFonts w:ascii="Arial" w:hAnsi="Arial"/>
                <w:sz w:val="18"/>
                <w:lang w:val="zh-CN"/>
              </w:rPr>
              <w:t>No</w:t>
            </w:r>
          </w:p>
        </w:tc>
        <w:tc>
          <w:tcPr>
            <w:tcW w:w="162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Cs/>
                <w:sz w:val="18"/>
                <w:lang w:val="en-US"/>
              </w:rPr>
            </w:pPr>
            <w:r>
              <w:rPr>
                <w:rFonts w:ascii="Arial" w:hAnsi="Arial"/>
                <w:bCs/>
                <w:sz w:val="18"/>
                <w:lang w:val="en-US"/>
              </w:rPr>
              <w:t>Per UE</w:t>
            </w:r>
          </w:p>
        </w:tc>
        <w:tc>
          <w:tcPr>
            <w:tcW w:w="1268"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zh-CN"/>
              </w:rPr>
            </w:pPr>
            <w:r>
              <w:rPr>
                <w:rFonts w:ascii="Arial" w:hAnsi="Arial"/>
                <w:sz w:val="18"/>
                <w:lang w:val="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614"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zh-CN"/>
              </w:rPr>
            </w:pPr>
            <w:r>
              <w:rPr>
                <w:rFonts w:ascii="Arial" w:hAnsi="Arial"/>
                <w:sz w:val="18"/>
                <w:lang w:val="en-US"/>
              </w:rPr>
              <w:t>x-</w:t>
            </w:r>
            <w:r>
              <w:rPr>
                <w:rFonts w:ascii="Arial" w:hAnsi="Arial"/>
                <w:sz w:val="18"/>
                <w:lang w:val="zh-CN"/>
              </w:rPr>
              <w:t>4</w:t>
            </w:r>
          </w:p>
        </w:tc>
        <w:tc>
          <w:tcPr>
            <w:tcW w:w="1354"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40" w:after="120" w:afterLines="50"/>
              <w:jc w:val="both"/>
              <w:rPr>
                <w:rFonts w:ascii="Arial" w:hAnsi="Arial" w:eastAsia="MS Mincho"/>
                <w:sz w:val="18"/>
                <w:szCs w:val="24"/>
                <w:lang w:eastAsia="en-GB"/>
              </w:rPr>
            </w:pPr>
            <w:r>
              <w:rPr>
                <w:rFonts w:ascii="Arial" w:hAnsi="Arial" w:eastAsia="MS Mincho"/>
                <w:sz w:val="18"/>
                <w:szCs w:val="24"/>
                <w:lang w:eastAsia="en-GB"/>
              </w:rPr>
              <w:t>CPAC</w:t>
            </w:r>
          </w:p>
          <w:p>
            <w:pPr>
              <w:keepNext/>
              <w:keepLines/>
              <w:spacing w:after="0"/>
              <w:rPr>
                <w:rFonts w:ascii="Arial" w:hAnsi="Arial"/>
                <w:sz w:val="18"/>
                <w:lang w:val="zh-CN"/>
              </w:rPr>
            </w:pPr>
          </w:p>
        </w:tc>
        <w:tc>
          <w:tcPr>
            <w:tcW w:w="189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40" w:after="120" w:afterLines="50"/>
              <w:jc w:val="both"/>
              <w:rPr>
                <w:rFonts w:ascii="Arial" w:hAnsi="Arial" w:eastAsia="MS Mincho"/>
                <w:sz w:val="18"/>
                <w:szCs w:val="24"/>
                <w:lang w:eastAsia="en-GB"/>
              </w:rPr>
            </w:pPr>
            <w:r>
              <w:rPr>
                <w:rFonts w:ascii="Arial" w:hAnsi="Arial" w:eastAsia="MS Mincho"/>
                <w:sz w:val="18"/>
                <w:szCs w:val="24"/>
                <w:lang w:eastAsia="en-GB"/>
              </w:rPr>
              <w:t>CPA for (NG)EN-DC</w:t>
            </w:r>
          </w:p>
          <w:p>
            <w:pPr>
              <w:keepNext/>
              <w:keepLines/>
              <w:spacing w:after="0"/>
              <w:rPr>
                <w:rFonts w:ascii="Arial" w:hAnsi="Arial"/>
                <w:sz w:val="18"/>
                <w:lang w:val="en-US"/>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en-US"/>
              </w:rPr>
            </w:pPr>
            <w:r>
              <w:rPr>
                <w:rFonts w:ascii="Arial" w:hAnsi="Arial"/>
                <w:sz w:val="18"/>
                <w:lang w:val="en-US"/>
              </w:rPr>
              <w:t>No</w:t>
            </w:r>
          </w:p>
        </w:tc>
        <w:tc>
          <w:tcPr>
            <w:tcW w:w="99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zh-CN"/>
              </w:rPr>
            </w:pPr>
            <w:r>
              <w:rPr>
                <w:rFonts w:ascii="Arial" w:hAnsi="Arial"/>
                <w:sz w:val="18"/>
                <w:lang w:val="zh-CN"/>
              </w:rPr>
              <w:t>No</w:t>
            </w:r>
          </w:p>
        </w:tc>
        <w:tc>
          <w:tcPr>
            <w:tcW w:w="162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Cs/>
                <w:sz w:val="18"/>
                <w:lang w:val="en-US"/>
              </w:rPr>
            </w:pPr>
            <w:r>
              <w:rPr>
                <w:rFonts w:ascii="Arial" w:hAnsi="Arial"/>
                <w:bCs/>
                <w:sz w:val="18"/>
                <w:lang w:val="en-US"/>
              </w:rPr>
              <w:t>Per UE</w:t>
            </w:r>
          </w:p>
        </w:tc>
        <w:tc>
          <w:tcPr>
            <w:tcW w:w="1268"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zh-CN"/>
              </w:rPr>
            </w:pPr>
            <w:r>
              <w:rPr>
                <w:rFonts w:ascii="Arial" w:hAnsi="Arial"/>
                <w:sz w:val="18"/>
                <w:lang w:val="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614"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zh-CN"/>
              </w:rPr>
            </w:pPr>
            <w:r>
              <w:rPr>
                <w:rFonts w:ascii="Arial" w:hAnsi="Arial"/>
                <w:sz w:val="18"/>
                <w:lang w:val="en-US"/>
              </w:rPr>
              <w:t>x</w:t>
            </w:r>
            <w:r>
              <w:rPr>
                <w:rFonts w:ascii="Arial" w:hAnsi="Arial"/>
                <w:sz w:val="18"/>
                <w:lang w:val="zh-CN"/>
              </w:rPr>
              <w:t>-5</w:t>
            </w:r>
          </w:p>
        </w:tc>
        <w:tc>
          <w:tcPr>
            <w:tcW w:w="1354"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zh-CN"/>
              </w:rPr>
            </w:pPr>
            <w:r>
              <w:rPr>
                <w:rFonts w:ascii="Arial" w:hAnsi="Arial"/>
                <w:sz w:val="18"/>
                <w:lang w:val="en-US"/>
              </w:rPr>
              <w:t>CPAC</w:t>
            </w:r>
          </w:p>
        </w:tc>
        <w:tc>
          <w:tcPr>
            <w:tcW w:w="189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40" w:after="120" w:afterLines="50"/>
              <w:jc w:val="both"/>
              <w:rPr>
                <w:rFonts w:ascii="Arial" w:hAnsi="Arial" w:eastAsia="MS Mincho"/>
                <w:sz w:val="18"/>
                <w:szCs w:val="24"/>
                <w:lang w:eastAsia="en-GB"/>
              </w:rPr>
            </w:pPr>
            <w:r>
              <w:rPr>
                <w:rFonts w:ascii="Arial" w:hAnsi="Arial" w:eastAsia="MS Mincho"/>
                <w:sz w:val="18"/>
                <w:szCs w:val="24"/>
                <w:lang w:eastAsia="en-GB"/>
              </w:rPr>
              <w:t>MN initiated CPC in NR-DC</w:t>
            </w:r>
          </w:p>
          <w:p>
            <w:pPr>
              <w:keepNext/>
              <w:keepLines/>
              <w:spacing w:after="0"/>
              <w:rPr>
                <w:rFonts w:ascii="Arial" w:hAnsi="Arial"/>
                <w:sz w:val="18"/>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en-US"/>
              </w:rPr>
            </w:pPr>
            <w:r>
              <w:rPr>
                <w:rFonts w:ascii="Arial" w:hAnsi="Arial"/>
                <w:sz w:val="18"/>
                <w:lang w:val="en-US"/>
              </w:rPr>
              <w:t>FFS</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en-US"/>
              </w:rPr>
            </w:pPr>
            <w:r>
              <w:rPr>
                <w:rFonts w:ascii="Arial" w:hAnsi="Arial"/>
                <w:sz w:val="18"/>
                <w:lang w:val="en-US"/>
              </w:rPr>
              <w:t>No</w:t>
            </w:r>
          </w:p>
        </w:tc>
        <w:tc>
          <w:tcPr>
            <w:tcW w:w="99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zh-CN"/>
              </w:rPr>
            </w:pPr>
            <w:r>
              <w:rPr>
                <w:rFonts w:ascii="Arial" w:hAnsi="Arial"/>
                <w:sz w:val="18"/>
                <w:lang w:val="zh-CN"/>
              </w:rPr>
              <w:t>No</w:t>
            </w:r>
          </w:p>
        </w:tc>
        <w:tc>
          <w:tcPr>
            <w:tcW w:w="162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Cs/>
                <w:sz w:val="18"/>
                <w:lang w:val="en-US"/>
              </w:rPr>
            </w:pPr>
            <w:r>
              <w:rPr>
                <w:rFonts w:ascii="Arial" w:hAnsi="Arial"/>
                <w:bCs/>
                <w:sz w:val="18"/>
                <w:lang w:val="en-US"/>
              </w:rPr>
              <w:t>Per UE</w:t>
            </w:r>
          </w:p>
        </w:tc>
        <w:tc>
          <w:tcPr>
            <w:tcW w:w="1268"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en-US"/>
              </w:rPr>
            </w:pPr>
            <w:r>
              <w:rPr>
                <w:rFonts w:ascii="Arial" w:hAnsi="Arial"/>
                <w:sz w:val="18"/>
                <w:lang w:val="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614"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Theme="majorHAnsi" w:hAnsiTheme="majorHAnsi" w:cstheme="majorHAnsi"/>
                <w:sz w:val="18"/>
                <w:szCs w:val="18"/>
                <w:lang w:val="zh-CN"/>
              </w:rPr>
            </w:pPr>
            <w:r>
              <w:rPr>
                <w:rFonts w:ascii="Arial" w:hAnsi="Arial"/>
                <w:sz w:val="18"/>
                <w:lang w:val="en-US"/>
              </w:rPr>
              <w:t>x</w:t>
            </w:r>
            <w:r>
              <w:rPr>
                <w:rFonts w:ascii="Arial" w:hAnsi="Arial"/>
                <w:sz w:val="18"/>
                <w:lang w:val="zh-CN"/>
              </w:rPr>
              <w:t>-6</w:t>
            </w:r>
          </w:p>
        </w:tc>
        <w:tc>
          <w:tcPr>
            <w:tcW w:w="1354"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eastAsia="宋体" w:asciiTheme="majorHAnsi" w:hAnsiTheme="majorHAnsi" w:cstheme="majorHAnsi"/>
                <w:sz w:val="18"/>
                <w:szCs w:val="18"/>
                <w:lang w:val="zh-CN"/>
              </w:rPr>
            </w:pPr>
            <w:r>
              <w:rPr>
                <w:rFonts w:ascii="Arial" w:hAnsi="Arial"/>
                <w:sz w:val="18"/>
                <w:lang w:val="en-US"/>
              </w:rPr>
              <w:t>CPAC</w:t>
            </w:r>
          </w:p>
        </w:tc>
        <w:tc>
          <w:tcPr>
            <w:tcW w:w="1897"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40" w:after="120" w:afterLines="50"/>
              <w:jc w:val="both"/>
              <w:rPr>
                <w:rFonts w:ascii="Arial" w:hAnsi="Arial" w:eastAsia="MS Mincho"/>
                <w:sz w:val="18"/>
                <w:szCs w:val="24"/>
                <w:lang w:eastAsia="en-GB"/>
              </w:rPr>
            </w:pPr>
            <w:r>
              <w:rPr>
                <w:rFonts w:ascii="Arial" w:hAnsi="Arial" w:eastAsia="MS Mincho"/>
                <w:sz w:val="18"/>
                <w:szCs w:val="24"/>
                <w:lang w:eastAsia="en-GB"/>
              </w:rPr>
              <w:t>MN initiated CPC in (NG)EN-DC</w:t>
            </w:r>
          </w:p>
          <w:p>
            <w:pPr>
              <w:keepNext/>
              <w:keepLines/>
              <w:spacing w:after="0"/>
              <w:rPr>
                <w:rFonts w:ascii="Arial" w:hAnsi="Arial"/>
                <w:sz w:val="18"/>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en-US"/>
              </w:rPr>
            </w:pPr>
            <w:r>
              <w:rPr>
                <w:rFonts w:ascii="Arial" w:hAnsi="Arial"/>
                <w:sz w:val="18"/>
                <w:lang w:val="en-US"/>
              </w:rPr>
              <w:t>FFS</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zh-CN"/>
              </w:rPr>
            </w:pPr>
            <w:r>
              <w:rPr>
                <w:rFonts w:ascii="Arial" w:hAnsi="Arial"/>
                <w:sz w:val="18"/>
                <w:lang w:val="zh-CN"/>
              </w:rPr>
              <w:t>No</w:t>
            </w:r>
          </w:p>
        </w:tc>
        <w:tc>
          <w:tcPr>
            <w:tcW w:w="99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zh-CN"/>
              </w:rPr>
            </w:pPr>
            <w:r>
              <w:rPr>
                <w:rFonts w:ascii="Arial" w:hAnsi="Arial"/>
                <w:sz w:val="18"/>
                <w:lang w:val="zh-CN"/>
              </w:rPr>
              <w:t>No</w:t>
            </w:r>
          </w:p>
        </w:tc>
        <w:tc>
          <w:tcPr>
            <w:tcW w:w="1620"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Cs/>
                <w:sz w:val="18"/>
                <w:lang w:val="zh-CN"/>
              </w:rPr>
            </w:pPr>
            <w:r>
              <w:rPr>
                <w:rFonts w:ascii="Arial" w:hAnsi="Arial"/>
                <w:bCs/>
                <w:sz w:val="18"/>
                <w:lang w:val="en-US"/>
              </w:rPr>
              <w:t>Per UE</w:t>
            </w:r>
          </w:p>
        </w:tc>
        <w:tc>
          <w:tcPr>
            <w:tcW w:w="1268"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sz w:val="18"/>
                <w:lang w:val="zh-CN"/>
              </w:rPr>
            </w:pPr>
            <w:r>
              <w:rPr>
                <w:rFonts w:ascii="Arial" w:hAnsi="Arial"/>
                <w:sz w:val="18"/>
                <w:lang w:val="zh-CN"/>
              </w:rPr>
              <w:t>Optional with capability signalling</w:t>
            </w:r>
          </w:p>
        </w:tc>
      </w:tr>
    </w:tbl>
    <w:p>
      <w:pPr>
        <w:rPr>
          <w:sz w:val="22"/>
          <w:szCs w:val="22"/>
        </w:rPr>
      </w:pPr>
    </w:p>
    <w:p>
      <w:pPr>
        <w:rPr>
          <w:sz w:val="22"/>
          <w:szCs w:val="22"/>
        </w:rPr>
      </w:pPr>
      <w:r>
        <w:rPr>
          <w:sz w:val="22"/>
          <w:szCs w:val="22"/>
        </w:rPr>
        <w:t>In RAN2#116bis-e meeting, two more agreements were achieved as below:</w:t>
      </w:r>
    </w:p>
    <w:p>
      <w:pPr>
        <w:pStyle w:val="75"/>
      </w:pPr>
      <w:r>
        <w:t>1: condPSCellChange-r16 is not the Prerequisite for R17 MN initiated CPC.</w:t>
      </w:r>
    </w:p>
    <w:p>
      <w:pPr>
        <w:pStyle w:val="27"/>
      </w:pPr>
    </w:p>
    <w:p>
      <w:pPr>
        <w:pStyle w:val="75"/>
      </w:pPr>
      <w:r>
        <w:t>5: RAN2 confirms that per UE CPAC capabilities follow the same approach as for Rel-16 CPC capabilities (granularity etc.)</w:t>
      </w:r>
    </w:p>
    <w:p>
      <w:pPr>
        <w:rPr>
          <w:sz w:val="22"/>
          <w:szCs w:val="22"/>
        </w:rPr>
      </w:pPr>
    </w:p>
    <w:p>
      <w:pPr>
        <w:rPr>
          <w:sz w:val="22"/>
          <w:szCs w:val="22"/>
          <w:lang w:val="en-US"/>
        </w:rPr>
      </w:pPr>
      <w:r>
        <w:rPr>
          <w:sz w:val="22"/>
          <w:szCs w:val="22"/>
          <w:lang w:val="en-US"/>
        </w:rPr>
        <w:t>Meanwhile in the main session, a general agreement on FRX/XDD differentiation was made as follows:</w:t>
      </w:r>
    </w:p>
    <w:p>
      <w:pPr>
        <w:pStyle w:val="75"/>
        <w:rPr>
          <w:lang w:val="sv-SE"/>
        </w:rPr>
      </w:pPr>
      <w:bookmarkStart w:id="2" w:name="_Hlk94721546"/>
      <w:r>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bookmarkEnd w:id="2"/>
    <w:p>
      <w:pPr>
        <w:rPr>
          <w:sz w:val="22"/>
          <w:szCs w:val="22"/>
          <w:lang w:val="en-US"/>
        </w:rPr>
      </w:pPr>
    </w:p>
    <w:p>
      <w:pPr>
        <w:rPr>
          <w:b/>
          <w:bCs/>
          <w:sz w:val="22"/>
          <w:szCs w:val="22"/>
          <w:u w:val="single"/>
        </w:rPr>
      </w:pPr>
      <w:r>
        <w:rPr>
          <w:sz w:val="22"/>
          <w:szCs w:val="22"/>
          <w:lang w:val="en-US"/>
        </w:rPr>
        <w:t>In this offline discussion, we further discuss how to finalize RAN2 parts of UE capabilities of the DCCA WI based on contributions to 8.2.5.</w:t>
      </w:r>
    </w:p>
    <w:p>
      <w:pPr>
        <w:rPr>
          <w:b/>
          <w:bCs/>
          <w:sz w:val="22"/>
          <w:szCs w:val="22"/>
          <w:u w:val="single"/>
        </w:rPr>
      </w:pPr>
    </w:p>
    <w:p>
      <w:pPr>
        <w:pStyle w:val="3"/>
        <w:numPr>
          <w:ilvl w:val="1"/>
          <w:numId w:val="5"/>
        </w:numPr>
      </w:pPr>
      <w:r>
        <w:t xml:space="preserve"> UE capabilities for SCG activation/deactivation</w:t>
      </w:r>
    </w:p>
    <w:p/>
    <w:p>
      <w:pPr>
        <w:pStyle w:val="4"/>
        <w:numPr>
          <w:ilvl w:val="2"/>
          <w:numId w:val="5"/>
        </w:numPr>
      </w:pPr>
      <w:r>
        <w:t>Granularity</w:t>
      </w:r>
    </w:p>
    <w:p/>
    <w:p>
      <w:pPr>
        <w:rPr>
          <w:sz w:val="22"/>
          <w:szCs w:val="22"/>
        </w:rPr>
      </w:pPr>
      <w:r>
        <w:rPr>
          <w:sz w:val="22"/>
          <w:szCs w:val="22"/>
        </w:rPr>
        <w:t>According to the baseline design, UE capabilities for SCG activation/deactivation are per UE capabilities with FRX differentiation. But if we follow the agreement made in main session, we should define them in per band signalling.</w:t>
      </w:r>
    </w:p>
    <w:p>
      <w:pPr>
        <w:rPr>
          <w:sz w:val="22"/>
          <w:szCs w:val="22"/>
        </w:rPr>
      </w:pPr>
      <w:r>
        <w:rPr>
          <w:sz w:val="22"/>
          <w:szCs w:val="22"/>
        </w:rPr>
        <w:t>To implement the new agreements, the approach suggested in [1] is as below:</w:t>
      </w:r>
    </w:p>
    <w:p>
      <w:pPr>
        <w:rPr>
          <w:sz w:val="22"/>
          <w:szCs w:val="22"/>
        </w:rPr>
      </w:pPr>
      <w:r>
        <w:rPr>
          <w:b/>
          <w:bCs/>
          <w:sz w:val="22"/>
          <w:szCs w:val="22"/>
          <w:u w:val="single"/>
        </w:rPr>
        <w:t>Option 1</w:t>
      </w:r>
      <w:r>
        <w:rPr>
          <w:sz w:val="22"/>
          <w:szCs w:val="22"/>
        </w:rPr>
        <w:t>: UE capabilities for SCG activation/deactivation are defined in per band signalling.</w:t>
      </w:r>
    </w:p>
    <w:p>
      <w:pPr>
        <w:rPr>
          <w:sz w:val="22"/>
          <w:szCs w:val="22"/>
        </w:rPr>
      </w:pPr>
      <w:r>
        <w:rPr>
          <w:sz w:val="22"/>
          <w:szCs w:val="22"/>
          <w:lang w:val="en-US"/>
        </w:rPr>
        <w:t xml:space="preserve">For NR-DC case, we can put them in IE </w:t>
      </w:r>
      <w:r>
        <w:rPr>
          <w:i/>
          <w:iCs/>
          <w:sz w:val="22"/>
          <w:szCs w:val="22"/>
          <w:lang w:val="en-US"/>
        </w:rPr>
        <w:t>BandNR.</w:t>
      </w:r>
      <w:r>
        <w:t xml:space="preserve"> </w:t>
      </w:r>
      <w:r>
        <w:rPr>
          <w:sz w:val="22"/>
          <w:szCs w:val="22"/>
          <w:lang w:val="en-US"/>
        </w:rPr>
        <w:t xml:space="preserve">For (NG)EN-DC case, define per band UE capabilities for SCG activation/deactivation in extended </w:t>
      </w:r>
      <w:r>
        <w:rPr>
          <w:i/>
          <w:iCs/>
          <w:sz w:val="22"/>
          <w:szCs w:val="22"/>
          <w:lang w:val="en-US"/>
        </w:rPr>
        <w:t>supportedBandListEN-DC</w:t>
      </w:r>
      <w:r>
        <w:rPr>
          <w:sz w:val="22"/>
          <w:szCs w:val="22"/>
          <w:lang w:val="en-US"/>
        </w:rPr>
        <w:t xml:space="preserve"> of IE </w:t>
      </w:r>
      <w:r>
        <w:rPr>
          <w:i/>
          <w:iCs/>
          <w:sz w:val="22"/>
          <w:szCs w:val="22"/>
          <w:lang w:val="en-US"/>
        </w:rPr>
        <w:t>UE-EUTRA-Capability</w:t>
      </w:r>
      <w:r>
        <w:rPr>
          <w:sz w:val="22"/>
          <w:szCs w:val="22"/>
          <w:lang w:val="en-US"/>
        </w:rPr>
        <w:t>. It also means new running CRs for 36.331 and 36.306 are needed. The exemplary spec changes are shown in [4-7].</w:t>
      </w:r>
    </w:p>
    <w:p>
      <w:pPr>
        <w:rPr>
          <w:sz w:val="22"/>
          <w:szCs w:val="22"/>
        </w:rPr>
      </w:pPr>
      <w:r>
        <w:rPr>
          <w:sz w:val="22"/>
          <w:szCs w:val="22"/>
        </w:rPr>
        <w:t>In [2], another option is proposed as follows:</w:t>
      </w:r>
    </w:p>
    <w:p>
      <w:pPr>
        <w:rPr>
          <w:sz w:val="22"/>
          <w:szCs w:val="22"/>
        </w:rPr>
      </w:pPr>
      <w:r>
        <w:rPr>
          <w:b/>
          <w:bCs/>
          <w:sz w:val="22"/>
          <w:szCs w:val="22"/>
          <w:u w:val="single"/>
        </w:rPr>
        <w:t>Option 2</w:t>
      </w:r>
      <w:r>
        <w:rPr>
          <w:sz w:val="22"/>
          <w:szCs w:val="22"/>
        </w:rPr>
        <w:t>: The Rel-17 SCG (de)activation UE capability is reported per-BC in MRDC-Parameters for EN-DC and CA-ParametersNRDC for NR-DC.</w:t>
      </w:r>
    </w:p>
    <w:p>
      <w:pPr>
        <w:rPr>
          <w:sz w:val="22"/>
          <w:szCs w:val="22"/>
        </w:rPr>
      </w:pPr>
      <w:r>
        <w:rPr>
          <w:sz w:val="22"/>
          <w:szCs w:val="22"/>
        </w:rPr>
        <w:t>The reasoning for option 2 is “For SCG (de)activation, we understand the granularity could be per-UE or per-BC. From signalling point of view, both ways are easy to signal. Per-BC is more flexible and friendly to UE implement/test on per-BC basis.” [2]</w:t>
      </w:r>
    </w:p>
    <w:p>
      <w:pPr>
        <w:rPr>
          <w:sz w:val="22"/>
          <w:szCs w:val="22"/>
        </w:rPr>
      </w:pPr>
    </w:p>
    <w:p>
      <w:pPr>
        <w:rPr>
          <w:b/>
          <w:bCs/>
          <w:sz w:val="22"/>
          <w:szCs w:val="22"/>
        </w:rPr>
      </w:pPr>
      <w:r>
        <w:rPr>
          <w:b/>
          <w:bCs/>
          <w:sz w:val="22"/>
          <w:szCs w:val="22"/>
        </w:rPr>
        <w:t>Question 1: Regarding the granularity of UE capabilities for SCG activation/deactivation, which option is agreeable?</w:t>
      </w:r>
    </w:p>
    <w:p>
      <w:pPr>
        <w:rPr>
          <w:b/>
          <w:bCs/>
          <w:sz w:val="22"/>
          <w:szCs w:val="22"/>
        </w:rPr>
      </w:pPr>
      <w:r>
        <w:rPr>
          <w:b/>
          <w:bCs/>
          <w:sz w:val="22"/>
          <w:szCs w:val="22"/>
        </w:rPr>
        <w:t xml:space="preserve">Option 1: per band. </w:t>
      </w:r>
      <w:r>
        <w:rPr>
          <w:sz w:val="22"/>
          <w:szCs w:val="22"/>
        </w:rPr>
        <w:t>Originally it is per UE with FRX differentiation, but it has to be changed to per band according to the latest agreement made in main session.</w:t>
      </w:r>
    </w:p>
    <w:p>
      <w:pPr>
        <w:rPr>
          <w:b/>
          <w:bCs/>
          <w:sz w:val="22"/>
          <w:szCs w:val="22"/>
        </w:rPr>
      </w:pPr>
      <w:r>
        <w:rPr>
          <w:b/>
          <w:bCs/>
          <w:sz w:val="22"/>
          <w:szCs w:val="22"/>
        </w:rPr>
        <w:t>Option 2: per BC as proposed in [2].</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option 1 or 2</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O</w:t>
            </w:r>
            <w:r>
              <w:rPr>
                <w:rFonts w:eastAsia="宋体"/>
                <w:lang w:eastAsia="zh-CN"/>
              </w:rPr>
              <w:t>PPO</w:t>
            </w:r>
          </w:p>
        </w:tc>
        <w:tc>
          <w:tcPr>
            <w:tcW w:w="1739" w:type="dxa"/>
          </w:tcPr>
          <w:p>
            <w:pPr>
              <w:rPr>
                <w:rFonts w:eastAsia="宋体"/>
                <w:lang w:eastAsia="zh-CN"/>
              </w:rPr>
            </w:pPr>
            <w:r>
              <w:rPr>
                <w:rFonts w:eastAsia="宋体"/>
                <w:lang w:eastAsia="zh-CN"/>
              </w:rPr>
              <w:t>Option 2</w:t>
            </w:r>
          </w:p>
        </w:tc>
        <w:tc>
          <w:tcPr>
            <w:tcW w:w="6480" w:type="dxa"/>
          </w:tcPr>
          <w:p>
            <w:pPr>
              <w:pStyle w:val="46"/>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Option 1 or Option 2</w:t>
            </w:r>
          </w:p>
        </w:tc>
        <w:tc>
          <w:tcPr>
            <w:tcW w:w="6480" w:type="dxa"/>
          </w:tcPr>
          <w:p>
            <w:pPr>
              <w:pStyle w:val="46"/>
              <w:rPr>
                <w:rFonts w:eastAsiaTheme="minorEastAsia"/>
              </w:rPr>
            </w:pPr>
            <w:r>
              <w:rPr>
                <w:rFonts w:eastAsiaTheme="minorEastAsia"/>
              </w:rPr>
              <w:t>Per-band is preferable for simplicity, but we are fine with Option 2 also, which gives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ko-KR"/>
              </w:rPr>
              <w:t xml:space="preserve">Samsung </w:t>
            </w:r>
          </w:p>
        </w:tc>
        <w:tc>
          <w:tcPr>
            <w:tcW w:w="1739" w:type="dxa"/>
          </w:tcPr>
          <w:p>
            <w:pPr>
              <w:rPr>
                <w:rFonts w:eastAsiaTheme="minorEastAsia"/>
              </w:rPr>
            </w:pPr>
            <w:r>
              <w:rPr>
                <w:lang w:eastAsia="ko-KR"/>
              </w:rPr>
              <w:t>Opt 2</w:t>
            </w:r>
          </w:p>
        </w:tc>
        <w:tc>
          <w:tcPr>
            <w:tcW w:w="6480" w:type="dxa"/>
          </w:tcPr>
          <w:p>
            <w:pPr>
              <w:rPr>
                <w:rFonts w:eastAsiaTheme="minorEastAsia"/>
              </w:rPr>
            </w:pPr>
            <w:r>
              <w:rPr>
                <w:lang w:eastAsia="ko-KR"/>
              </w:rPr>
              <w:t>Per BS is safe and flexible to the UE test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Option 1</w:t>
            </w:r>
          </w:p>
        </w:tc>
        <w:tc>
          <w:tcPr>
            <w:tcW w:w="6480" w:type="dxa"/>
          </w:tcPr>
          <w:p>
            <w:pPr>
              <w:rPr>
                <w:rFonts w:eastAsiaTheme="minorEastAsia"/>
              </w:rPr>
            </w:pPr>
            <w:r>
              <w:rPr>
                <w:rFonts w:eastAsiaTheme="minorEastAsia"/>
              </w:rPr>
              <w:t xml:space="preserve">Just for clarification – intention is the allow signaling per band /band combination but UE needs to set value unimously for whole FRX? </w:t>
            </w:r>
          </w:p>
          <w:p>
            <w:pPr>
              <w:rPr>
                <w:rFonts w:eastAsiaTheme="minorEastAsia"/>
              </w:rPr>
            </w:pPr>
          </w:p>
          <w:p>
            <w:pPr>
              <w:rPr>
                <w:rFonts w:eastAsiaTheme="minorEastAsia"/>
                <w:highlight w:val="yellow"/>
              </w:rPr>
            </w:pPr>
            <w:r>
              <w:rPr>
                <w:rFonts w:eastAsiaTheme="minorEastAsia"/>
              </w:rPr>
              <w:t>Why would SCello bands matter for PSCell deactivation? So option 2 seems quite odd choice all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lang w:eastAsia="ko-KR"/>
              </w:rPr>
            </w:pPr>
          </w:p>
        </w:tc>
        <w:tc>
          <w:tcPr>
            <w:tcW w:w="1739" w:type="dxa"/>
          </w:tcPr>
          <w:p>
            <w:pPr>
              <w:rPr>
                <w:lang w:eastAsia="ko-KR"/>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Pr>
        <w:rPr>
          <w:sz w:val="22"/>
          <w:szCs w:val="22"/>
        </w:rPr>
      </w:pPr>
    </w:p>
    <w:p>
      <w:pPr>
        <w:rPr>
          <w:sz w:val="22"/>
          <w:szCs w:val="22"/>
        </w:rPr>
      </w:pPr>
      <w:r>
        <w:rPr>
          <w:sz w:val="22"/>
          <w:szCs w:val="22"/>
        </w:rPr>
        <w:t>If option 1 is agreed, one issue which still needs to be resolved is that UE can only support SCG activation/deactivation when UE supports SCG activation/deactivation in all bands of this SCG. The reason is that when one SCG is activated or deactivated, PSCell and all SCells are supposed to be activated or deactivated together, so UE should support SCG activation/deactivation in every band of this SCG.</w:t>
      </w:r>
    </w:p>
    <w:p>
      <w:pPr>
        <w:rPr>
          <w:b/>
          <w:bCs/>
          <w:sz w:val="22"/>
          <w:szCs w:val="22"/>
        </w:rPr>
      </w:pPr>
      <w:r>
        <w:rPr>
          <w:b/>
          <w:bCs/>
          <w:sz w:val="22"/>
          <w:szCs w:val="22"/>
        </w:rPr>
        <w:t>Question 2: If option 1 in Q1 is adopted, do you further agree to the following proposal:</w:t>
      </w:r>
    </w:p>
    <w:p>
      <w:pPr>
        <w:rPr>
          <w:b/>
          <w:bCs/>
          <w:sz w:val="22"/>
          <w:szCs w:val="22"/>
        </w:rPr>
      </w:pPr>
      <w:r>
        <w:rPr>
          <w:b/>
          <w:bCs/>
          <w:sz w:val="22"/>
          <w:szCs w:val="22"/>
        </w:rPr>
        <w:t>RAN2 to confirm that UE can only support activation/deactivation of one SCG when UE supports SCG activation/deactivation in all bands of this SCG.</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 or 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Y</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N</w:t>
            </w:r>
          </w:p>
        </w:tc>
        <w:tc>
          <w:tcPr>
            <w:tcW w:w="6480" w:type="dxa"/>
          </w:tcPr>
          <w:p>
            <w:pPr>
              <w:rPr>
                <w:rFonts w:eastAsiaTheme="minorEastAsia"/>
              </w:rPr>
            </w:pPr>
            <w:r>
              <w:rPr>
                <w:rFonts w:eastAsiaTheme="minorEastAsia"/>
              </w:rPr>
              <w:t>Deactivation only concerns PSCell – why would scell band affect PSCell deactivation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p>
        </w:tc>
        <w:tc>
          <w:tcPr>
            <w:tcW w:w="1739" w:type="dxa"/>
          </w:tcPr>
          <w:p>
            <w:pPr>
              <w:rPr>
                <w:lang w:eastAsia="ko-KR"/>
              </w:rPr>
            </w:pPr>
          </w:p>
        </w:tc>
        <w:tc>
          <w:tcPr>
            <w:tcW w:w="64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lang w:eastAsia="zh-CN"/>
              </w:rPr>
            </w:pPr>
          </w:p>
        </w:tc>
        <w:tc>
          <w:tcPr>
            <w:tcW w:w="64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rPr>
          <w:sz w:val="22"/>
          <w:szCs w:val="22"/>
        </w:rPr>
      </w:pPr>
    </w:p>
    <w:p>
      <w:pPr>
        <w:pStyle w:val="4"/>
        <w:numPr>
          <w:ilvl w:val="2"/>
          <w:numId w:val="5"/>
        </w:numPr>
      </w:pPr>
      <w:r>
        <w:t>Resume and Reconfiguration</w:t>
      </w:r>
    </w:p>
    <w:p>
      <w:pPr>
        <w:rPr>
          <w:sz w:val="22"/>
          <w:szCs w:val="22"/>
        </w:rPr>
      </w:pPr>
    </w:p>
    <w:p>
      <w:pPr>
        <w:rPr>
          <w:sz w:val="22"/>
          <w:szCs w:val="22"/>
        </w:rPr>
      </w:pPr>
      <w:r>
        <w:rPr>
          <w:sz w:val="22"/>
          <w:szCs w:val="22"/>
        </w:rPr>
        <w:t>Regarding whether to have separate UE capabilities for SCG (de)activation in Resume and Reconfiguration cases, companies’ views are as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b/>
                <w:bCs/>
                <w:sz w:val="22"/>
                <w:szCs w:val="22"/>
              </w:rPr>
            </w:pPr>
            <w:r>
              <w:rPr>
                <w:sz w:val="22"/>
                <w:szCs w:val="22"/>
              </w:rPr>
              <w:t xml:space="preserve">[1] </w:t>
            </w:r>
            <w:r>
              <w:rPr>
                <w:b/>
                <w:bCs/>
                <w:sz w:val="22"/>
                <w:szCs w:val="22"/>
              </w:rPr>
              <w:t>Proposal 3: For both (NG)EN-DC and NR-DC, have separate capabilities for Activation/Deactivation of SCG in Resume and Reconfiguration cases.</w:t>
            </w:r>
          </w:p>
          <w:p>
            <w:r>
              <w:rPr>
                <w:sz w:val="22"/>
                <w:szCs w:val="22"/>
              </w:rPr>
              <w:t xml:space="preserve">[2] </w:t>
            </w:r>
            <w:r>
              <w:rPr>
                <w:b/>
                <w:bCs/>
                <w:sz w:val="22"/>
                <w:szCs w:val="22"/>
              </w:rPr>
              <w:t>P4: define separate bits for SCG (de)activation in RRCResume and RRCReconfiguration message.</w:t>
            </w:r>
          </w:p>
          <w:p>
            <w:pPr>
              <w:rPr>
                <w:sz w:val="22"/>
                <w:szCs w:val="22"/>
              </w:rPr>
            </w:pPr>
            <w:r>
              <w:rPr>
                <w:sz w:val="22"/>
                <w:szCs w:val="22"/>
              </w:rPr>
              <w:t xml:space="preserve">[3] </w:t>
            </w:r>
            <w:r>
              <w:rPr>
                <w:b/>
                <w:bCs/>
                <w:sz w:val="22"/>
                <w:szCs w:val="22"/>
              </w:rPr>
              <w:t>Proposal 3</w:t>
            </w:r>
            <w:r>
              <w:rPr>
                <w:b/>
                <w:bCs/>
                <w:sz w:val="22"/>
                <w:szCs w:val="22"/>
              </w:rPr>
              <w:tab/>
            </w:r>
            <w:r>
              <w:rPr>
                <w:b/>
                <w:bCs/>
                <w:sz w:val="22"/>
                <w:szCs w:val="22"/>
              </w:rPr>
              <w:t>If the UE indicates support of SCG activation/deactivation, it implies support of the feature for both RRC Resume (if the according Rel-16 capabilities for SCG resume are supported) and RRC Reconfiguration.</w:t>
            </w:r>
          </w:p>
        </w:tc>
      </w:tr>
    </w:tbl>
    <w:p>
      <w:pPr>
        <w:rPr>
          <w:sz w:val="22"/>
          <w:szCs w:val="22"/>
        </w:rPr>
      </w:pPr>
    </w:p>
    <w:p>
      <w:pPr>
        <w:rPr>
          <w:sz w:val="22"/>
          <w:szCs w:val="22"/>
        </w:rPr>
      </w:pPr>
      <w:r>
        <w:rPr>
          <w:sz w:val="22"/>
          <w:szCs w:val="22"/>
        </w:rPr>
        <w:t>And besides the reason why to define separate UE capabilities, more description is provided on why they can be combined into one UE capability in [3] as follows: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2"/>
            </w:pPr>
            <w:r>
              <w:rPr>
                <w:sz w:val="22"/>
                <w:szCs w:val="22"/>
              </w:rPr>
              <w:t xml:space="preserve">Another aspect to be considered is whether to introduce separate capabilities for activation/deactivation of SCG in RRC Resume and RRC Reconfiguration cases. It has been raised in RAN2#116 that this discussion would be similar to the discussion held on SCell activation in Rel-16 (where it was decided to have separate UE capabilities for RRC Resume and RRC Reconfiguration), and thus we should do the same for SCG activation/deactivation. It should be noted, however, that for SCell activation upon resume (compared to SCell activation upon RRC reconfiguration), there is a clear new feature being triggered i.e. the UE must be able to activate SCells upon receiving an </w:t>
            </w:r>
            <w:r>
              <w:rPr>
                <w:i/>
                <w:iCs/>
                <w:sz w:val="22"/>
                <w:szCs w:val="22"/>
              </w:rPr>
              <w:t>RRCResume</w:t>
            </w:r>
            <w:r>
              <w:rPr>
                <w:sz w:val="22"/>
                <w:szCs w:val="22"/>
              </w:rPr>
              <w:t xml:space="preserve"> message. However, for SCG case, from the legacy Rel-16 behaviour, the UE should already be able to have the SCG activated upon resuming, i.e. if it indicates support for resumeWithStoredSCG-r16.Note that the term “activate SCG” only makes sense if the SCG was previously deactivated, otherwise, an activated SCG is essentially just a regular SCG. Therefore, we cannot follow the same approach as done for SCell activation, considering that the UE should already be able to support SCG activation upon resuming. We could at most cover with a new feature on resume “the UE support for keeping the SCG deactivated upon resuming”; but the activation is already given by resumeWithStoredSCG-r16. Hence, it is simpler to just follow one capability for RRC configuration and RRC resume in general. The support for resume would further depend on whether the UE reported the Rel-16 capabilities for SCG resume.</w:t>
            </w:r>
          </w:p>
        </w:tc>
      </w:tr>
    </w:tbl>
    <w:p>
      <w:pPr>
        <w:rPr>
          <w:sz w:val="22"/>
          <w:szCs w:val="22"/>
        </w:rPr>
      </w:pPr>
    </w:p>
    <w:p>
      <w:pPr>
        <w:rPr>
          <w:b/>
          <w:bCs/>
          <w:sz w:val="22"/>
          <w:szCs w:val="22"/>
        </w:rPr>
      </w:pPr>
      <w:r>
        <w:rPr>
          <w:b/>
          <w:bCs/>
          <w:sz w:val="22"/>
          <w:szCs w:val="22"/>
        </w:rPr>
        <w:t>Question 3: Whether to define separate capabilities for SCG (de)activation in RRC Resume and RRC Reconfiguration cases?</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 or 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O</w:t>
            </w:r>
            <w:r>
              <w:rPr>
                <w:rFonts w:eastAsia="宋体"/>
                <w:lang w:eastAsia="zh-CN"/>
              </w:rPr>
              <w:t>PPO</w:t>
            </w:r>
          </w:p>
        </w:tc>
        <w:tc>
          <w:tcPr>
            <w:tcW w:w="1739" w:type="dxa"/>
          </w:tcPr>
          <w:p>
            <w:pPr>
              <w:rPr>
                <w:rFonts w:eastAsia="宋体"/>
                <w:lang w:eastAsia="zh-CN"/>
              </w:rPr>
            </w:pPr>
            <w:r>
              <w:rPr>
                <w:rFonts w:eastAsia="宋体"/>
                <w:lang w:eastAsia="zh-CN"/>
              </w:rPr>
              <w:t>no strong opinion</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Y</w:t>
            </w:r>
          </w:p>
        </w:tc>
        <w:tc>
          <w:tcPr>
            <w:tcW w:w="6480" w:type="dxa"/>
          </w:tcPr>
          <w:p>
            <w:pPr>
              <w:rPr>
                <w:rFonts w:eastAsiaTheme="minorEastAsia"/>
              </w:rPr>
            </w:pPr>
            <w:r>
              <w:rPr>
                <w:rFonts w:eastAsiaTheme="minorEastAsia"/>
              </w:rPr>
              <w:t>Resume with stored SCG is a different concept where SCG configuration is restored upon RRC resume. It seems not to be relevant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r>
              <w:rPr>
                <w:lang w:eastAsia="ko-KR"/>
              </w:rPr>
              <w:t>Samsung</w:t>
            </w:r>
            <w:r>
              <w:rPr>
                <w:rFonts w:hint="eastAsia"/>
                <w:lang w:eastAsia="ko-KR"/>
              </w:rPr>
              <w:t xml:space="preserve"> </w:t>
            </w:r>
          </w:p>
        </w:tc>
        <w:tc>
          <w:tcPr>
            <w:tcW w:w="1739" w:type="dxa"/>
          </w:tcPr>
          <w:p>
            <w:pPr>
              <w:rPr>
                <w:lang w:eastAsia="ko-KR"/>
              </w:rPr>
            </w:pPr>
            <w:r>
              <w:rPr>
                <w:lang w:eastAsia="ko-KR"/>
              </w:rPr>
              <w:t>N</w:t>
            </w:r>
            <w:r>
              <w:rPr>
                <w:rFonts w:hint="eastAsia"/>
                <w:lang w:eastAsia="ko-KR"/>
              </w:rPr>
              <w:t xml:space="preserve">o </w:t>
            </w:r>
          </w:p>
        </w:tc>
        <w:tc>
          <w:tcPr>
            <w:tcW w:w="6480" w:type="dxa"/>
          </w:tcPr>
          <w:p>
            <w:pPr>
              <w:rPr>
                <w:rFonts w:eastAsiaTheme="minorEastAsia"/>
              </w:rPr>
            </w:pPr>
            <w:r>
              <w:rPr>
                <w:rFonts w:eastAsiaTheme="minorEastAsia"/>
              </w:rPr>
              <w:t>We think that it can be configured by either RRCResume or RRCReconfiguration if UE supports SCG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N</w:t>
            </w:r>
          </w:p>
        </w:tc>
        <w:tc>
          <w:tcPr>
            <w:tcW w:w="6480" w:type="dxa"/>
          </w:tcPr>
          <w:p>
            <w:pPr>
              <w:rPr>
                <w:rFonts w:eastAsiaTheme="minorEastAsia"/>
                <w:highlight w:val="yellow"/>
              </w:rPr>
            </w:pPr>
            <w:r>
              <w:rPr>
                <w:rFonts w:eastAsiaTheme="minorEastAsia"/>
              </w:rPr>
              <w:t>It would be quite odd to e.g. only support RRC_INACTIVE deactivation but not RRC_IDLE. What is the real difference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bCs/>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b/>
                <w:bCs/>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rPr>
          <w:sz w:val="22"/>
          <w:szCs w:val="22"/>
        </w:rPr>
      </w:pPr>
    </w:p>
    <w:p>
      <w:pPr>
        <w:pStyle w:val="4"/>
        <w:numPr>
          <w:ilvl w:val="2"/>
          <w:numId w:val="5"/>
        </w:numPr>
      </w:pPr>
      <w:r>
        <w:t>RACH-less SCG activation</w:t>
      </w:r>
    </w:p>
    <w:p>
      <w:pPr>
        <w:rPr>
          <w:sz w:val="22"/>
          <w:szCs w:val="22"/>
        </w:rPr>
      </w:pPr>
    </w:p>
    <w:p>
      <w:pPr>
        <w:rPr>
          <w:sz w:val="22"/>
          <w:szCs w:val="22"/>
        </w:rPr>
      </w:pPr>
      <w:r>
        <w:rPr>
          <w:sz w:val="22"/>
          <w:szCs w:val="22"/>
        </w:rPr>
        <w:t>In the baseline design, we have a separate UE capability for RACH-less SCG activation, and we still have an FFS on whether to specify UE capability for RLM/BFD on deactivated SCG is the prerequisite for the support of RACH-less SCG activation.</w:t>
      </w:r>
    </w:p>
    <w:p>
      <w:pPr>
        <w:rPr>
          <w:sz w:val="22"/>
          <w:szCs w:val="22"/>
        </w:rPr>
      </w:pPr>
      <w:r>
        <w:rPr>
          <w:sz w:val="22"/>
          <w:szCs w:val="22"/>
        </w:rPr>
        <w:t>In this aspect, companies’ proposals are as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Theme="minorEastAsia"/>
                <w:b/>
                <w:sz w:val="22"/>
                <w:szCs w:val="22"/>
              </w:rPr>
            </w:pPr>
            <w:r>
              <w:rPr>
                <w:sz w:val="22"/>
                <w:szCs w:val="22"/>
              </w:rPr>
              <w:t xml:space="preserve">[2] </w:t>
            </w:r>
            <w:r>
              <w:rPr>
                <w:rFonts w:hint="eastAsia" w:eastAsiaTheme="minorEastAsia"/>
                <w:b/>
                <w:sz w:val="22"/>
                <w:szCs w:val="22"/>
              </w:rPr>
              <w:t>P</w:t>
            </w:r>
            <w:r>
              <w:rPr>
                <w:rFonts w:eastAsiaTheme="minorEastAsia"/>
                <w:b/>
                <w:sz w:val="22"/>
                <w:szCs w:val="22"/>
              </w:rPr>
              <w:t>roposal 5: In addition to the basic capability, define the optional capability for the following components:</w:t>
            </w:r>
          </w:p>
          <w:p>
            <w:pPr>
              <w:pStyle w:val="28"/>
              <w:numPr>
                <w:ilvl w:val="0"/>
                <w:numId w:val="7"/>
              </w:numPr>
              <w:overflowPunct w:val="0"/>
              <w:autoSpaceDE w:val="0"/>
              <w:autoSpaceDN w:val="0"/>
              <w:adjustRightInd w:val="0"/>
              <w:contextualSpacing w:val="0"/>
              <w:textAlignment w:val="baseline"/>
              <w:rPr>
                <w:rFonts w:eastAsiaTheme="minorEastAsia"/>
                <w:b/>
                <w:sz w:val="22"/>
                <w:szCs w:val="22"/>
              </w:rPr>
            </w:pPr>
            <w:r>
              <w:rPr>
                <w:rFonts w:eastAsiaTheme="minorEastAsia"/>
                <w:b/>
                <w:sz w:val="22"/>
                <w:szCs w:val="22"/>
              </w:rPr>
              <w:t>RACH-less SCG activation;</w:t>
            </w:r>
          </w:p>
          <w:p>
            <w:pPr>
              <w:pStyle w:val="28"/>
              <w:numPr>
                <w:ilvl w:val="0"/>
                <w:numId w:val="7"/>
              </w:numPr>
              <w:overflowPunct w:val="0"/>
              <w:autoSpaceDE w:val="0"/>
              <w:autoSpaceDN w:val="0"/>
              <w:adjustRightInd w:val="0"/>
              <w:contextualSpacing w:val="0"/>
              <w:textAlignment w:val="baseline"/>
              <w:rPr>
                <w:rFonts w:eastAsiaTheme="minorEastAsia"/>
                <w:b/>
                <w:sz w:val="22"/>
                <w:szCs w:val="22"/>
              </w:rPr>
            </w:pPr>
            <w:r>
              <w:rPr>
                <w:rFonts w:eastAsiaTheme="minorEastAsia"/>
                <w:b/>
                <w:sz w:val="22"/>
                <w:szCs w:val="22"/>
              </w:rPr>
              <w:t>RLM/BFD on deactivated SCG, which is not the prerequisite of RACH-less SCG activation.</w:t>
            </w:r>
          </w:p>
          <w:p>
            <w:pPr>
              <w:rPr>
                <w:rFonts w:eastAsiaTheme="minorEastAsia"/>
                <w:b/>
                <w:sz w:val="22"/>
                <w:szCs w:val="22"/>
              </w:rPr>
            </w:pPr>
            <w:r>
              <w:rPr>
                <w:sz w:val="22"/>
                <w:szCs w:val="22"/>
              </w:rPr>
              <w:t xml:space="preserve">[3] </w:t>
            </w:r>
            <w:r>
              <w:rPr>
                <w:rFonts w:eastAsiaTheme="minorEastAsia"/>
                <w:b/>
                <w:sz w:val="22"/>
                <w:szCs w:val="22"/>
              </w:rPr>
              <w:t>Proposal 1</w:t>
            </w:r>
            <w:r>
              <w:rPr>
                <w:rFonts w:eastAsiaTheme="minorEastAsia"/>
                <w:b/>
                <w:sz w:val="22"/>
                <w:szCs w:val="22"/>
              </w:rPr>
              <w:tab/>
            </w:r>
            <w:r>
              <w:rPr>
                <w:rFonts w:eastAsiaTheme="minorEastAsia"/>
                <w:b/>
                <w:sz w:val="22"/>
                <w:szCs w:val="22"/>
              </w:rPr>
              <w:t>RACH-less SCG activation is part of the basic support of the feature for Activation/Deactivation of SCG.</w:t>
            </w:r>
          </w:p>
          <w:p>
            <w:pPr>
              <w:rPr>
                <w:sz w:val="22"/>
                <w:szCs w:val="22"/>
              </w:rPr>
            </w:pPr>
            <w:r>
              <w:rPr>
                <w:rFonts w:eastAsiaTheme="minorEastAsia"/>
                <w:b/>
                <w:sz w:val="22"/>
                <w:szCs w:val="22"/>
              </w:rPr>
              <w:t>Proposal 2</w:t>
            </w:r>
            <w:r>
              <w:rPr>
                <w:rFonts w:eastAsiaTheme="minorEastAsia"/>
                <w:b/>
                <w:sz w:val="22"/>
                <w:szCs w:val="22"/>
              </w:rPr>
              <w:tab/>
            </w:r>
            <w:r>
              <w:rPr>
                <w:rFonts w:eastAsiaTheme="minorEastAsia"/>
                <w:b/>
                <w:sz w:val="22"/>
                <w:szCs w:val="22"/>
              </w:rPr>
              <w:t>For both FR1 and FR2, the UE support of Activation/Deactivation of SCG depends on the UE support of Rel-15 RLM/BFD capabilities.</w:t>
            </w:r>
          </w:p>
        </w:tc>
      </w:tr>
    </w:tbl>
    <w:p>
      <w:pPr>
        <w:rPr>
          <w:sz w:val="22"/>
          <w:szCs w:val="22"/>
        </w:rPr>
      </w:pPr>
    </w:p>
    <w:p>
      <w:pPr>
        <w:rPr>
          <w:sz w:val="22"/>
          <w:szCs w:val="22"/>
        </w:rPr>
      </w:pPr>
      <w:r>
        <w:rPr>
          <w:sz w:val="22"/>
          <w:szCs w:val="22"/>
        </w:rPr>
        <w:t>Also we need to consider the following agreements made in RAN2#116bis and RAN2#117.</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75"/>
              <w:numPr>
                <w:ilvl w:val="0"/>
                <w:numId w:val="0"/>
              </w:numPr>
            </w:pPr>
            <w:r>
              <w:rPr>
                <w:sz w:val="22"/>
                <w:szCs w:val="22"/>
              </w:rPr>
              <w:t>RAN2#116bis</w:t>
            </w:r>
          </w:p>
          <w:p>
            <w:pPr>
              <w:pStyle w:val="75"/>
            </w:pPr>
            <w:r>
              <w:t>5: Upon reception of a network SCG activation command, the UE shall perform RACH towards the SCG if any of the following condition is true:</w:t>
            </w:r>
          </w:p>
          <w:p>
            <w:pPr>
              <w:pStyle w:val="75"/>
              <w:numPr>
                <w:ilvl w:val="0"/>
                <w:numId w:val="0"/>
              </w:numPr>
              <w:ind w:left="1619"/>
            </w:pPr>
            <w:r>
              <w:t>-</w:t>
            </w:r>
            <w:r>
              <w:tab/>
            </w:r>
            <w:r>
              <w:t>reconfigurationWithSync is included in the SCG activation command</w:t>
            </w:r>
          </w:p>
          <w:p>
            <w:pPr>
              <w:pStyle w:val="75"/>
              <w:numPr>
                <w:ilvl w:val="0"/>
                <w:numId w:val="0"/>
              </w:numPr>
              <w:ind w:left="1619"/>
            </w:pPr>
            <w:r>
              <w:t>-</w:t>
            </w:r>
            <w:r>
              <w:tab/>
            </w:r>
            <w:r>
              <w:t>TA timer for the PSCell is expired</w:t>
            </w:r>
          </w:p>
          <w:p>
            <w:pPr>
              <w:pStyle w:val="75"/>
              <w:numPr>
                <w:ilvl w:val="0"/>
                <w:numId w:val="0"/>
              </w:numPr>
              <w:ind w:left="1619"/>
            </w:pPr>
            <w:r>
              <w:t>-</w:t>
            </w:r>
            <w:r>
              <w:tab/>
            </w:r>
            <w:r>
              <w:t>RLF is declared</w:t>
            </w:r>
          </w:p>
          <w:p>
            <w:pPr>
              <w:pStyle w:val="75"/>
              <w:numPr>
                <w:ilvl w:val="0"/>
                <w:numId w:val="0"/>
              </w:numPr>
              <w:ind w:left="1619"/>
            </w:pPr>
            <w:r>
              <w:t>-</w:t>
            </w:r>
            <w:r>
              <w:tab/>
            </w:r>
            <w:r>
              <w:t>BF is declared</w:t>
            </w:r>
          </w:p>
          <w:p>
            <w:pPr>
              <w:pStyle w:val="75"/>
            </w:pPr>
            <w:r>
              <w:t>7: When the UE is configured to perform RLM/BFD when the SCG is deactivated, upon reception of a network activation command not including reconfigurationWithSync while the TA timer associated with the PSCell is running and BF/RLF is not declared, the UE shall activate the SCG without performing RACH towards the SCG.</w:t>
            </w:r>
          </w:p>
          <w:p>
            <w:pPr>
              <w:pStyle w:val="75"/>
              <w:numPr>
                <w:ilvl w:val="0"/>
                <w:numId w:val="0"/>
              </w:numPr>
              <w:rPr>
                <w:sz w:val="22"/>
                <w:szCs w:val="22"/>
              </w:rPr>
            </w:pPr>
            <w:r>
              <w:rPr>
                <w:sz w:val="22"/>
                <w:szCs w:val="22"/>
              </w:rPr>
              <w:t>RAN2#117</w:t>
            </w:r>
          </w:p>
          <w:p>
            <w:pPr>
              <w:pStyle w:val="75"/>
            </w:pPr>
            <w:r>
              <w:t>5: If the UE is not configured to perform RLM/BFD while the SCG is deactivated, the UE always performs RACH upon receiving an SCG activation command.</w:t>
            </w:r>
          </w:p>
        </w:tc>
      </w:tr>
    </w:tbl>
    <w:p>
      <w:pPr>
        <w:rPr>
          <w:sz w:val="22"/>
          <w:szCs w:val="22"/>
        </w:rPr>
      </w:pPr>
    </w:p>
    <w:p>
      <w:pPr>
        <w:rPr>
          <w:sz w:val="22"/>
          <w:szCs w:val="22"/>
        </w:rPr>
      </w:pPr>
    </w:p>
    <w:p>
      <w:pPr>
        <w:rPr>
          <w:b/>
          <w:bCs/>
          <w:sz w:val="22"/>
          <w:szCs w:val="22"/>
        </w:rPr>
      </w:pPr>
      <w:r>
        <w:rPr>
          <w:b/>
          <w:bCs/>
          <w:sz w:val="22"/>
          <w:szCs w:val="22"/>
        </w:rPr>
        <w:t xml:space="preserve">Question 4: Which option can be agreeable regarding </w:t>
      </w:r>
      <w:r>
        <w:rPr>
          <w:rFonts w:eastAsiaTheme="minorEastAsia"/>
          <w:b/>
          <w:sz w:val="22"/>
          <w:szCs w:val="22"/>
        </w:rPr>
        <w:t>RACH-less SCG activation</w:t>
      </w:r>
      <w:r>
        <w:rPr>
          <w:b/>
          <w:bCs/>
          <w:sz w:val="22"/>
          <w:szCs w:val="22"/>
        </w:rPr>
        <w:t>:</w:t>
      </w:r>
    </w:p>
    <w:p>
      <w:pPr>
        <w:rPr>
          <w:b/>
          <w:bCs/>
          <w:sz w:val="22"/>
          <w:szCs w:val="22"/>
        </w:rPr>
      </w:pPr>
      <w:r>
        <w:rPr>
          <w:b/>
          <w:bCs/>
          <w:sz w:val="22"/>
          <w:szCs w:val="22"/>
        </w:rPr>
        <w:t xml:space="preserve">Option 1: Define the optional capability for </w:t>
      </w:r>
      <w:r>
        <w:rPr>
          <w:rFonts w:eastAsiaTheme="minorEastAsia"/>
          <w:b/>
          <w:sz w:val="22"/>
          <w:szCs w:val="22"/>
        </w:rPr>
        <w:t>RACH-less SCG activation.</w:t>
      </w:r>
    </w:p>
    <w:p>
      <w:pPr>
        <w:rPr>
          <w:b/>
          <w:bCs/>
          <w:sz w:val="22"/>
          <w:szCs w:val="22"/>
        </w:rPr>
      </w:pPr>
      <w:r>
        <w:rPr>
          <w:b/>
          <w:bCs/>
          <w:sz w:val="22"/>
          <w:szCs w:val="22"/>
        </w:rPr>
        <w:t xml:space="preserve">Option 2: </w:t>
      </w:r>
      <w:r>
        <w:rPr>
          <w:rFonts w:eastAsiaTheme="minorEastAsia"/>
          <w:b/>
          <w:sz w:val="22"/>
          <w:szCs w:val="22"/>
        </w:rPr>
        <w:t>RACH-less SCG activation is part of the basic support of the feature for Activation/Deactivation of SCG.</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Option 1 or 2</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O</w:t>
            </w:r>
            <w:r>
              <w:rPr>
                <w:rFonts w:eastAsia="宋体"/>
                <w:lang w:eastAsia="zh-CN"/>
              </w:rPr>
              <w:t>PPO</w:t>
            </w:r>
          </w:p>
        </w:tc>
        <w:tc>
          <w:tcPr>
            <w:tcW w:w="1739" w:type="dxa"/>
          </w:tcPr>
          <w:p>
            <w:pPr>
              <w:rPr>
                <w:rFonts w:eastAsia="宋体"/>
                <w:lang w:eastAsia="zh-CN"/>
              </w:rPr>
            </w:pPr>
            <w:r>
              <w:rPr>
                <w:rFonts w:eastAsia="宋体"/>
                <w:lang w:eastAsia="zh-CN"/>
              </w:rPr>
              <w:t>Option 1</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Option 2</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r>
              <w:rPr>
                <w:lang w:eastAsia="ko-KR"/>
              </w:rPr>
              <w:t>Samsung</w:t>
            </w:r>
            <w:r>
              <w:rPr>
                <w:rFonts w:hint="eastAsia"/>
                <w:lang w:eastAsia="ko-KR"/>
              </w:rPr>
              <w:t xml:space="preserve"> </w:t>
            </w:r>
          </w:p>
        </w:tc>
        <w:tc>
          <w:tcPr>
            <w:tcW w:w="1739" w:type="dxa"/>
          </w:tcPr>
          <w:p>
            <w:pPr>
              <w:rPr>
                <w:lang w:eastAsia="ko-KR"/>
              </w:rPr>
            </w:pPr>
            <w:r>
              <w:rPr>
                <w:lang w:eastAsia="ko-KR"/>
              </w:rPr>
              <w:t>O</w:t>
            </w:r>
            <w:r>
              <w:rPr>
                <w:rFonts w:hint="eastAsia"/>
                <w:lang w:eastAsia="ko-KR"/>
              </w:rPr>
              <w:t xml:space="preserve">ption </w:t>
            </w:r>
            <w:r>
              <w:rPr>
                <w:lang w:eastAsia="ko-KR"/>
              </w:rPr>
              <w:t>2</w:t>
            </w:r>
          </w:p>
        </w:tc>
        <w:tc>
          <w:tcPr>
            <w:tcW w:w="6480" w:type="dxa"/>
          </w:tcPr>
          <w:p>
            <w:pPr>
              <w:rPr>
                <w:rFonts w:eastAsiaTheme="minorEastAsia"/>
              </w:rPr>
            </w:pPr>
            <w:r>
              <w:rPr>
                <w:rFonts w:eastAsiaTheme="minorEastAsia"/>
              </w:rPr>
              <w:t>RACH-less SCG activation shows the benefit of activation/deactivation of SCG. Without RACH-less SCG activation, it would be almost the same as legacy addition/release of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Option 2</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rPr>
          <w:sz w:val="22"/>
          <w:szCs w:val="22"/>
        </w:rPr>
      </w:pPr>
    </w:p>
    <w:p>
      <w:pPr>
        <w:rPr>
          <w:b/>
          <w:bCs/>
          <w:sz w:val="22"/>
          <w:szCs w:val="22"/>
        </w:rPr>
      </w:pPr>
      <w:r>
        <w:rPr>
          <w:b/>
          <w:bCs/>
          <w:sz w:val="22"/>
          <w:szCs w:val="22"/>
        </w:rPr>
        <w:t>Question 5: Whether to specify “</w:t>
      </w:r>
      <w:r>
        <w:rPr>
          <w:rFonts w:eastAsiaTheme="minorEastAsia"/>
          <w:b/>
          <w:sz w:val="22"/>
          <w:szCs w:val="22"/>
        </w:rPr>
        <w:t>RLM/BFD on deactivated SCG is the prerequisite of RACH-less SCG activation”</w:t>
      </w:r>
      <w:r>
        <w:rPr>
          <w:b/>
          <w:bCs/>
          <w:sz w:val="22"/>
          <w:szCs w:val="22"/>
        </w:rPr>
        <w:t>?</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 or 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O</w:t>
            </w:r>
            <w:r>
              <w:rPr>
                <w:rFonts w:eastAsia="宋体"/>
                <w:lang w:eastAsia="zh-CN"/>
              </w:rPr>
              <w:t>PPO</w:t>
            </w:r>
          </w:p>
        </w:tc>
        <w:tc>
          <w:tcPr>
            <w:tcW w:w="1739" w:type="dxa"/>
          </w:tcPr>
          <w:p>
            <w:pPr>
              <w:rPr>
                <w:rFonts w:eastAsia="宋体"/>
                <w:lang w:eastAsia="zh-CN"/>
              </w:rPr>
            </w:pPr>
            <w:r>
              <w:rPr>
                <w:rFonts w:eastAsia="宋体"/>
                <w:lang w:eastAsia="zh-CN"/>
              </w:rPr>
              <w:t xml:space="preserve">Yes </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Y</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ko-KR"/>
              </w:rPr>
              <w:t>Samsung</w:t>
            </w:r>
            <w:r>
              <w:rPr>
                <w:rFonts w:hint="eastAsia"/>
                <w:lang w:eastAsia="ko-KR"/>
              </w:rPr>
              <w:t xml:space="preserve"> </w:t>
            </w:r>
          </w:p>
        </w:tc>
        <w:tc>
          <w:tcPr>
            <w:tcW w:w="1739" w:type="dxa"/>
          </w:tcPr>
          <w:p>
            <w:pPr>
              <w:rPr>
                <w:rFonts w:eastAsiaTheme="minorEastAsia"/>
              </w:rPr>
            </w:pPr>
            <w:r>
              <w:rPr>
                <w:lang w:eastAsia="ko-KR"/>
              </w:rPr>
              <w:t>Y</w:t>
            </w:r>
            <w:r>
              <w:rPr>
                <w:rFonts w:hint="eastAsia"/>
                <w:lang w:eastAsia="ko-KR"/>
              </w:rPr>
              <w:t xml:space="preserve">es </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Y</w:t>
            </w:r>
          </w:p>
        </w:tc>
        <w:tc>
          <w:tcPr>
            <w:tcW w:w="6480" w:type="dxa"/>
          </w:tcPr>
          <w:p>
            <w:pPr>
              <w:rPr>
                <w:rFonts w:eastAsiaTheme="minorEastAsia"/>
                <w:highlight w:val="yellow"/>
              </w:rPr>
            </w:pPr>
            <w:r>
              <w:rPr>
                <w:rFonts w:eastAsiaTheme="minorEastAsia"/>
              </w:rPr>
              <w:t>It seems agreement “</w:t>
            </w:r>
            <w:r>
              <w:t>If the UE is not configured to perform RLM/BFD while the SCG is deactivated, the UE always performs RACH upon receiving an SCG activation command</w:t>
            </w:r>
            <w:r>
              <w:rPr>
                <w:rFonts w:eastAsiaTheme="minorEastAsia"/>
              </w:rPr>
              <w:t>” already made the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bl>
    <w:p>
      <w:pPr>
        <w:rPr>
          <w:sz w:val="22"/>
          <w:szCs w:val="22"/>
        </w:rPr>
      </w:pPr>
    </w:p>
    <w:p>
      <w:pPr>
        <w:rPr>
          <w:sz w:val="22"/>
          <w:szCs w:val="22"/>
        </w:rPr>
      </w:pPr>
    </w:p>
    <w:p>
      <w:pPr>
        <w:rPr>
          <w:b/>
          <w:bCs/>
          <w:sz w:val="22"/>
          <w:szCs w:val="22"/>
        </w:rPr>
      </w:pPr>
      <w:r>
        <w:rPr>
          <w:b/>
          <w:bCs/>
          <w:sz w:val="22"/>
          <w:szCs w:val="22"/>
        </w:rPr>
        <w:t xml:space="preserve">Question 6: Regarding the UE capability for </w:t>
      </w:r>
      <w:r>
        <w:rPr>
          <w:rFonts w:eastAsiaTheme="minorEastAsia"/>
          <w:b/>
          <w:sz w:val="22"/>
          <w:szCs w:val="22"/>
        </w:rPr>
        <w:t>RLM/BFD on deactivated SCG, which option can be agreeable</w:t>
      </w:r>
      <w:r>
        <w:rPr>
          <w:b/>
          <w:bCs/>
          <w:sz w:val="22"/>
          <w:szCs w:val="22"/>
        </w:rPr>
        <w:t>:</w:t>
      </w:r>
    </w:p>
    <w:p>
      <w:pPr>
        <w:ind w:left="1530" w:hanging="1530"/>
        <w:rPr>
          <w:b/>
          <w:bCs/>
          <w:sz w:val="22"/>
          <w:szCs w:val="22"/>
        </w:rPr>
      </w:pPr>
      <w:r>
        <w:rPr>
          <w:b/>
          <w:bCs/>
          <w:sz w:val="22"/>
          <w:szCs w:val="22"/>
        </w:rPr>
        <w:t xml:space="preserve">Option 1:            Define separate UE capabilities for </w:t>
      </w:r>
      <w:r>
        <w:rPr>
          <w:rFonts w:eastAsiaTheme="minorEastAsia"/>
          <w:b/>
          <w:sz w:val="22"/>
          <w:szCs w:val="22"/>
        </w:rPr>
        <w:t>RLM/BFD on deactivated SCG</w:t>
      </w:r>
      <w:r>
        <w:rPr>
          <w:b/>
          <w:bCs/>
          <w:sz w:val="22"/>
          <w:szCs w:val="22"/>
        </w:rPr>
        <w:t xml:space="preserve">. </w:t>
      </w:r>
    </w:p>
    <w:p>
      <w:pPr>
        <w:ind w:left="1530" w:hanging="1530"/>
        <w:rPr>
          <w:b/>
          <w:bCs/>
          <w:sz w:val="22"/>
          <w:szCs w:val="22"/>
        </w:rPr>
      </w:pPr>
      <w:r>
        <w:rPr>
          <w:b/>
          <w:bCs/>
          <w:sz w:val="22"/>
          <w:szCs w:val="22"/>
        </w:rPr>
        <w:t xml:space="preserve">Option 2:            Reuse </w:t>
      </w:r>
      <w:r>
        <w:rPr>
          <w:rFonts w:eastAsiaTheme="minorEastAsia"/>
          <w:b/>
          <w:sz w:val="22"/>
          <w:szCs w:val="22"/>
        </w:rPr>
        <w:t>Rel-15 RLM/BFD capabilities</w:t>
      </w:r>
      <w:r>
        <w:rPr>
          <w:b/>
          <w:bCs/>
          <w:sz w:val="22"/>
          <w:szCs w:val="22"/>
        </w:rPr>
        <w:t>.</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Option 1 or 2</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r>
              <w:rPr>
                <w:rFonts w:hint="eastAsia" w:eastAsia="宋体"/>
                <w:lang w:eastAsia="zh-CN"/>
              </w:rPr>
              <w:t>O</w:t>
            </w:r>
            <w:r>
              <w:rPr>
                <w:rFonts w:eastAsia="宋体"/>
                <w:lang w:eastAsia="zh-CN"/>
              </w:rPr>
              <w:t>PPO</w:t>
            </w:r>
          </w:p>
        </w:tc>
        <w:tc>
          <w:tcPr>
            <w:tcW w:w="1739" w:type="dxa"/>
          </w:tcPr>
          <w:p>
            <w:pPr>
              <w:rPr>
                <w:rFonts w:eastAsia="宋体"/>
                <w:lang w:eastAsia="zh-CN"/>
              </w:rPr>
            </w:pPr>
            <w:r>
              <w:rPr>
                <w:rFonts w:eastAsia="宋体"/>
                <w:lang w:eastAsia="zh-CN"/>
              </w:rPr>
              <w:t>Option 2</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Option 2, for simplicity</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ko-KR"/>
              </w:rPr>
              <w:t>Samsung</w:t>
            </w:r>
            <w:r>
              <w:rPr>
                <w:rFonts w:hint="eastAsia"/>
                <w:lang w:eastAsia="ko-KR"/>
              </w:rPr>
              <w:t xml:space="preserve"> </w:t>
            </w:r>
          </w:p>
        </w:tc>
        <w:tc>
          <w:tcPr>
            <w:tcW w:w="1739" w:type="dxa"/>
          </w:tcPr>
          <w:p>
            <w:pPr>
              <w:rPr>
                <w:rFonts w:eastAsiaTheme="minorEastAsia"/>
              </w:rPr>
            </w:pPr>
            <w:r>
              <w:rPr>
                <w:lang w:eastAsia="ko-KR"/>
              </w:rPr>
              <w:t>O</w:t>
            </w:r>
            <w:r>
              <w:rPr>
                <w:rFonts w:hint="eastAsia"/>
                <w:lang w:eastAsia="ko-KR"/>
              </w:rPr>
              <w:t xml:space="preserve">pt </w:t>
            </w:r>
            <w:r>
              <w:rPr>
                <w:lang w:eastAsia="ko-KR"/>
              </w:rPr>
              <w:t>2</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Option 1 (ok with option 2 as well)</w:t>
            </w:r>
          </w:p>
        </w:tc>
        <w:tc>
          <w:tcPr>
            <w:tcW w:w="6480" w:type="dxa"/>
          </w:tcPr>
          <w:p>
            <w:pPr>
              <w:rPr>
                <w:rFonts w:eastAsiaTheme="minorEastAsia"/>
              </w:rPr>
            </w:pPr>
            <w:r>
              <w:rPr>
                <w:rFonts w:eastAsiaTheme="minorEastAsia"/>
              </w:rPr>
              <w:t>RLM/BFD on deactivated SCG seems quite different compared to R15 – Alhtough we would be fine to mandate support as well i.e. option 2 is OK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宋体"/>
                <w:lang w:eastAsia="zh-CN"/>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bCs/>
                <w:lang w:eastAsia="zh-CN"/>
              </w:rPr>
            </w:pPr>
          </w:p>
        </w:tc>
        <w:tc>
          <w:tcPr>
            <w:tcW w:w="1739" w:type="dxa"/>
          </w:tcPr>
          <w:p>
            <w:pPr>
              <w:rPr>
                <w:rFonts w:eastAsia="宋体"/>
                <w:lang w:eastAsia="zh-CN"/>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bl>
    <w:p>
      <w:pPr>
        <w:rPr>
          <w:sz w:val="22"/>
          <w:szCs w:val="22"/>
        </w:rPr>
      </w:pPr>
    </w:p>
    <w:p>
      <w:pPr>
        <w:pStyle w:val="3"/>
        <w:numPr>
          <w:ilvl w:val="1"/>
          <w:numId w:val="5"/>
        </w:numPr>
      </w:pPr>
      <w:r>
        <w:t xml:space="preserve"> UE capabilities for CPAC</w:t>
      </w:r>
    </w:p>
    <w:p>
      <w:pPr>
        <w:rPr>
          <w:sz w:val="22"/>
          <w:szCs w:val="22"/>
        </w:rPr>
      </w:pPr>
    </w:p>
    <w:p>
      <w:pPr>
        <w:pStyle w:val="4"/>
        <w:numPr>
          <w:ilvl w:val="2"/>
          <w:numId w:val="5"/>
        </w:numPr>
      </w:pPr>
      <w:r>
        <w:t>Granularity</w:t>
      </w:r>
    </w:p>
    <w:p>
      <w:pPr>
        <w:rPr>
          <w:sz w:val="22"/>
          <w:szCs w:val="22"/>
        </w:rPr>
      </w:pPr>
    </w:p>
    <w:p>
      <w:pPr>
        <w:rPr>
          <w:sz w:val="22"/>
          <w:szCs w:val="22"/>
        </w:rPr>
      </w:pPr>
      <w:r>
        <w:rPr>
          <w:sz w:val="22"/>
          <w:szCs w:val="22"/>
        </w:rPr>
        <w:t>In RAN2#116bis-e meeting, one agreement was achieved as below:</w:t>
      </w:r>
    </w:p>
    <w:p>
      <w:pPr>
        <w:pStyle w:val="75"/>
      </w:pPr>
      <w:r>
        <w:t xml:space="preserve">5: </w:t>
      </w:r>
      <w:bookmarkStart w:id="3" w:name="_Hlk96869073"/>
      <w:r>
        <w:t>RAN2 confirms that per UE CPAC capabilities follow the same approach as for Rel-16 CPC capabilities (granularity etc.)</w:t>
      </w:r>
      <w:bookmarkEnd w:id="3"/>
    </w:p>
    <w:p>
      <w:pPr>
        <w:rPr>
          <w:sz w:val="22"/>
          <w:szCs w:val="22"/>
        </w:rPr>
      </w:pPr>
    </w:p>
    <w:p>
      <w:pPr>
        <w:rPr>
          <w:sz w:val="22"/>
          <w:szCs w:val="22"/>
        </w:rPr>
      </w:pPr>
      <w:r>
        <w:rPr>
          <w:sz w:val="22"/>
          <w:szCs w:val="22"/>
        </w:rPr>
        <w:t>Considering R16 CPC UE capabilities are defined in per band signalling, to implement the new agreements, the approach suggested in [1] is as below:</w:t>
      </w:r>
    </w:p>
    <w:p>
      <w:pPr>
        <w:rPr>
          <w:sz w:val="22"/>
          <w:szCs w:val="22"/>
        </w:rPr>
      </w:pPr>
      <w:r>
        <w:rPr>
          <w:b/>
          <w:bCs/>
          <w:sz w:val="22"/>
          <w:szCs w:val="22"/>
          <w:u w:val="single"/>
        </w:rPr>
        <w:t>Option 1</w:t>
      </w:r>
      <w:r>
        <w:rPr>
          <w:sz w:val="22"/>
          <w:szCs w:val="22"/>
        </w:rPr>
        <w:t>: UE capabilities for R17 CPC are defined in per band signalling.</w:t>
      </w:r>
    </w:p>
    <w:p>
      <w:pPr>
        <w:rPr>
          <w:sz w:val="22"/>
          <w:szCs w:val="22"/>
          <w:lang w:val="en-US"/>
        </w:rPr>
      </w:pPr>
      <w:r>
        <w:rPr>
          <w:sz w:val="22"/>
          <w:szCs w:val="22"/>
          <w:lang w:val="en-US"/>
        </w:rPr>
        <w:t xml:space="preserve">For NR-DC case, we can put them in IE </w:t>
      </w:r>
      <w:r>
        <w:rPr>
          <w:i/>
          <w:iCs/>
          <w:sz w:val="22"/>
          <w:szCs w:val="22"/>
          <w:lang w:val="en-US"/>
        </w:rPr>
        <w:t>BandNR.</w:t>
      </w:r>
      <w:r>
        <w:t xml:space="preserve"> </w:t>
      </w:r>
      <w:r>
        <w:rPr>
          <w:sz w:val="22"/>
          <w:szCs w:val="22"/>
          <w:lang w:val="en-US"/>
        </w:rPr>
        <w:t xml:space="preserve">For (NG)EN-DC case, define per band UE capabilities for R17 CPC, i.e., MN initiated CPC and SN Initiated inter-SN CPC, in extended </w:t>
      </w:r>
      <w:r>
        <w:rPr>
          <w:i/>
          <w:iCs/>
          <w:sz w:val="22"/>
          <w:szCs w:val="22"/>
          <w:lang w:val="en-US"/>
        </w:rPr>
        <w:t>supportedBandListEN-DC</w:t>
      </w:r>
      <w:r>
        <w:rPr>
          <w:sz w:val="22"/>
          <w:szCs w:val="22"/>
          <w:lang w:val="en-US"/>
        </w:rPr>
        <w:t xml:space="preserve"> of IE </w:t>
      </w:r>
      <w:r>
        <w:rPr>
          <w:i/>
          <w:iCs/>
          <w:sz w:val="22"/>
          <w:szCs w:val="22"/>
          <w:lang w:val="en-US"/>
        </w:rPr>
        <w:t>UE-EUTRA-Capability</w:t>
      </w:r>
      <w:r>
        <w:rPr>
          <w:sz w:val="22"/>
          <w:szCs w:val="22"/>
          <w:lang w:val="en-US"/>
        </w:rPr>
        <w:t>. It also means new running CRs for 36.331 and 36.306 are needed. The exemplary spec changes are shown in [4-7].</w:t>
      </w:r>
    </w:p>
    <w:p>
      <w:pPr>
        <w:rPr>
          <w:sz w:val="22"/>
          <w:szCs w:val="22"/>
          <w:lang w:val="en-US"/>
        </w:rPr>
      </w:pPr>
      <w:r>
        <w:rPr>
          <w:sz w:val="22"/>
          <w:szCs w:val="22"/>
          <w:lang w:val="en-US"/>
        </w:rPr>
        <w:t>And in [2], a per UE CPC UE capability is proposed as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r>
              <w:rPr>
                <w:rFonts w:eastAsiaTheme="minorEastAsia"/>
              </w:rPr>
              <w:t xml:space="preserve">For CPC, considering there is no </w:t>
            </w:r>
            <w:r>
              <w:rPr>
                <w:rFonts w:eastAsiaTheme="minorEastAsia"/>
                <w:i/>
              </w:rPr>
              <w:t>BandNR</w:t>
            </w:r>
            <w:r>
              <w:rPr>
                <w:rFonts w:eastAsiaTheme="minorEastAsia"/>
              </w:rPr>
              <w:t xml:space="preserve"> or similar per-band parameter in MR-DC container, we prefer to report the Rel-17 capability in </w:t>
            </w:r>
            <w:r>
              <w:rPr>
                <w:i/>
              </w:rPr>
              <w:t>MeasAndMobParametersMRDC</w:t>
            </w:r>
            <w:r>
              <w:t xml:space="preserve"> which can be reported in </w:t>
            </w:r>
            <w:r>
              <w:rPr>
                <w:i/>
              </w:rPr>
              <w:t>UE-MRDC-Capability</w:t>
            </w:r>
            <w:r>
              <w:t xml:space="preserve"> container for EN-DC and in </w:t>
            </w:r>
            <w:r>
              <w:rPr>
                <w:i/>
              </w:rPr>
              <w:t>UE-NR-Capability</w:t>
            </w:r>
            <w:r>
              <w:t xml:space="preserve"> (i.e. in </w:t>
            </w:r>
            <w:r>
              <w:rPr>
                <w:i/>
              </w:rPr>
              <w:t>NRDC-Parameters</w:t>
            </w:r>
            <w:r>
              <w:t>) for NR-DC, to enable a unified reporting signalling for EN-DC and NR-DC.</w:t>
            </w:r>
          </w:p>
          <w:p>
            <w:pPr>
              <w:rPr>
                <w:b/>
                <w:iCs/>
              </w:rPr>
            </w:pPr>
            <w:r>
              <w:rPr>
                <w:b/>
              </w:rPr>
              <w:t xml:space="preserve">Proposal 2: Include the Rel-17 CPC UE capability in </w:t>
            </w:r>
            <w:r>
              <w:rPr>
                <w:b/>
                <w:i/>
              </w:rPr>
              <w:t>MeasAndMobParametersMRDC</w:t>
            </w:r>
            <w:r>
              <w:rPr>
                <w:b/>
              </w:rPr>
              <w:t xml:space="preserve"> (reported separately for EN-DC and NR-DC. Separate bits indicate the UE capability of MN-initiated/SN-initiated CPC </w:t>
            </w:r>
            <w:r>
              <w:rPr>
                <w:b/>
                <w:iCs/>
              </w:rPr>
              <w:t>within FDD-FR1 bands/TDD-FR1 bands/TDD-FR2, between FDD-TDD, between FR1 and FR2.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MeasAndMobParametersMRDC-Common-v17xx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condPSCellAdditionChangeParameters-r17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condPSCellChangeMNInvolved-r17              ENUMERATED {mnInitiated, snInitiated, both}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condPSCellChangeMNInvolved-FDDFR1-r17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condPSCellChangeMNInvolved-TDDFR1-r17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condPSCellChangeMNInvolved-TDDFR2-r17       ENUMERATED {supported}    OPTIONAL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&lt;omitted part&gt;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w:t>
            </w:r>
          </w:p>
        </w:tc>
      </w:tr>
    </w:tbl>
    <w:p>
      <w:pPr>
        <w:rPr>
          <w:sz w:val="22"/>
          <w:szCs w:val="22"/>
        </w:rPr>
      </w:pPr>
    </w:p>
    <w:p>
      <w:pPr>
        <w:rPr>
          <w:sz w:val="22"/>
          <w:szCs w:val="22"/>
        </w:rPr>
      </w:pPr>
      <w:r>
        <w:rPr>
          <w:b/>
          <w:bCs/>
          <w:sz w:val="22"/>
          <w:szCs w:val="22"/>
          <w:u w:val="single"/>
        </w:rPr>
        <w:t>Option 2</w:t>
      </w:r>
      <w:r>
        <w:rPr>
          <w:sz w:val="22"/>
          <w:szCs w:val="22"/>
        </w:rPr>
        <w:t>: UE capabilities for R17 CPC are defined in per UE signalling.</w:t>
      </w:r>
    </w:p>
    <w:p>
      <w:pPr>
        <w:rPr>
          <w:sz w:val="22"/>
          <w:szCs w:val="22"/>
        </w:rPr>
      </w:pPr>
      <w:r>
        <w:rPr>
          <w:sz w:val="22"/>
          <w:szCs w:val="22"/>
        </w:rPr>
        <w:t xml:space="preserve">Include the Rel-17 CPC UE capability in </w:t>
      </w:r>
      <w:r>
        <w:rPr>
          <w:i/>
          <w:iCs/>
          <w:sz w:val="22"/>
          <w:szCs w:val="22"/>
        </w:rPr>
        <w:t>MeasAndMobParametersMRDC</w:t>
      </w:r>
      <w:r>
        <w:rPr>
          <w:sz w:val="22"/>
          <w:szCs w:val="22"/>
        </w:rPr>
        <w:t xml:space="preserve"> (reported separately for EN-DC and NR-DC. Separate bits indicate the UE capability of MN-initiated/SN-initiated CPC within FDD-FR1 bands/TDD-FR1 bands/TDD-FR2, between FDD-TDD, between FR1 and FR2.</w:t>
      </w:r>
    </w:p>
    <w:p>
      <w:pPr>
        <w:rPr>
          <w:sz w:val="22"/>
          <w:szCs w:val="22"/>
        </w:rPr>
      </w:pPr>
    </w:p>
    <w:p>
      <w:pPr>
        <w:rPr>
          <w:b/>
          <w:bCs/>
          <w:sz w:val="22"/>
          <w:szCs w:val="22"/>
        </w:rPr>
      </w:pPr>
      <w:r>
        <w:rPr>
          <w:b/>
          <w:bCs/>
          <w:sz w:val="22"/>
          <w:szCs w:val="22"/>
        </w:rPr>
        <w:t>Question 7: Regarding the granularity of UE capabilities for R17 CPC, which option is agreeable?</w:t>
      </w:r>
    </w:p>
    <w:p>
      <w:pPr>
        <w:rPr>
          <w:b/>
          <w:bCs/>
          <w:sz w:val="22"/>
          <w:szCs w:val="22"/>
        </w:rPr>
      </w:pPr>
      <w:r>
        <w:rPr>
          <w:b/>
          <w:bCs/>
          <w:sz w:val="22"/>
          <w:szCs w:val="22"/>
        </w:rPr>
        <w:t xml:space="preserve">Option 1: per band. </w:t>
      </w:r>
      <w:r>
        <w:rPr>
          <w:sz w:val="22"/>
          <w:szCs w:val="22"/>
        </w:rPr>
        <w:t>Follow the same approach as for R16 CPC.</w:t>
      </w:r>
    </w:p>
    <w:p>
      <w:pPr>
        <w:rPr>
          <w:b/>
          <w:bCs/>
          <w:sz w:val="22"/>
          <w:szCs w:val="22"/>
        </w:rPr>
      </w:pPr>
      <w:r>
        <w:rPr>
          <w:b/>
          <w:bCs/>
          <w:sz w:val="22"/>
          <w:szCs w:val="22"/>
        </w:rPr>
        <w:t>Option 2: per UE as proposed by [2].</w:t>
      </w:r>
    </w:p>
    <w:p>
      <w:pPr>
        <w:spacing w:after="0"/>
        <w:rPr>
          <w:b/>
          <w:bCs/>
          <w:sz w:val="22"/>
          <w:szCs w:val="22"/>
        </w:rPr>
      </w:pP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Option 1 or 2</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Option 1</w:t>
            </w:r>
          </w:p>
        </w:tc>
        <w:tc>
          <w:tcPr>
            <w:tcW w:w="6480" w:type="dxa"/>
          </w:tcPr>
          <w:p>
            <w:pPr>
              <w:rPr>
                <w:rFonts w:eastAsiaTheme="minorEastAsia"/>
              </w:rPr>
            </w:pPr>
            <w:r>
              <w:rPr>
                <w:rFonts w:eastAsiaTheme="minorEastAsia"/>
              </w:rPr>
              <w:t>This is in line with the RAN2 #116-bis-e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ko-KR"/>
              </w:rPr>
              <w:t>Samsung</w:t>
            </w:r>
            <w:r>
              <w:rPr>
                <w:rFonts w:hint="eastAsia"/>
                <w:lang w:eastAsia="ko-KR"/>
              </w:rPr>
              <w:t xml:space="preserve"> </w:t>
            </w:r>
          </w:p>
        </w:tc>
        <w:tc>
          <w:tcPr>
            <w:tcW w:w="1739" w:type="dxa"/>
          </w:tcPr>
          <w:p>
            <w:pPr>
              <w:rPr>
                <w:rFonts w:eastAsiaTheme="minorEastAsia"/>
              </w:rPr>
            </w:pPr>
            <w:r>
              <w:rPr>
                <w:lang w:eastAsia="ko-KR"/>
              </w:rPr>
              <w:t>O</w:t>
            </w:r>
            <w:r>
              <w:rPr>
                <w:rFonts w:hint="eastAsia"/>
                <w:lang w:eastAsia="ko-KR"/>
              </w:rPr>
              <w:t xml:space="preserve">pt </w:t>
            </w:r>
            <w:r>
              <w:rPr>
                <w:lang w:eastAsia="ko-KR"/>
              </w:rPr>
              <w:t>1</w:t>
            </w:r>
          </w:p>
        </w:tc>
        <w:tc>
          <w:tcPr>
            <w:tcW w:w="6480" w:type="dxa"/>
          </w:tcPr>
          <w:p>
            <w:pPr>
              <w:rPr>
                <w:rFonts w:eastAsiaTheme="minorEastAsia"/>
              </w:rPr>
            </w:pPr>
            <w:r>
              <w:rPr>
                <w:lang w:eastAsia="ko-KR"/>
              </w:rPr>
              <w:t>W</w:t>
            </w:r>
            <w:r>
              <w:rPr>
                <w:rFonts w:hint="eastAsia"/>
                <w:lang w:eastAsia="ko-KR"/>
              </w:rPr>
              <w:t xml:space="preserve">e </w:t>
            </w:r>
            <w:r>
              <w:rPr>
                <w:lang w:eastAsia="ko-KR"/>
              </w:rPr>
              <w:t xml:space="preserve">think per band as legacy seems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Option 1</w:t>
            </w:r>
          </w:p>
        </w:tc>
        <w:tc>
          <w:tcPr>
            <w:tcW w:w="6480" w:type="dxa"/>
          </w:tcPr>
          <w:p>
            <w:pPr>
              <w:rPr>
                <w:rFonts w:eastAsiaTheme="minorEastAsia"/>
              </w:rPr>
            </w:pPr>
            <w:r>
              <w:rPr>
                <w:rFonts w:eastAsiaTheme="minorEastAsia"/>
              </w:rPr>
              <w:t>This is in line with R16 approach (agreed in the last RAN2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Theme="minorEastAsia"/>
                <w:lang w:val="en-US" w:eastAsia="zh-CN"/>
              </w:rPr>
            </w:pPr>
            <w:r>
              <w:rPr>
                <w:rFonts w:hint="eastAsia" w:eastAsiaTheme="minorEastAsia"/>
                <w:lang w:val="en-US" w:eastAsia="zh-CN"/>
              </w:rPr>
              <w:t>ZTE</w:t>
            </w:r>
          </w:p>
        </w:tc>
        <w:tc>
          <w:tcPr>
            <w:tcW w:w="1739" w:type="dxa"/>
          </w:tcPr>
          <w:p>
            <w:pPr>
              <w:rPr>
                <w:rFonts w:hint="default" w:eastAsiaTheme="minorEastAsia"/>
                <w:lang w:val="en-US" w:eastAsia="zh-CN"/>
              </w:rPr>
            </w:pPr>
            <w:r>
              <w:rPr>
                <w:rFonts w:hint="eastAsia" w:eastAsiaTheme="minorEastAsia"/>
                <w:lang w:val="en-US" w:eastAsia="zh-CN"/>
              </w:rPr>
              <w:t>Option 1</w:t>
            </w:r>
          </w:p>
        </w:tc>
        <w:tc>
          <w:tcPr>
            <w:tcW w:w="6480" w:type="dxa"/>
          </w:tcPr>
          <w:p>
            <w:pPr>
              <w:rPr>
                <w:rFonts w:hint="eastAsia" w:eastAsiaTheme="minorEastAsia"/>
                <w:highlight w:val="yellow"/>
                <w:lang w:val="en-US" w:eastAsia="zh-CN"/>
              </w:rPr>
            </w:pPr>
            <w:r>
              <w:rPr>
                <w:rFonts w:eastAsiaTheme="minorEastAsia"/>
              </w:rPr>
              <w:t>This is in line with the RAN2 #116-bis-e agreement.</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lang w:eastAsia="zh-CN"/>
              </w:rPr>
            </w:pPr>
          </w:p>
        </w:tc>
        <w:tc>
          <w:tcPr>
            <w:tcW w:w="64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lang w:eastAsia="sv-SE"/>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lang w:eastAsia="sv-SE"/>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bl>
    <w:p>
      <w:pPr>
        <w:rPr>
          <w:sz w:val="22"/>
          <w:szCs w:val="22"/>
        </w:rPr>
      </w:pPr>
    </w:p>
    <w:p>
      <w:pPr>
        <w:rPr>
          <w:sz w:val="22"/>
          <w:szCs w:val="22"/>
        </w:rPr>
      </w:pPr>
      <w:r>
        <w:rPr>
          <w:sz w:val="22"/>
          <w:szCs w:val="22"/>
        </w:rPr>
        <w:t>As for the granularity of UE capabilities for R17 CPA, we also have the following options to consider:</w:t>
      </w:r>
    </w:p>
    <w:p>
      <w:pPr>
        <w:rPr>
          <w:sz w:val="22"/>
          <w:szCs w:val="22"/>
        </w:rPr>
      </w:pPr>
      <w:r>
        <w:rPr>
          <w:b/>
          <w:bCs/>
          <w:sz w:val="22"/>
          <w:szCs w:val="22"/>
        </w:rPr>
        <w:t xml:space="preserve">Option 1: per band. </w:t>
      </w:r>
      <w:r>
        <w:rPr>
          <w:sz w:val="22"/>
          <w:szCs w:val="22"/>
        </w:rPr>
        <w:t>Follow the same approach as for R16 CPC, which is in line with the agreement “RAN2 confirms that per UE CPAC capabilities follow the same approach as for Rel-16 CPC capabilities (granularity etc.).”</w:t>
      </w:r>
    </w:p>
    <w:p>
      <w:pPr>
        <w:rPr>
          <w:sz w:val="22"/>
          <w:szCs w:val="22"/>
        </w:rPr>
      </w:pPr>
      <w:r>
        <w:rPr>
          <w:b/>
          <w:bCs/>
          <w:sz w:val="22"/>
          <w:szCs w:val="22"/>
        </w:rPr>
        <w:t xml:space="preserve">Option 2: per BC as proposed by [1]. </w:t>
      </w:r>
      <w:r>
        <w:rPr>
          <w:sz w:val="22"/>
          <w:szCs w:val="22"/>
        </w:rPr>
        <w:t>The corresponding description is as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rPr>
                <w:sz w:val="22"/>
                <w:szCs w:val="22"/>
              </w:rPr>
            </w:pPr>
            <w:r>
              <w:rPr>
                <w:sz w:val="22"/>
                <w:szCs w:val="22"/>
              </w:rPr>
              <w:t xml:space="preserve">For CPA, it should be based on the UE capability of (NG)EN-DC and NR-DC. Since DC related UE capabilities are usually defined as per BC, the CPA UE capabilities should also be defined as per BC. </w:t>
            </w:r>
          </w:p>
          <w:p>
            <w:pPr>
              <w:rPr>
                <w:b/>
                <w:bCs/>
                <w:sz w:val="22"/>
                <w:szCs w:val="22"/>
              </w:rPr>
            </w:pPr>
            <w:r>
              <w:rPr>
                <w:b/>
                <w:bCs/>
                <w:sz w:val="22"/>
                <w:szCs w:val="22"/>
              </w:rPr>
              <w:t>Proposal 6: CPA UE capabilities are defined in per BC signaling.</w:t>
            </w:r>
          </w:p>
        </w:tc>
      </w:tr>
    </w:tbl>
    <w:p>
      <w:pPr>
        <w:rPr>
          <w:b/>
          <w:bCs/>
          <w:sz w:val="22"/>
          <w:szCs w:val="22"/>
        </w:rPr>
      </w:pPr>
    </w:p>
    <w:p>
      <w:pPr>
        <w:rPr>
          <w:b/>
          <w:bCs/>
          <w:sz w:val="22"/>
          <w:szCs w:val="22"/>
        </w:rPr>
      </w:pPr>
      <w:r>
        <w:rPr>
          <w:b/>
          <w:bCs/>
          <w:sz w:val="22"/>
          <w:szCs w:val="22"/>
        </w:rPr>
        <w:t>Option 3: per UE as proposed by [2].</w:t>
      </w:r>
      <w:r>
        <w:rPr>
          <w:sz w:val="22"/>
          <w:szCs w:val="22"/>
        </w:rPr>
        <w:t xml:space="preserve"> The corresponding description is as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sz w:val="22"/>
                <w:szCs w:val="22"/>
              </w:rPr>
            </w:pPr>
            <w:r>
              <w:rPr>
                <w:sz w:val="22"/>
                <w:szCs w:val="22"/>
              </w:rPr>
              <w:t xml:space="preserve">For CPA, as the supported band combination already differentiates different band types, one bit of per-UE capability of CPA can be reported in </w:t>
            </w:r>
            <w:r>
              <w:rPr>
                <w:i/>
                <w:sz w:val="22"/>
                <w:szCs w:val="22"/>
              </w:rPr>
              <w:t>MeasAndMobParametersMRDC</w:t>
            </w:r>
            <w:r>
              <w:rPr>
                <w:sz w:val="22"/>
                <w:szCs w:val="22"/>
              </w:rPr>
              <w:t>.</w:t>
            </w:r>
          </w:p>
          <w:p>
            <w:pPr>
              <w:rPr>
                <w:b/>
              </w:rPr>
            </w:pPr>
            <w:r>
              <w:rPr>
                <w:rFonts w:hint="eastAsia" w:eastAsiaTheme="minorEastAsia"/>
                <w:b/>
                <w:sz w:val="22"/>
                <w:szCs w:val="22"/>
              </w:rPr>
              <w:t>P</w:t>
            </w:r>
            <w:r>
              <w:rPr>
                <w:rFonts w:eastAsiaTheme="minorEastAsia"/>
                <w:b/>
                <w:sz w:val="22"/>
                <w:szCs w:val="22"/>
              </w:rPr>
              <w:t xml:space="preserve">roposal 3: The Rel-17 CPA UE capability is reported in </w:t>
            </w:r>
            <w:r>
              <w:rPr>
                <w:b/>
                <w:i/>
                <w:sz w:val="22"/>
                <w:szCs w:val="22"/>
              </w:rPr>
              <w:t>MeasAndMobParametersMRDC</w:t>
            </w:r>
            <w:r>
              <w:rPr>
                <w:b/>
                <w:sz w:val="22"/>
                <w:szCs w:val="22"/>
              </w:rPr>
              <w:t>, using one bit to indicate the UE supports CPA on all the supported MR-DC band combinations.</w:t>
            </w:r>
          </w:p>
        </w:tc>
      </w:tr>
    </w:tbl>
    <w:p>
      <w:pPr>
        <w:rPr>
          <w:b/>
          <w:bCs/>
          <w:sz w:val="22"/>
          <w:szCs w:val="22"/>
        </w:rPr>
      </w:pPr>
    </w:p>
    <w:p>
      <w:pPr>
        <w:rPr>
          <w:b/>
          <w:bCs/>
          <w:sz w:val="22"/>
          <w:szCs w:val="22"/>
        </w:rPr>
      </w:pPr>
      <w:r>
        <w:rPr>
          <w:b/>
          <w:bCs/>
          <w:sz w:val="22"/>
          <w:szCs w:val="22"/>
        </w:rPr>
        <w:t>Question 8: Regarding the granularity of UE capabilities for R17 CPA, which option is agreeable?</w:t>
      </w:r>
    </w:p>
    <w:p>
      <w:pPr>
        <w:rPr>
          <w:sz w:val="22"/>
          <w:szCs w:val="22"/>
        </w:rPr>
      </w:pPr>
      <w:r>
        <w:rPr>
          <w:b/>
          <w:bCs/>
          <w:sz w:val="22"/>
          <w:szCs w:val="22"/>
        </w:rPr>
        <w:t xml:space="preserve">Option 1: per band. </w:t>
      </w:r>
      <w:r>
        <w:rPr>
          <w:sz w:val="22"/>
          <w:szCs w:val="22"/>
        </w:rPr>
        <w:t>Follow the same approach as for R16 CPC.</w:t>
      </w:r>
    </w:p>
    <w:p>
      <w:pPr>
        <w:rPr>
          <w:b/>
          <w:bCs/>
          <w:sz w:val="22"/>
          <w:szCs w:val="22"/>
        </w:rPr>
      </w:pPr>
      <w:r>
        <w:rPr>
          <w:b/>
          <w:bCs/>
          <w:sz w:val="22"/>
          <w:szCs w:val="22"/>
        </w:rPr>
        <w:t>Option 2: per BC as proposed by [1].</w:t>
      </w:r>
    </w:p>
    <w:p>
      <w:pPr>
        <w:rPr>
          <w:b/>
          <w:bCs/>
          <w:sz w:val="22"/>
          <w:szCs w:val="22"/>
        </w:rPr>
      </w:pPr>
      <w:r>
        <w:rPr>
          <w:b/>
          <w:bCs/>
          <w:sz w:val="22"/>
          <w:szCs w:val="22"/>
        </w:rPr>
        <w:t>Option 3: per UE as proposed by [2].</w:t>
      </w:r>
    </w:p>
    <w:p>
      <w:pPr>
        <w:spacing w:after="0"/>
        <w:rPr>
          <w:b/>
          <w:bCs/>
          <w:sz w:val="22"/>
          <w:szCs w:val="22"/>
        </w:rPr>
      </w:pP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Option 1/2/3</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Option 1</w:t>
            </w:r>
          </w:p>
        </w:tc>
        <w:tc>
          <w:tcPr>
            <w:tcW w:w="6480" w:type="dxa"/>
          </w:tcPr>
          <w:p>
            <w:pPr>
              <w:rPr>
                <w:rFonts w:eastAsiaTheme="minorEastAsia"/>
              </w:rPr>
            </w:pPr>
            <w:r>
              <w:rPr>
                <w:rFonts w:eastAsiaTheme="minorEastAsia"/>
              </w:rPr>
              <w:t>This is in line with the RAN2 #116-bis-e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ko-KR"/>
              </w:rPr>
              <w:t>Samsung</w:t>
            </w:r>
            <w:r>
              <w:rPr>
                <w:rFonts w:hint="eastAsia"/>
                <w:lang w:eastAsia="ko-KR"/>
              </w:rPr>
              <w:t xml:space="preserve"> </w:t>
            </w:r>
          </w:p>
        </w:tc>
        <w:tc>
          <w:tcPr>
            <w:tcW w:w="1739" w:type="dxa"/>
          </w:tcPr>
          <w:p>
            <w:pPr>
              <w:rPr>
                <w:rFonts w:eastAsiaTheme="minorEastAsia"/>
              </w:rPr>
            </w:pPr>
            <w:r>
              <w:rPr>
                <w:rFonts w:hint="eastAsia"/>
                <w:lang w:eastAsia="ko-KR"/>
              </w:rPr>
              <w:t>Opt 2</w:t>
            </w:r>
          </w:p>
        </w:tc>
        <w:tc>
          <w:tcPr>
            <w:tcW w:w="6480" w:type="dxa"/>
          </w:tcPr>
          <w:p>
            <w:pPr>
              <w:rPr>
                <w:rFonts w:eastAsiaTheme="minorEastAsia"/>
              </w:rPr>
            </w:pPr>
            <w:r>
              <w:rPr>
                <w:lang w:eastAsia="ko-KR"/>
              </w:rPr>
              <w:t>W</w:t>
            </w:r>
            <w:r>
              <w:rPr>
                <w:rFonts w:hint="eastAsia"/>
                <w:lang w:eastAsia="ko-KR"/>
              </w:rPr>
              <w:t xml:space="preserve">e </w:t>
            </w:r>
            <w:r>
              <w:rPr>
                <w:lang w:eastAsia="ko-KR"/>
              </w:rPr>
              <w:t>think to have per-BC is safer way for indicating the capability, but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2</w:t>
            </w:r>
          </w:p>
        </w:tc>
        <w:tc>
          <w:tcPr>
            <w:tcW w:w="6480" w:type="dxa"/>
          </w:tcPr>
          <w:p>
            <w:pPr>
              <w:rPr>
                <w:rFonts w:eastAsiaTheme="minorEastAsia"/>
              </w:rPr>
            </w:pPr>
            <w:r>
              <w:rPr>
                <w:rFonts w:eastAsiaTheme="minorEastAsia"/>
              </w:rPr>
              <w:t>Reasonable to align it with DC-like UE capability signalling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ZTE</w:t>
            </w:r>
          </w:p>
        </w:tc>
        <w:tc>
          <w:tcPr>
            <w:tcW w:w="1739" w:type="dxa"/>
          </w:tcPr>
          <w:p>
            <w:pPr>
              <w:rPr>
                <w:rFonts w:hint="default" w:eastAsiaTheme="minorEastAsia"/>
                <w:lang w:val="en-US" w:eastAsia="zh-CN"/>
              </w:rPr>
            </w:pPr>
            <w:r>
              <w:rPr>
                <w:rFonts w:hint="eastAsia" w:eastAsiaTheme="minorEastAsia"/>
                <w:lang w:val="en-US" w:eastAsia="zh-CN"/>
              </w:rPr>
              <w:t>Option 2</w:t>
            </w:r>
          </w:p>
        </w:tc>
        <w:tc>
          <w:tcPr>
            <w:tcW w:w="6480" w:type="dxa"/>
          </w:tcPr>
          <w:p>
            <w:pPr>
              <w:rPr>
                <w:rFonts w:hint="default" w:eastAsiaTheme="minorEastAsia"/>
                <w:highlight w:val="yellow"/>
                <w:lang w:val="en-US" w:eastAsia="zh-CN"/>
              </w:rPr>
            </w:pPr>
            <w:r>
              <w:rPr>
                <w:rFonts w:hint="eastAsia" w:eastAsiaTheme="minorEastAsia"/>
                <w:highlight w:val="none"/>
                <w:lang w:val="en-US" w:eastAsia="zh-CN"/>
              </w:rPr>
              <w:t>We think it is fine to follow DC related UE capabilities design, but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p>
        </w:tc>
        <w:tc>
          <w:tcPr>
            <w:tcW w:w="1739" w:type="dxa"/>
          </w:tcPr>
          <w:p>
            <w:pPr>
              <w:rPr>
                <w:lang w:eastAsia="ko-KR"/>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rPr>
          <w:sz w:val="22"/>
          <w:szCs w:val="22"/>
        </w:rPr>
      </w:pPr>
    </w:p>
    <w:p>
      <w:pPr>
        <w:rPr>
          <w:sz w:val="22"/>
          <w:szCs w:val="22"/>
        </w:rPr>
      </w:pPr>
    </w:p>
    <w:p>
      <w:pPr>
        <w:pStyle w:val="4"/>
        <w:numPr>
          <w:ilvl w:val="2"/>
          <w:numId w:val="5"/>
        </w:numPr>
      </w:pPr>
      <w:r>
        <w:t>Additional CPAC related UE capabilities</w:t>
      </w:r>
    </w:p>
    <w:p>
      <w:pPr>
        <w:rPr>
          <w:sz w:val="22"/>
          <w:szCs w:val="22"/>
        </w:rPr>
      </w:pPr>
    </w:p>
    <w:p>
      <w:pPr>
        <w:rPr>
          <w:sz w:val="22"/>
          <w:szCs w:val="22"/>
        </w:rPr>
      </w:pPr>
      <w:r>
        <w:rPr>
          <w:sz w:val="22"/>
          <w:szCs w:val="22"/>
        </w:rPr>
        <w:t>The following CPAC related UE capabilities are proposed in companies’ papers: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b/>
                <w:bCs/>
                <w:sz w:val="22"/>
                <w:szCs w:val="22"/>
              </w:rPr>
            </w:pPr>
            <w:r>
              <w:rPr>
                <w:sz w:val="22"/>
                <w:szCs w:val="22"/>
              </w:rPr>
              <w:t xml:space="preserve">[1] </w:t>
            </w:r>
            <w:r>
              <w:rPr>
                <w:b/>
                <w:bCs/>
                <w:sz w:val="22"/>
                <w:szCs w:val="22"/>
              </w:rPr>
              <w:t>Proposal 4: Add new capability for SN Initiated inter-SN CPC in (NG)EN-DC and NR-DC respectively.</w:t>
            </w:r>
          </w:p>
          <w:p>
            <w:pPr>
              <w:rPr>
                <w:rFonts w:ascii="Arial" w:hAnsi="Arial" w:eastAsia="宋体"/>
                <w:b/>
                <w:bCs/>
                <w:lang w:eastAsia="zh-CN"/>
              </w:rPr>
            </w:pPr>
            <w:r>
              <w:rPr>
                <w:sz w:val="22"/>
                <w:szCs w:val="22"/>
              </w:rPr>
              <w:t xml:space="preserve">[3] </w:t>
            </w:r>
            <w:bookmarkStart w:id="4" w:name="_Toc95769093"/>
            <w:r>
              <w:rPr>
                <w:b/>
                <w:bCs/>
                <w:sz w:val="22"/>
                <w:szCs w:val="22"/>
              </w:rPr>
              <w:t>Proposal 6: The following separate UE capabilities for CPAC should be introduced:</w:t>
            </w:r>
            <w:r>
              <w:rPr>
                <w:rFonts w:ascii="Arial" w:hAnsi="Arial" w:eastAsia="宋体"/>
                <w:b/>
                <w:bCs/>
                <w:lang w:eastAsia="zh-CN"/>
              </w:rPr>
              <w:br w:type="textWrapping"/>
            </w:r>
            <w:r>
              <w:rPr>
                <w:rFonts w:ascii="Arial" w:hAnsi="Arial" w:eastAsia="宋体"/>
                <w:b/>
                <w:bCs/>
                <w:lang w:eastAsia="zh-CN"/>
              </w:rPr>
              <w:t>- SN-initiated CPC for NR-DC</w:t>
            </w:r>
            <w:r>
              <w:rPr>
                <w:rFonts w:ascii="Arial" w:hAnsi="Arial" w:eastAsia="宋体"/>
                <w:b/>
                <w:bCs/>
                <w:lang w:eastAsia="zh-CN"/>
              </w:rPr>
              <w:br w:type="textWrapping"/>
            </w:r>
            <w:r>
              <w:rPr>
                <w:rFonts w:ascii="Arial" w:hAnsi="Arial" w:eastAsia="宋体"/>
                <w:b/>
                <w:bCs/>
                <w:lang w:eastAsia="zh-CN"/>
              </w:rPr>
              <w:t>- SN-initiated CPC for (NG)EN-DC</w:t>
            </w:r>
            <w:r>
              <w:rPr>
                <w:rFonts w:ascii="Arial" w:hAnsi="Arial" w:eastAsia="宋体"/>
                <w:b/>
                <w:bCs/>
                <w:lang w:eastAsia="zh-CN"/>
              </w:rPr>
              <w:br w:type="textWrapping"/>
            </w:r>
            <w:r>
              <w:rPr>
                <w:rFonts w:ascii="Arial" w:hAnsi="Arial" w:eastAsia="宋体"/>
                <w:b/>
                <w:bCs/>
                <w:lang w:eastAsia="zh-CN"/>
              </w:rPr>
              <w:t>- CPA for NR-DC</w:t>
            </w:r>
            <w:r>
              <w:rPr>
                <w:rFonts w:ascii="Arial" w:hAnsi="Arial" w:eastAsia="宋体"/>
                <w:b/>
                <w:bCs/>
                <w:lang w:eastAsia="zh-CN"/>
              </w:rPr>
              <w:br w:type="textWrapping"/>
            </w:r>
            <w:r>
              <w:rPr>
                <w:rFonts w:ascii="Arial" w:hAnsi="Arial" w:eastAsia="宋体"/>
                <w:b/>
                <w:bCs/>
                <w:lang w:eastAsia="zh-CN"/>
              </w:rPr>
              <w:t>- CPA for (NG)EN-DC</w:t>
            </w:r>
            <w:r>
              <w:rPr>
                <w:rFonts w:ascii="Arial" w:hAnsi="Arial" w:eastAsia="宋体"/>
                <w:b/>
                <w:bCs/>
                <w:lang w:eastAsia="zh-CN"/>
              </w:rPr>
              <w:br w:type="textWrapping"/>
            </w:r>
            <w:r>
              <w:rPr>
                <w:rFonts w:ascii="Arial" w:hAnsi="Arial" w:eastAsia="宋体"/>
                <w:b/>
                <w:bCs/>
                <w:lang w:eastAsia="zh-CN"/>
              </w:rPr>
              <w:t>- MN-initiated CPC for NR-DC</w:t>
            </w:r>
            <w:r>
              <w:rPr>
                <w:rFonts w:ascii="Arial" w:hAnsi="Arial" w:eastAsia="宋体"/>
                <w:b/>
                <w:bCs/>
                <w:lang w:eastAsia="zh-CN"/>
              </w:rPr>
              <w:br w:type="textWrapping"/>
            </w:r>
            <w:r>
              <w:rPr>
                <w:rFonts w:ascii="Arial" w:hAnsi="Arial" w:eastAsia="宋体"/>
                <w:b/>
                <w:bCs/>
                <w:lang w:eastAsia="zh-CN"/>
              </w:rPr>
              <w:t>- MN-initiated CPC for (NG)EN-DC</w:t>
            </w:r>
            <w:r>
              <w:rPr>
                <w:rFonts w:ascii="Arial" w:hAnsi="Arial" w:eastAsia="宋体"/>
                <w:b/>
                <w:bCs/>
                <w:lang w:eastAsia="zh-CN"/>
              </w:rPr>
              <w:br w:type="textWrapping"/>
            </w:r>
            <w:r>
              <w:rPr>
                <w:rFonts w:ascii="Arial" w:hAnsi="Arial" w:eastAsia="宋体"/>
                <w:b/>
                <w:bCs/>
                <w:lang w:eastAsia="zh-CN"/>
              </w:rPr>
              <w:t>- Inter-SN PSCell change between FDD and TDD (for NR-DC and (NG)EN-DC)</w:t>
            </w:r>
            <w:r>
              <w:rPr>
                <w:rFonts w:ascii="Arial" w:hAnsi="Arial" w:eastAsia="宋体"/>
                <w:b/>
                <w:bCs/>
                <w:lang w:eastAsia="zh-CN"/>
              </w:rPr>
              <w:br w:type="textWrapping"/>
            </w:r>
            <w:r>
              <w:rPr>
                <w:rFonts w:ascii="Arial" w:hAnsi="Arial" w:eastAsia="宋体"/>
                <w:b/>
                <w:bCs/>
                <w:lang w:eastAsia="zh-CN"/>
              </w:rPr>
              <w:t>- Inter-SN PSCell change between FR1 and FR2 (for NR-DC and (NG)EN-DC)</w:t>
            </w:r>
            <w:bookmarkEnd w:id="4"/>
          </w:p>
        </w:tc>
      </w:tr>
    </w:tbl>
    <w:p>
      <w:pPr>
        <w:rPr>
          <w:sz w:val="22"/>
          <w:szCs w:val="22"/>
        </w:rPr>
      </w:pPr>
    </w:p>
    <w:p>
      <w:pPr>
        <w:rPr>
          <w:sz w:val="22"/>
          <w:szCs w:val="22"/>
        </w:rPr>
      </w:pPr>
      <w:r>
        <w:rPr>
          <w:sz w:val="22"/>
          <w:szCs w:val="22"/>
        </w:rPr>
        <w:t>Since CPA for NR-DC and (NG)EN-DC, MN-initiated CPC for NR-DC, and MN-initiated CPC for (NG)EN-DC have been included in baseline design, companies are invited to provide views on whether to add the following separate UE capabilities:</w:t>
      </w:r>
    </w:p>
    <w:p>
      <w:pPr>
        <w:rPr>
          <w:sz w:val="22"/>
          <w:szCs w:val="22"/>
        </w:rPr>
      </w:pPr>
      <w:r>
        <w:rPr>
          <w:rFonts w:ascii="Arial" w:hAnsi="Arial" w:eastAsia="宋体"/>
          <w:lang w:eastAsia="zh-CN"/>
        </w:rPr>
        <w:t>- SN-initiated CPC for NR-DC</w:t>
      </w:r>
      <w:r>
        <w:rPr>
          <w:rFonts w:ascii="Arial" w:hAnsi="Arial" w:eastAsia="宋体"/>
          <w:lang w:eastAsia="zh-CN"/>
        </w:rPr>
        <w:br w:type="textWrapping"/>
      </w:r>
      <w:r>
        <w:rPr>
          <w:rFonts w:ascii="Arial" w:hAnsi="Arial" w:eastAsia="宋体"/>
          <w:lang w:eastAsia="zh-CN"/>
        </w:rPr>
        <w:t>- SN-initiated CPC for (NG)EN-DC</w:t>
      </w:r>
      <w:r>
        <w:rPr>
          <w:rFonts w:ascii="Arial" w:hAnsi="Arial" w:eastAsia="宋体"/>
          <w:lang w:eastAsia="zh-CN"/>
        </w:rPr>
        <w:br w:type="textWrapping"/>
      </w:r>
      <w:r>
        <w:rPr>
          <w:rFonts w:ascii="Arial" w:hAnsi="Arial" w:eastAsia="宋体"/>
          <w:lang w:eastAsia="zh-CN"/>
        </w:rPr>
        <w:t>- Inter-SN PSCell change between FDD and TDD (for NR-DC and (NG)EN-DC)</w:t>
      </w:r>
      <w:r>
        <w:rPr>
          <w:rFonts w:ascii="Arial" w:hAnsi="Arial" w:eastAsia="宋体"/>
          <w:lang w:eastAsia="zh-CN"/>
        </w:rPr>
        <w:br w:type="textWrapping"/>
      </w:r>
      <w:r>
        <w:rPr>
          <w:rFonts w:ascii="Arial" w:hAnsi="Arial" w:eastAsia="宋体"/>
          <w:lang w:eastAsia="zh-CN"/>
        </w:rPr>
        <w:t>- Inter-SN PSCell change between FR1 and FR2 (for NR-DC and (NG)EN-DC)</w:t>
      </w:r>
    </w:p>
    <w:p>
      <w:pPr>
        <w:rPr>
          <w:b/>
          <w:bCs/>
          <w:sz w:val="22"/>
          <w:szCs w:val="22"/>
        </w:rPr>
      </w:pPr>
      <w:r>
        <w:rPr>
          <w:b/>
          <w:bCs/>
          <w:sz w:val="22"/>
          <w:szCs w:val="22"/>
        </w:rPr>
        <w:t>Question 9: Whether to define the following separate UE capabilities:</w:t>
      </w:r>
    </w:p>
    <w:p>
      <w:pPr>
        <w:rPr>
          <w:sz w:val="22"/>
          <w:szCs w:val="22"/>
        </w:rPr>
      </w:pPr>
      <w:r>
        <w:rPr>
          <w:rFonts w:ascii="Arial" w:hAnsi="Arial" w:eastAsia="宋体"/>
          <w:b/>
          <w:bCs/>
          <w:lang w:eastAsia="zh-CN"/>
        </w:rPr>
        <w:t>- SN-initiated CPC for NR-DC</w:t>
      </w:r>
      <w:r>
        <w:rPr>
          <w:rFonts w:ascii="Arial" w:hAnsi="Arial" w:eastAsia="宋体"/>
          <w:b/>
          <w:bCs/>
          <w:lang w:eastAsia="zh-CN"/>
        </w:rPr>
        <w:br w:type="textWrapping"/>
      </w:r>
      <w:r>
        <w:rPr>
          <w:rFonts w:ascii="Arial" w:hAnsi="Arial" w:eastAsia="宋体"/>
          <w:b/>
          <w:bCs/>
          <w:lang w:eastAsia="zh-CN"/>
        </w:rPr>
        <w:t>- SN-initiated CPC for (NG)EN-DC</w:t>
      </w:r>
      <w:r>
        <w:rPr>
          <w:rFonts w:ascii="Arial" w:hAnsi="Arial" w:eastAsia="宋体"/>
          <w:b/>
          <w:bCs/>
          <w:lang w:eastAsia="zh-CN"/>
        </w:rPr>
        <w:br w:type="textWrapping"/>
      </w:r>
      <w:r>
        <w:rPr>
          <w:rFonts w:ascii="Arial" w:hAnsi="Arial" w:eastAsia="宋体"/>
          <w:b/>
          <w:bCs/>
          <w:lang w:eastAsia="zh-CN"/>
        </w:rPr>
        <w:t>- Inter-SN PSCell change between FDD and TDD (for NR-DC and (NG)EN-DC)</w:t>
      </w:r>
      <w:r>
        <w:rPr>
          <w:rFonts w:ascii="Arial" w:hAnsi="Arial" w:eastAsia="宋体"/>
          <w:b/>
          <w:bCs/>
          <w:lang w:eastAsia="zh-CN"/>
        </w:rPr>
        <w:br w:type="textWrapping"/>
      </w:r>
      <w:r>
        <w:rPr>
          <w:rFonts w:ascii="Arial" w:hAnsi="Arial" w:eastAsia="宋体"/>
          <w:b/>
          <w:bCs/>
          <w:lang w:eastAsia="zh-CN"/>
        </w:rPr>
        <w:t>- Inter-SN PSCell change between FR1 and FR2 (for NR-DC and (NG)EN-DC)</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 or 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Y</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ko-KR"/>
              </w:rPr>
              <w:t>Samsung</w:t>
            </w:r>
            <w:r>
              <w:rPr>
                <w:rFonts w:hint="eastAsia"/>
                <w:lang w:eastAsia="ko-KR"/>
              </w:rPr>
              <w:t xml:space="preserve"> </w:t>
            </w:r>
          </w:p>
        </w:tc>
        <w:tc>
          <w:tcPr>
            <w:tcW w:w="1739" w:type="dxa"/>
          </w:tcPr>
          <w:p>
            <w:pPr>
              <w:rPr>
                <w:rFonts w:eastAsiaTheme="minorEastAsia"/>
              </w:rPr>
            </w:pPr>
            <w:r>
              <w:rPr>
                <w:lang w:eastAsia="ko-KR"/>
              </w:rPr>
              <w:t>Y</w:t>
            </w:r>
            <w:r>
              <w:rPr>
                <w:rFonts w:hint="eastAsia"/>
                <w:lang w:eastAsia="ko-KR"/>
              </w:rPr>
              <w:t xml:space="preserve"> </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No</w:t>
            </w:r>
          </w:p>
        </w:tc>
        <w:tc>
          <w:tcPr>
            <w:tcW w:w="6480" w:type="dxa"/>
          </w:tcPr>
          <w:p>
            <w:pPr>
              <w:rPr>
                <w:rFonts w:eastAsiaTheme="minorEastAsia"/>
              </w:rPr>
            </w:pPr>
            <w:r>
              <w:rPr>
                <w:rFonts w:eastAsiaTheme="minorEastAsia"/>
              </w:rPr>
              <w:t xml:space="preserve">We do not see a justification for this kind of increased UE capability granularity. i.e. from UE point of view there are not many differences (if any) between MN- and SN-initiated CPAC, so what would be the reason for such separation?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ZTE</w:t>
            </w:r>
          </w:p>
        </w:tc>
        <w:tc>
          <w:tcPr>
            <w:tcW w:w="1739" w:type="dxa"/>
          </w:tcPr>
          <w:p>
            <w:pPr>
              <w:rPr>
                <w:rFonts w:hint="eastAsia" w:eastAsiaTheme="minorEastAsia"/>
                <w:lang w:val="en-US" w:eastAsia="zh-CN"/>
              </w:rPr>
            </w:pPr>
            <w:r>
              <w:rPr>
                <w:rFonts w:hint="eastAsia" w:eastAsiaTheme="minorEastAsia"/>
                <w:lang w:val="en-US" w:eastAsia="zh-CN"/>
              </w:rPr>
              <w:t>Y</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bl>
    <w:p>
      <w:pPr>
        <w:rPr>
          <w:sz w:val="22"/>
          <w:szCs w:val="22"/>
        </w:rPr>
      </w:pPr>
    </w:p>
    <w:p>
      <w:pPr>
        <w:rPr>
          <w:sz w:val="22"/>
          <w:szCs w:val="22"/>
        </w:rPr>
      </w:pPr>
      <w:r>
        <w:rPr>
          <w:sz w:val="22"/>
          <w:szCs w:val="22"/>
        </w:rPr>
        <w:t>Another issue raised in [3] is as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2"/>
            </w:pPr>
            <w:r>
              <w:t xml:space="preserve">The </w:t>
            </w:r>
            <w:r>
              <w:rPr>
                <w:i/>
                <w:iCs/>
              </w:rPr>
              <w:t xml:space="preserve">condPSCellChangeTwoTriggerEvents-r16 </w:t>
            </w:r>
            <w:r>
              <w:t xml:space="preserve">is then mandatory supported if the UE supports </w:t>
            </w:r>
            <w:r>
              <w:rPr>
                <w:i/>
                <w:iCs/>
              </w:rPr>
              <w:t>condPSCellChange-r16</w:t>
            </w:r>
            <w:r>
              <w:t xml:space="preserve"> so the UE thus needs to support the two trigger events if it supports the feature. We therefore think that the two trigger events should be considered as part of the basic support of the corresponding feature and that there is no need for a separate capability indication for this.</w:t>
            </w:r>
          </w:p>
          <w:p>
            <w:pPr>
              <w:pStyle w:val="78"/>
              <w:numPr>
                <w:ilvl w:val="0"/>
                <w:numId w:val="0"/>
              </w:numPr>
              <w:ind w:left="1304" w:hanging="1304"/>
            </w:pPr>
            <w:bookmarkStart w:id="5" w:name="_Toc95769092"/>
            <w:r>
              <w:t>Proposal 5: Support for two trigger events is part of the basic support of the Rel-17 features CPA, MN-initiated CPC and SN-initiated CPC.</w:t>
            </w:r>
            <w:bookmarkEnd w:id="5"/>
          </w:p>
        </w:tc>
      </w:tr>
    </w:tbl>
    <w:p>
      <w:pPr>
        <w:rPr>
          <w:sz w:val="22"/>
          <w:szCs w:val="22"/>
        </w:rPr>
      </w:pPr>
    </w:p>
    <w:p>
      <w:pPr>
        <w:rPr>
          <w:b/>
          <w:bCs/>
          <w:sz w:val="22"/>
          <w:szCs w:val="22"/>
        </w:rPr>
      </w:pPr>
      <w:r>
        <w:rPr>
          <w:b/>
          <w:bCs/>
          <w:sz w:val="22"/>
          <w:szCs w:val="22"/>
        </w:rPr>
        <w:t>Question 10: Whether the following proposal is agreeable?</w:t>
      </w:r>
    </w:p>
    <w:p>
      <w:pPr>
        <w:rPr>
          <w:b/>
          <w:bCs/>
          <w:sz w:val="24"/>
          <w:szCs w:val="24"/>
        </w:rPr>
      </w:pPr>
      <w:r>
        <w:rPr>
          <w:b/>
          <w:bCs/>
          <w:sz w:val="22"/>
          <w:szCs w:val="22"/>
        </w:rPr>
        <w:t>Support for two trigger events is part of the basic support of the Rel-17 features CPA, MN-initiated CPC and SN-initiated CPC.</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 or 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Y</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ko-KR"/>
              </w:rPr>
              <w:t>Samsung</w:t>
            </w:r>
            <w:r>
              <w:rPr>
                <w:rFonts w:hint="eastAsia"/>
                <w:lang w:eastAsia="ko-KR"/>
              </w:rPr>
              <w:t xml:space="preserve"> </w:t>
            </w:r>
          </w:p>
        </w:tc>
        <w:tc>
          <w:tcPr>
            <w:tcW w:w="1739" w:type="dxa"/>
          </w:tcPr>
          <w:p>
            <w:pPr>
              <w:rPr>
                <w:rFonts w:eastAsiaTheme="minorEastAsia"/>
              </w:rPr>
            </w:pPr>
            <w:r>
              <w:rPr>
                <w:rFonts w:hint="eastAsia"/>
                <w:lang w:eastAsia="ko-KR"/>
              </w:rPr>
              <w:t>Y</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Yes</w:t>
            </w:r>
          </w:p>
        </w:tc>
        <w:tc>
          <w:tcPr>
            <w:tcW w:w="6480" w:type="dxa"/>
          </w:tcPr>
          <w:p>
            <w:pPr>
              <w:rPr>
                <w:rFonts w:eastAsiaTheme="minorEastAsia"/>
              </w:rPr>
            </w:pPr>
            <w:r>
              <w:rPr>
                <w:rFonts w:eastAsiaTheme="minorEastAsia"/>
              </w:rPr>
              <w:t xml:space="preserve">We agree that this does not deserve to have a separate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ZTE</w:t>
            </w:r>
          </w:p>
        </w:tc>
        <w:tc>
          <w:tcPr>
            <w:tcW w:w="1739" w:type="dxa"/>
          </w:tcPr>
          <w:p>
            <w:pPr>
              <w:rPr>
                <w:rFonts w:hint="eastAsia" w:eastAsiaTheme="minorEastAsia"/>
                <w:lang w:val="en-US" w:eastAsia="zh-CN"/>
              </w:rPr>
            </w:pPr>
            <w:r>
              <w:rPr>
                <w:rFonts w:hint="eastAsia" w:eastAsiaTheme="minorEastAsia"/>
                <w:lang w:val="en-US" w:eastAsia="zh-CN"/>
              </w:rPr>
              <w:t>Y</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bl>
    <w:p>
      <w:pPr>
        <w:rPr>
          <w:sz w:val="22"/>
          <w:szCs w:val="22"/>
        </w:rPr>
      </w:pPr>
    </w:p>
    <w:p>
      <w:pPr>
        <w:rPr>
          <w:sz w:val="22"/>
          <w:szCs w:val="22"/>
        </w:rPr>
      </w:pPr>
    </w:p>
    <w:p>
      <w:pPr>
        <w:pStyle w:val="2"/>
        <w:numPr>
          <w:ilvl w:val="0"/>
          <w:numId w:val="5"/>
        </w:numPr>
      </w:pPr>
      <w:r>
        <w:t>Conclusion</w:t>
      </w:r>
    </w:p>
    <w:p>
      <w:pPr>
        <w:rPr>
          <w:sz w:val="22"/>
          <w:szCs w:val="22"/>
        </w:rPr>
      </w:pPr>
      <w:r>
        <w:rPr>
          <w:sz w:val="22"/>
          <w:szCs w:val="22"/>
        </w:rPr>
        <w:t>Based on this offline discussion on UE capabilities, the following proposals are made:</w:t>
      </w:r>
    </w:p>
    <w:p/>
    <w:p>
      <w:pPr>
        <w:rPr>
          <w:b/>
          <w:bCs/>
          <w:sz w:val="22"/>
          <w:szCs w:val="22"/>
        </w:rPr>
      </w:pPr>
    </w:p>
    <w:p>
      <w:pPr>
        <w:pStyle w:val="2"/>
        <w:numPr>
          <w:ilvl w:val="0"/>
          <w:numId w:val="5"/>
        </w:numPr>
      </w:pPr>
      <w:r>
        <w:t>References</w:t>
      </w:r>
    </w:p>
    <w:p>
      <w:pPr>
        <w:pStyle w:val="28"/>
        <w:numPr>
          <w:ilvl w:val="0"/>
          <w:numId w:val="8"/>
        </w:numPr>
        <w:ind w:left="0" w:firstLine="0"/>
        <w:rPr>
          <w:sz w:val="22"/>
          <w:szCs w:val="22"/>
        </w:rPr>
      </w:pPr>
      <w:r>
        <w:fldChar w:fldCharType="begin"/>
      </w:r>
      <w:r>
        <w:instrText xml:space="preserve"> HYPERLINK "https://www.3gpp.org/ftp/TSG_RAN/WG2_RL2/TSGR2_117-e/Docs/R2-2202480.zip" </w:instrText>
      </w:r>
      <w:r>
        <w:fldChar w:fldCharType="separate"/>
      </w:r>
      <w:r>
        <w:rPr>
          <w:sz w:val="22"/>
          <w:szCs w:val="22"/>
        </w:rPr>
        <w:t>R2-2202480</w:t>
      </w:r>
      <w:r>
        <w:rPr>
          <w:sz w:val="22"/>
          <w:szCs w:val="22"/>
        </w:rPr>
        <w:fldChar w:fldCharType="end"/>
      </w:r>
      <w:r>
        <w:rPr>
          <w:sz w:val="22"/>
          <w:szCs w:val="22"/>
        </w:rPr>
        <w:tab/>
      </w:r>
      <w:r>
        <w:rPr>
          <w:sz w:val="22"/>
          <w:szCs w:val="22"/>
        </w:rPr>
        <w:t>Discussion on remaining issues on DCCA UE capabilities Intel Corporation</w:t>
      </w:r>
    </w:p>
    <w:p>
      <w:pPr>
        <w:pStyle w:val="28"/>
        <w:numPr>
          <w:ilvl w:val="0"/>
          <w:numId w:val="8"/>
        </w:numPr>
        <w:ind w:left="0" w:firstLine="0"/>
        <w:rPr>
          <w:sz w:val="22"/>
          <w:szCs w:val="22"/>
        </w:rPr>
      </w:pPr>
      <w:r>
        <w:fldChar w:fldCharType="begin"/>
      </w:r>
      <w:r>
        <w:instrText xml:space="preserve"> HYPERLINK "file:///C:\\RAN2%20work\\RAN2-117%202202\\tdoc\\R2-2203380.docx" </w:instrText>
      </w:r>
      <w:r>
        <w:fldChar w:fldCharType="separate"/>
      </w:r>
      <w:r>
        <w:rPr>
          <w:sz w:val="22"/>
          <w:szCs w:val="22"/>
        </w:rPr>
        <w:t>R2-2203380</w:t>
      </w:r>
      <w:r>
        <w:rPr>
          <w:sz w:val="22"/>
          <w:szCs w:val="22"/>
        </w:rPr>
        <w:fldChar w:fldCharType="end"/>
      </w:r>
      <w:r>
        <w:rPr>
          <w:sz w:val="22"/>
          <w:szCs w:val="22"/>
        </w:rPr>
        <w:tab/>
      </w:r>
      <w:r>
        <w:rPr>
          <w:sz w:val="22"/>
          <w:szCs w:val="22"/>
        </w:rPr>
        <w:t>UE capability for CPAC and SCG (de)activation</w:t>
      </w:r>
      <w:r>
        <w:rPr>
          <w:sz w:val="22"/>
          <w:szCs w:val="22"/>
        </w:rPr>
        <w:tab/>
      </w:r>
      <w:r>
        <w:rPr>
          <w:sz w:val="22"/>
          <w:szCs w:val="22"/>
        </w:rPr>
        <w:t xml:space="preserve"> Huawei, HiSilicon</w:t>
      </w:r>
    </w:p>
    <w:p>
      <w:pPr>
        <w:pStyle w:val="28"/>
        <w:numPr>
          <w:ilvl w:val="0"/>
          <w:numId w:val="8"/>
        </w:numPr>
        <w:spacing w:after="0"/>
        <w:ind w:left="0" w:firstLine="0"/>
        <w:rPr>
          <w:sz w:val="22"/>
          <w:szCs w:val="22"/>
        </w:rPr>
      </w:pPr>
      <w:r>
        <w:fldChar w:fldCharType="begin"/>
      </w:r>
      <w:r>
        <w:instrText xml:space="preserve"> HYPERLINK "file:///C:\\RAN2%20work\\RAN2-117%202202\\tdoc\\R2-2203392---UE-capabilities-for-Rel-17-MR-DC-enhancements.docx" </w:instrText>
      </w:r>
      <w:r>
        <w:fldChar w:fldCharType="separate"/>
      </w:r>
      <w:r>
        <w:rPr>
          <w:sz w:val="22"/>
          <w:szCs w:val="22"/>
        </w:rPr>
        <w:t>R2-2203392</w:t>
      </w:r>
      <w:r>
        <w:rPr>
          <w:sz w:val="22"/>
          <w:szCs w:val="22"/>
        </w:rPr>
        <w:fldChar w:fldCharType="end"/>
      </w:r>
      <w:r>
        <w:rPr>
          <w:sz w:val="22"/>
          <w:szCs w:val="22"/>
        </w:rPr>
        <w:tab/>
      </w:r>
      <w:r>
        <w:rPr>
          <w:sz w:val="22"/>
          <w:szCs w:val="22"/>
        </w:rPr>
        <w:t>UE capabilities for Rel-17 MR-DC enhancements</w:t>
      </w:r>
      <w:r>
        <w:rPr>
          <w:sz w:val="22"/>
          <w:szCs w:val="22"/>
        </w:rPr>
        <w:tab/>
      </w:r>
      <w:r>
        <w:rPr>
          <w:sz w:val="22"/>
          <w:szCs w:val="22"/>
        </w:rPr>
        <w:t>Ericsson</w:t>
      </w:r>
    </w:p>
    <w:p>
      <w:pPr>
        <w:pStyle w:val="76"/>
        <w:numPr>
          <w:ilvl w:val="0"/>
          <w:numId w:val="8"/>
        </w:numPr>
        <w:spacing w:before="0"/>
        <w:ind w:left="0" w:firstLine="0"/>
        <w:rPr>
          <w:rFonts w:ascii="Times New Roman" w:hAnsi="Times New Roman" w:eastAsia="Malgun Gothic"/>
          <w:sz w:val="22"/>
          <w:szCs w:val="22"/>
          <w:lang w:eastAsia="en-US"/>
        </w:rPr>
      </w:pPr>
      <w:r>
        <w:rPr>
          <w:rFonts w:ascii="Times New Roman" w:hAnsi="Times New Roman" w:eastAsia="Malgun Gothic"/>
          <w:sz w:val="22"/>
          <w:szCs w:val="22"/>
          <w:lang w:eastAsia="en-US"/>
        </w:rPr>
        <w:t>R2-2202483</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CR TP for 38.331 on DCCA UE capabilities</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Intel Corporation</w:t>
      </w:r>
      <w:r>
        <w:rPr>
          <w:rFonts w:ascii="Times New Roman" w:hAnsi="Times New Roman" w:eastAsia="Malgun Gothic"/>
          <w:sz w:val="22"/>
          <w:szCs w:val="22"/>
          <w:lang w:eastAsia="en-US"/>
        </w:rPr>
        <w:tab/>
      </w:r>
    </w:p>
    <w:p>
      <w:pPr>
        <w:pStyle w:val="76"/>
        <w:numPr>
          <w:ilvl w:val="0"/>
          <w:numId w:val="8"/>
        </w:numPr>
        <w:ind w:left="0" w:firstLine="0"/>
        <w:rPr>
          <w:rFonts w:ascii="Times New Roman" w:hAnsi="Times New Roman" w:eastAsia="Malgun Gothic"/>
          <w:sz w:val="22"/>
          <w:szCs w:val="22"/>
          <w:lang w:eastAsia="en-US"/>
        </w:rPr>
      </w:pPr>
      <w:r>
        <w:rPr>
          <w:rFonts w:ascii="Times New Roman" w:hAnsi="Times New Roman" w:eastAsia="Malgun Gothic"/>
          <w:sz w:val="22"/>
          <w:szCs w:val="22"/>
          <w:lang w:eastAsia="en-US"/>
        </w:rPr>
        <w:t>R2-2202484</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CR TP for 38.306 on DCCA UE capabilities</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Intel Corporation</w:t>
      </w:r>
      <w:r>
        <w:rPr>
          <w:rFonts w:ascii="Times New Roman" w:hAnsi="Times New Roman" w:eastAsia="Malgun Gothic"/>
          <w:sz w:val="22"/>
          <w:szCs w:val="22"/>
          <w:lang w:eastAsia="en-US"/>
        </w:rPr>
        <w:tab/>
      </w:r>
    </w:p>
    <w:p>
      <w:pPr>
        <w:pStyle w:val="76"/>
        <w:numPr>
          <w:ilvl w:val="0"/>
          <w:numId w:val="8"/>
        </w:numPr>
        <w:ind w:left="0" w:firstLine="0"/>
        <w:rPr>
          <w:rFonts w:ascii="Times New Roman" w:hAnsi="Times New Roman" w:eastAsia="Malgun Gothic"/>
          <w:sz w:val="22"/>
          <w:szCs w:val="22"/>
          <w:lang w:eastAsia="en-US"/>
        </w:rPr>
      </w:pPr>
      <w:r>
        <w:rPr>
          <w:rFonts w:ascii="Times New Roman" w:hAnsi="Times New Roman" w:eastAsia="Malgun Gothic"/>
          <w:sz w:val="22"/>
          <w:szCs w:val="22"/>
          <w:lang w:eastAsia="en-US"/>
        </w:rPr>
        <w:t>R2-2202485</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CR TP for 36.331 on DCCA UE capabilities</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Intel Corporation</w:t>
      </w:r>
      <w:r>
        <w:rPr>
          <w:rFonts w:ascii="Times New Roman" w:hAnsi="Times New Roman" w:eastAsia="Malgun Gothic"/>
          <w:sz w:val="22"/>
          <w:szCs w:val="22"/>
          <w:lang w:eastAsia="en-US"/>
        </w:rPr>
        <w:tab/>
      </w:r>
    </w:p>
    <w:p>
      <w:pPr>
        <w:pStyle w:val="76"/>
        <w:numPr>
          <w:ilvl w:val="0"/>
          <w:numId w:val="8"/>
        </w:numPr>
        <w:ind w:left="0" w:firstLine="0"/>
        <w:rPr>
          <w:rFonts w:ascii="Times New Roman" w:hAnsi="Times New Roman" w:eastAsia="Malgun Gothic"/>
          <w:sz w:val="22"/>
          <w:szCs w:val="22"/>
          <w:lang w:eastAsia="en-US"/>
        </w:rPr>
      </w:pPr>
      <w:r>
        <w:rPr>
          <w:rFonts w:ascii="Times New Roman" w:hAnsi="Times New Roman" w:eastAsia="Malgun Gothic"/>
          <w:sz w:val="22"/>
          <w:szCs w:val="22"/>
          <w:lang w:eastAsia="en-US"/>
        </w:rPr>
        <w:t>R2-2202486</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CR TP for 36.306 on DCCA UE capabilities</w:t>
      </w:r>
      <w:r>
        <w:rPr>
          <w:rFonts w:ascii="Times New Roman" w:hAnsi="Times New Roman" w:eastAsia="Malgun Gothic"/>
          <w:sz w:val="22"/>
          <w:szCs w:val="22"/>
          <w:lang w:eastAsia="en-US"/>
        </w:rPr>
        <w:tab/>
      </w:r>
      <w:r>
        <w:rPr>
          <w:rFonts w:ascii="Times New Roman" w:hAnsi="Times New Roman" w:eastAsia="Malgun Gothic"/>
          <w:sz w:val="22"/>
          <w:szCs w:val="22"/>
          <w:lang w:eastAsia="en-US"/>
        </w:rPr>
        <w:t>Intel Corporation</w:t>
      </w:r>
      <w:r>
        <w:rPr>
          <w:rFonts w:ascii="Times New Roman" w:hAnsi="Times New Roman" w:eastAsia="Malgun Gothic"/>
          <w:sz w:val="22"/>
          <w:szCs w:val="22"/>
          <w:lang w:eastAsia="en-US"/>
        </w:rPr>
        <w:tab/>
      </w:r>
    </w:p>
    <w:p>
      <w:pPr>
        <w:pStyle w:val="28"/>
        <w:ind w:left="360"/>
        <w:rPr>
          <w:sz w:val="22"/>
          <w:szCs w:val="22"/>
        </w:rPr>
      </w:pPr>
    </w:p>
    <w:p>
      <w:pPr>
        <w:rPr>
          <w:b/>
          <w:bCs/>
        </w:rPr>
      </w:pPr>
    </w:p>
    <w:sectPr>
      <w:headerReference r:id="rId3" w:type="default"/>
      <w:footerReference r:id="rId4"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Layout w:type="fixed"/>
      <w:tblCellMar>
        <w:top w:w="0" w:type="dxa"/>
        <w:left w:w="108" w:type="dxa"/>
        <w:bottom w:w="0" w:type="dxa"/>
        <w:right w:w="108" w:type="dxa"/>
      </w:tblCellMar>
    </w:tblPr>
    <w:tblGrid>
      <w:gridCol w:w="3120"/>
      <w:gridCol w:w="3120"/>
      <w:gridCol w:w="3120"/>
    </w:tblGrid>
    <w:tr>
      <w:tblPrEx>
        <w:tblCellMar>
          <w:top w:w="0" w:type="dxa"/>
          <w:left w:w="108" w:type="dxa"/>
          <w:bottom w:w="0" w:type="dxa"/>
          <w:right w:w="108" w:type="dxa"/>
        </w:tblCellMar>
      </w:tblPrEx>
      <w:tc>
        <w:tcPr>
          <w:tcW w:w="3120" w:type="dxa"/>
        </w:tcPr>
        <w:p>
          <w:pPr>
            <w:pStyle w:val="16"/>
            <w:ind w:left="-115"/>
          </w:pPr>
        </w:p>
      </w:tc>
      <w:tc>
        <w:tcPr>
          <w:tcW w:w="3120" w:type="dxa"/>
        </w:tcPr>
        <w:p>
          <w:pPr>
            <w:pStyle w:val="16"/>
            <w:jc w:val="center"/>
          </w:pPr>
        </w:p>
      </w:tc>
      <w:tc>
        <w:tcPr>
          <w:tcW w:w="3120" w:type="dxa"/>
        </w:tcPr>
        <w:p>
          <w:pPr>
            <w:pStyle w:val="16"/>
            <w:ind w:right="-115"/>
            <w:jc w:val="right"/>
          </w:pPr>
        </w:p>
      </w:tc>
    </w:tr>
  </w:tbl>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Layout w:type="fixed"/>
      <w:tblCellMar>
        <w:top w:w="0" w:type="dxa"/>
        <w:left w:w="108" w:type="dxa"/>
        <w:bottom w:w="0" w:type="dxa"/>
        <w:right w:w="108" w:type="dxa"/>
      </w:tblCellMar>
    </w:tblPr>
    <w:tblGrid>
      <w:gridCol w:w="3120"/>
      <w:gridCol w:w="3120"/>
      <w:gridCol w:w="3120"/>
    </w:tblGrid>
    <w:tr>
      <w:tblPrEx>
        <w:tblCellMar>
          <w:top w:w="0" w:type="dxa"/>
          <w:left w:w="108" w:type="dxa"/>
          <w:bottom w:w="0" w:type="dxa"/>
          <w:right w:w="108" w:type="dxa"/>
        </w:tblCellMar>
      </w:tblPrEx>
      <w:tc>
        <w:tcPr>
          <w:tcW w:w="3120" w:type="dxa"/>
        </w:tcPr>
        <w:p>
          <w:pPr>
            <w:pStyle w:val="16"/>
            <w:ind w:left="-115"/>
          </w:pPr>
        </w:p>
      </w:tc>
      <w:tc>
        <w:tcPr>
          <w:tcW w:w="3120" w:type="dxa"/>
        </w:tcPr>
        <w:p>
          <w:pPr>
            <w:pStyle w:val="16"/>
            <w:jc w:val="center"/>
          </w:pPr>
        </w:p>
      </w:tc>
      <w:tc>
        <w:tcPr>
          <w:tcW w:w="3120" w:type="dxa"/>
        </w:tcPr>
        <w:p>
          <w:pPr>
            <w:pStyle w:val="16"/>
            <w:ind w:right="-115"/>
            <w:jc w:val="right"/>
          </w:pPr>
        </w:p>
      </w:tc>
    </w:tr>
  </w:tbl>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tentative="0">
      <w:start w:val="1"/>
      <w:numFmt w:val="decimal"/>
      <w:pStyle w:val="78"/>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3E421DEB"/>
    <w:multiLevelType w:val="multilevel"/>
    <w:tmpl w:val="3E421DEB"/>
    <w:lvl w:ilvl="0" w:tentative="0">
      <w:start w:val="1"/>
      <w:numFmt w:val="decimal"/>
      <w:lvlText w:val="%1."/>
      <w:lvlJc w:val="left"/>
      <w:pPr>
        <w:ind w:left="360" w:hanging="360"/>
      </w:pPr>
      <w:rPr>
        <w:rFonts w:hint="default" w:ascii="Arial" w:hAnsi="Arial"/>
        <w:sz w:val="36"/>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
    <w:nsid w:val="521F44A7"/>
    <w:multiLevelType w:val="multilevel"/>
    <w:tmpl w:val="521F44A7"/>
    <w:lvl w:ilvl="0" w:tentative="0">
      <w:start w:val="1"/>
      <w:numFmt w:val="bullet"/>
      <w:pStyle w:val="6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AD5593A"/>
    <w:multiLevelType w:val="multilevel"/>
    <w:tmpl w:val="5AD5593A"/>
    <w:lvl w:ilvl="0" w:tentative="0">
      <w:start w:val="0"/>
      <w:numFmt w:val="bullet"/>
      <w:lvlText w:val="-"/>
      <w:lvlJc w:val="left"/>
      <w:pPr>
        <w:ind w:left="720" w:hanging="360"/>
      </w:pPr>
      <w:rPr>
        <w:rFonts w:hint="default" w:ascii="Arial" w:hAnsi="Arial" w:eastAsia="MS Mincho" w:cs="Arial"/>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1E434A5"/>
    <w:multiLevelType w:val="multilevel"/>
    <w:tmpl w:val="61E434A5"/>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5">
    <w:nsid w:val="630B5DFA"/>
    <w:multiLevelType w:val="multilevel"/>
    <w:tmpl w:val="630B5D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146DC0"/>
    <w:multiLevelType w:val="multilevel"/>
    <w:tmpl w:val="70146DC0"/>
    <w:lvl w:ilvl="0" w:tentative="0">
      <w:start w:val="1"/>
      <w:numFmt w:val="bullet"/>
      <w:pStyle w:val="7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88975D8"/>
    <w:multiLevelType w:val="multilevel"/>
    <w:tmpl w:val="788975D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4665F"/>
    <w:rsid w:val="0005139D"/>
    <w:rsid w:val="00053CAF"/>
    <w:rsid w:val="00057C99"/>
    <w:rsid w:val="00057FF2"/>
    <w:rsid w:val="00061387"/>
    <w:rsid w:val="00061EED"/>
    <w:rsid w:val="00062B9E"/>
    <w:rsid w:val="0006758B"/>
    <w:rsid w:val="000711DC"/>
    <w:rsid w:val="0007164F"/>
    <w:rsid w:val="00071EE8"/>
    <w:rsid w:val="000724D1"/>
    <w:rsid w:val="00072A65"/>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94AE2"/>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36B0"/>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26D"/>
    <w:rsid w:val="00153512"/>
    <w:rsid w:val="00154516"/>
    <w:rsid w:val="00154665"/>
    <w:rsid w:val="001561F4"/>
    <w:rsid w:val="0016090C"/>
    <w:rsid w:val="001617B2"/>
    <w:rsid w:val="00163CC4"/>
    <w:rsid w:val="00165EDA"/>
    <w:rsid w:val="001660D1"/>
    <w:rsid w:val="00167FC9"/>
    <w:rsid w:val="00170383"/>
    <w:rsid w:val="00170561"/>
    <w:rsid w:val="00170740"/>
    <w:rsid w:val="001719C1"/>
    <w:rsid w:val="0017222C"/>
    <w:rsid w:val="00172C96"/>
    <w:rsid w:val="0017405D"/>
    <w:rsid w:val="001743C4"/>
    <w:rsid w:val="00174C46"/>
    <w:rsid w:val="00175A18"/>
    <w:rsid w:val="001771B5"/>
    <w:rsid w:val="001772FB"/>
    <w:rsid w:val="0018191F"/>
    <w:rsid w:val="001822CC"/>
    <w:rsid w:val="00183256"/>
    <w:rsid w:val="00185C94"/>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8EB"/>
    <w:rsid w:val="001C3E69"/>
    <w:rsid w:val="001C3EA4"/>
    <w:rsid w:val="001C409F"/>
    <w:rsid w:val="001C568F"/>
    <w:rsid w:val="001C62E9"/>
    <w:rsid w:val="001C6FE7"/>
    <w:rsid w:val="001D0302"/>
    <w:rsid w:val="001D0410"/>
    <w:rsid w:val="001D05CB"/>
    <w:rsid w:val="001D0BBF"/>
    <w:rsid w:val="001D1CFA"/>
    <w:rsid w:val="001D4710"/>
    <w:rsid w:val="001D4F4D"/>
    <w:rsid w:val="001D5AC8"/>
    <w:rsid w:val="001D69B3"/>
    <w:rsid w:val="001E0108"/>
    <w:rsid w:val="001E0768"/>
    <w:rsid w:val="001E1632"/>
    <w:rsid w:val="001E38EE"/>
    <w:rsid w:val="001E4DFD"/>
    <w:rsid w:val="001E4E20"/>
    <w:rsid w:val="001E5908"/>
    <w:rsid w:val="001E6A68"/>
    <w:rsid w:val="001E7080"/>
    <w:rsid w:val="001E748F"/>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059"/>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975"/>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4938"/>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47C"/>
    <w:rsid w:val="003779C0"/>
    <w:rsid w:val="0038068C"/>
    <w:rsid w:val="00382FEC"/>
    <w:rsid w:val="003832B3"/>
    <w:rsid w:val="003835C7"/>
    <w:rsid w:val="003871B5"/>
    <w:rsid w:val="0038762D"/>
    <w:rsid w:val="00387911"/>
    <w:rsid w:val="00387CD9"/>
    <w:rsid w:val="00390861"/>
    <w:rsid w:val="00391413"/>
    <w:rsid w:val="003951F7"/>
    <w:rsid w:val="00397268"/>
    <w:rsid w:val="00397352"/>
    <w:rsid w:val="00397BC5"/>
    <w:rsid w:val="003A0195"/>
    <w:rsid w:val="003A04F1"/>
    <w:rsid w:val="003A05B1"/>
    <w:rsid w:val="003A10BD"/>
    <w:rsid w:val="003A1A7A"/>
    <w:rsid w:val="003A2B82"/>
    <w:rsid w:val="003A37B1"/>
    <w:rsid w:val="003A450E"/>
    <w:rsid w:val="003A5437"/>
    <w:rsid w:val="003A7132"/>
    <w:rsid w:val="003A7F8D"/>
    <w:rsid w:val="003B01CD"/>
    <w:rsid w:val="003B092F"/>
    <w:rsid w:val="003B4EF0"/>
    <w:rsid w:val="003B7CDA"/>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97F5F"/>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C7DAB"/>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C46"/>
    <w:rsid w:val="00507DA6"/>
    <w:rsid w:val="0051151E"/>
    <w:rsid w:val="00511C33"/>
    <w:rsid w:val="005126F8"/>
    <w:rsid w:val="00512DB2"/>
    <w:rsid w:val="00514431"/>
    <w:rsid w:val="005150FC"/>
    <w:rsid w:val="0051638C"/>
    <w:rsid w:val="00517028"/>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8DA"/>
    <w:rsid w:val="005A5E1B"/>
    <w:rsid w:val="005A638F"/>
    <w:rsid w:val="005A66B6"/>
    <w:rsid w:val="005B16C7"/>
    <w:rsid w:val="005B38C6"/>
    <w:rsid w:val="005B603E"/>
    <w:rsid w:val="005B6160"/>
    <w:rsid w:val="005B6637"/>
    <w:rsid w:val="005C20FE"/>
    <w:rsid w:val="005C4023"/>
    <w:rsid w:val="005C4EF5"/>
    <w:rsid w:val="005C5F10"/>
    <w:rsid w:val="005C6075"/>
    <w:rsid w:val="005C6624"/>
    <w:rsid w:val="005C6BE1"/>
    <w:rsid w:val="005D0A5D"/>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225D"/>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4C3A"/>
    <w:rsid w:val="006A62A0"/>
    <w:rsid w:val="006A65D0"/>
    <w:rsid w:val="006A7FD5"/>
    <w:rsid w:val="006B01F0"/>
    <w:rsid w:val="006B0EE4"/>
    <w:rsid w:val="006B179F"/>
    <w:rsid w:val="006B1975"/>
    <w:rsid w:val="006B2B95"/>
    <w:rsid w:val="006B340F"/>
    <w:rsid w:val="006B4984"/>
    <w:rsid w:val="006B53C5"/>
    <w:rsid w:val="006B5B2D"/>
    <w:rsid w:val="006B5F33"/>
    <w:rsid w:val="006B6566"/>
    <w:rsid w:val="006B693D"/>
    <w:rsid w:val="006B6A99"/>
    <w:rsid w:val="006B7A38"/>
    <w:rsid w:val="006C1720"/>
    <w:rsid w:val="006C344B"/>
    <w:rsid w:val="006C3F07"/>
    <w:rsid w:val="006C5F88"/>
    <w:rsid w:val="006C6290"/>
    <w:rsid w:val="006C6F0E"/>
    <w:rsid w:val="006C7500"/>
    <w:rsid w:val="006C7F13"/>
    <w:rsid w:val="006D1943"/>
    <w:rsid w:val="006D1E33"/>
    <w:rsid w:val="006D3C89"/>
    <w:rsid w:val="006D3F26"/>
    <w:rsid w:val="006D4124"/>
    <w:rsid w:val="006D597D"/>
    <w:rsid w:val="006D630F"/>
    <w:rsid w:val="006D654A"/>
    <w:rsid w:val="006D664B"/>
    <w:rsid w:val="006D775F"/>
    <w:rsid w:val="006E0630"/>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0DCA"/>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267"/>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5204"/>
    <w:rsid w:val="00836B29"/>
    <w:rsid w:val="0083757D"/>
    <w:rsid w:val="00837950"/>
    <w:rsid w:val="008414D4"/>
    <w:rsid w:val="008419E8"/>
    <w:rsid w:val="00841C68"/>
    <w:rsid w:val="00842AEC"/>
    <w:rsid w:val="00842D75"/>
    <w:rsid w:val="00844F39"/>
    <w:rsid w:val="00844F6A"/>
    <w:rsid w:val="0084618A"/>
    <w:rsid w:val="008465BC"/>
    <w:rsid w:val="00850FE0"/>
    <w:rsid w:val="00851792"/>
    <w:rsid w:val="00851E5F"/>
    <w:rsid w:val="00853708"/>
    <w:rsid w:val="0085374B"/>
    <w:rsid w:val="00853C73"/>
    <w:rsid w:val="0085439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6486"/>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498A"/>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B9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60E20"/>
    <w:rsid w:val="00A63879"/>
    <w:rsid w:val="00A669D3"/>
    <w:rsid w:val="00A6735A"/>
    <w:rsid w:val="00A72307"/>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0D21"/>
    <w:rsid w:val="00AC1089"/>
    <w:rsid w:val="00AC1FC3"/>
    <w:rsid w:val="00AC38B9"/>
    <w:rsid w:val="00AC483F"/>
    <w:rsid w:val="00AC57E7"/>
    <w:rsid w:val="00AC5E41"/>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1B9"/>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35A"/>
    <w:rsid w:val="00B464B3"/>
    <w:rsid w:val="00B470B7"/>
    <w:rsid w:val="00B50867"/>
    <w:rsid w:val="00B51D08"/>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D11"/>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4E86"/>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2A7B"/>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5818"/>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35B"/>
    <w:rsid w:val="00D30AAB"/>
    <w:rsid w:val="00D30CEA"/>
    <w:rsid w:val="00D323B9"/>
    <w:rsid w:val="00D32C93"/>
    <w:rsid w:val="00D33EB7"/>
    <w:rsid w:val="00D34FFD"/>
    <w:rsid w:val="00D37315"/>
    <w:rsid w:val="00D37907"/>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425E"/>
    <w:rsid w:val="00DB54D0"/>
    <w:rsid w:val="00DB6D17"/>
    <w:rsid w:val="00DB7C37"/>
    <w:rsid w:val="00DC5075"/>
    <w:rsid w:val="00DC6C8F"/>
    <w:rsid w:val="00DC70C0"/>
    <w:rsid w:val="00DD05A3"/>
    <w:rsid w:val="00DD095A"/>
    <w:rsid w:val="00DD2863"/>
    <w:rsid w:val="00DD3D4E"/>
    <w:rsid w:val="00DD3D85"/>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172"/>
    <w:rsid w:val="00E12CE1"/>
    <w:rsid w:val="00E12F61"/>
    <w:rsid w:val="00E143EA"/>
    <w:rsid w:val="00E14A00"/>
    <w:rsid w:val="00E15595"/>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765"/>
    <w:rsid w:val="00F7587E"/>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15C4578"/>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40" w:lineRule="auto"/>
    </w:pPr>
    <w:rPr>
      <w:rFonts w:ascii="Times New Roman" w:hAnsi="Times New Roman" w:eastAsia="Malgun Gothic" w:cs="Times New Roman"/>
      <w:sz w:val="20"/>
      <w:szCs w:val="20"/>
      <w:lang w:val="en-GB" w:eastAsia="en-US" w:bidi="ar-SA"/>
    </w:rPr>
  </w:style>
  <w:style w:type="paragraph" w:styleId="2">
    <w:name w:val="heading 1"/>
    <w:next w:val="1"/>
    <w:link w:val="25"/>
    <w:qFormat/>
    <w:uiPriority w:val="0"/>
    <w:pPr>
      <w:keepNext/>
      <w:keepLines/>
      <w:numPr>
        <w:ilvl w:val="0"/>
        <w:numId w:val="1"/>
      </w:numPr>
      <w:pBdr>
        <w:top w:val="single" w:color="auto" w:sz="12" w:space="3"/>
      </w:pBdr>
      <w:spacing w:before="240" w:after="180" w:line="240" w:lineRule="auto"/>
      <w:outlineLvl w:val="0"/>
    </w:pPr>
    <w:rPr>
      <w:rFonts w:ascii="Arial" w:hAnsi="Arial" w:eastAsia="Malgun Gothic" w:cs="Times New Roman"/>
      <w:sz w:val="36"/>
      <w:szCs w:val="20"/>
      <w:lang w:val="en-GB" w:eastAsia="en-US" w:bidi="ar-SA"/>
    </w:rPr>
  </w:style>
  <w:style w:type="paragraph" w:styleId="3">
    <w:name w:val="heading 2"/>
    <w:basedOn w:val="1"/>
    <w:next w:val="1"/>
    <w:link w:val="55"/>
    <w:unhideWhenUsed/>
    <w:qFormat/>
    <w:uiPriority w:val="9"/>
    <w:pPr>
      <w:keepNext/>
      <w:keepLines/>
      <w:numPr>
        <w:ilvl w:val="1"/>
        <w:numId w:val="1"/>
      </w:numPr>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57"/>
    <w:unhideWhenUsed/>
    <w:qFormat/>
    <w:uiPriority w:val="9"/>
    <w:pPr>
      <w:keepNext/>
      <w:keepLines/>
      <w:numPr>
        <w:ilvl w:val="2"/>
        <w:numId w:val="1"/>
      </w:numPr>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58"/>
    <w:semiHidden/>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59"/>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60"/>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1F4E79" w:themeColor="accent1" w:themeShade="80"/>
    </w:rPr>
  </w:style>
  <w:style w:type="paragraph" w:styleId="8">
    <w:name w:val="heading 7"/>
    <w:basedOn w:val="1"/>
    <w:next w:val="1"/>
    <w:link w:val="61"/>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62"/>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63"/>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29"/>
    <w:unhideWhenUsed/>
    <w:qFormat/>
    <w:uiPriority w:val="0"/>
  </w:style>
  <w:style w:type="paragraph" w:styleId="12">
    <w:name w:val="Body Text"/>
    <w:basedOn w:val="1"/>
    <w:link w:val="49"/>
    <w:qFormat/>
    <w:uiPriority w:val="0"/>
    <w:rPr>
      <w:rFonts w:eastAsia="宋体"/>
    </w:rPr>
  </w:style>
  <w:style w:type="paragraph" w:styleId="13">
    <w:name w:val="List 2"/>
    <w:basedOn w:val="1"/>
    <w:semiHidden/>
    <w:unhideWhenUsed/>
    <w:qFormat/>
    <w:uiPriority w:val="99"/>
    <w:pPr>
      <w:ind w:left="720" w:hanging="360"/>
      <w:contextualSpacing/>
    </w:pPr>
  </w:style>
  <w:style w:type="paragraph" w:styleId="14">
    <w:name w:val="Balloon Text"/>
    <w:basedOn w:val="1"/>
    <w:link w:val="31"/>
    <w:semiHidden/>
    <w:unhideWhenUsed/>
    <w:qFormat/>
    <w:uiPriority w:val="99"/>
    <w:pPr>
      <w:spacing w:after="0"/>
    </w:pPr>
    <w:rPr>
      <w:rFonts w:ascii="Segoe UI" w:hAnsi="Segoe UI" w:cs="Segoe UI"/>
      <w:sz w:val="18"/>
      <w:szCs w:val="18"/>
    </w:rPr>
  </w:style>
  <w:style w:type="paragraph" w:styleId="15">
    <w:name w:val="footer"/>
    <w:basedOn w:val="1"/>
    <w:link w:val="42"/>
    <w:unhideWhenUsed/>
    <w:qFormat/>
    <w:uiPriority w:val="99"/>
    <w:pPr>
      <w:tabs>
        <w:tab w:val="center" w:pos="4680"/>
        <w:tab w:val="right" w:pos="9360"/>
      </w:tabs>
      <w:spacing w:after="0"/>
    </w:pPr>
  </w:style>
  <w:style w:type="paragraph" w:styleId="16">
    <w:name w:val="header"/>
    <w:basedOn w:val="1"/>
    <w:link w:val="41"/>
    <w:unhideWhenUsed/>
    <w:qFormat/>
    <w:uiPriority w:val="99"/>
    <w:pPr>
      <w:tabs>
        <w:tab w:val="center" w:pos="4680"/>
        <w:tab w:val="right" w:pos="9360"/>
      </w:tabs>
      <w:spacing w:after="0"/>
    </w:pPr>
  </w:style>
  <w:style w:type="paragraph" w:styleId="17">
    <w:name w:val="List"/>
    <w:basedOn w:val="1"/>
    <w:semiHidden/>
    <w:unhideWhenUsed/>
    <w:qFormat/>
    <w:uiPriority w:val="99"/>
    <w:pPr>
      <w:ind w:left="360" w:hanging="360"/>
      <w:contextualSpacing/>
    </w:pPr>
  </w:style>
  <w:style w:type="paragraph" w:styleId="18">
    <w:name w:val="Normal (Web)"/>
    <w:basedOn w:val="1"/>
    <w:semiHidden/>
    <w:unhideWhenUsed/>
    <w:qFormat/>
    <w:uiPriority w:val="99"/>
    <w:pPr>
      <w:spacing w:before="100" w:beforeAutospacing="1" w:after="100" w:afterAutospacing="1"/>
    </w:pPr>
    <w:rPr>
      <w:rFonts w:eastAsia="Times New Roman"/>
      <w:sz w:val="24"/>
      <w:szCs w:val="24"/>
      <w:lang w:val="en-US" w:eastAsia="zh-TW"/>
    </w:rPr>
  </w:style>
  <w:style w:type="paragraph" w:styleId="19">
    <w:name w:val="annotation subject"/>
    <w:basedOn w:val="11"/>
    <w:next w:val="11"/>
    <w:link w:val="30"/>
    <w:semiHidden/>
    <w:unhideWhenUsed/>
    <w:qFormat/>
    <w:uiPriority w:val="99"/>
    <w:rPr>
      <w:b/>
      <w:bCs/>
    </w:rPr>
  </w:style>
  <w:style w:type="table" w:styleId="21">
    <w:name w:val="Table Grid"/>
    <w:basedOn w:val="2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annotation reference"/>
    <w:basedOn w:val="22"/>
    <w:semiHidden/>
    <w:unhideWhenUsed/>
    <w:qFormat/>
    <w:uiPriority w:val="0"/>
    <w:rPr>
      <w:sz w:val="16"/>
      <w:szCs w:val="16"/>
    </w:rPr>
  </w:style>
  <w:style w:type="character" w:customStyle="1" w:styleId="25">
    <w:name w:val="Heading 1 Char"/>
    <w:basedOn w:val="22"/>
    <w:link w:val="2"/>
    <w:qFormat/>
    <w:uiPriority w:val="0"/>
    <w:rPr>
      <w:rFonts w:ascii="Arial" w:hAnsi="Arial" w:eastAsia="Malgun Gothic" w:cs="Times New Roman"/>
      <w:sz w:val="36"/>
      <w:szCs w:val="20"/>
      <w:lang w:val="en-GB" w:eastAsia="en-US"/>
    </w:rPr>
  </w:style>
  <w:style w:type="character" w:customStyle="1" w:styleId="26">
    <w:name w:val="Doc-text2 Char"/>
    <w:link w:val="27"/>
    <w:qFormat/>
    <w:locked/>
    <w:uiPriority w:val="0"/>
    <w:rPr>
      <w:rFonts w:ascii="Arial" w:hAnsi="Arial" w:eastAsia="MS Mincho" w:cs="Arial"/>
      <w:szCs w:val="24"/>
      <w:lang w:val="en-GB" w:eastAsia="en-GB"/>
    </w:rPr>
  </w:style>
  <w:style w:type="paragraph" w:customStyle="1" w:styleId="27">
    <w:name w:val="Doc-text2"/>
    <w:basedOn w:val="1"/>
    <w:link w:val="26"/>
    <w:qFormat/>
    <w:uiPriority w:val="0"/>
    <w:pPr>
      <w:tabs>
        <w:tab w:val="left" w:pos="1622"/>
      </w:tabs>
      <w:spacing w:after="0"/>
      <w:ind w:left="1622" w:hanging="363"/>
    </w:pPr>
    <w:rPr>
      <w:rFonts w:ascii="Arial" w:hAnsi="Arial" w:eastAsia="MS Mincho" w:cs="Arial"/>
      <w:sz w:val="22"/>
      <w:szCs w:val="24"/>
      <w:lang w:eastAsia="en-GB"/>
    </w:rPr>
  </w:style>
  <w:style w:type="paragraph" w:styleId="28">
    <w:name w:val="List Paragraph"/>
    <w:basedOn w:val="1"/>
    <w:link w:val="48"/>
    <w:qFormat/>
    <w:uiPriority w:val="34"/>
    <w:pPr>
      <w:ind w:left="720"/>
      <w:contextualSpacing/>
    </w:pPr>
  </w:style>
  <w:style w:type="character" w:customStyle="1" w:styleId="29">
    <w:name w:val="Comment Text Char"/>
    <w:basedOn w:val="22"/>
    <w:link w:val="11"/>
    <w:qFormat/>
    <w:uiPriority w:val="0"/>
    <w:rPr>
      <w:rFonts w:ascii="Times New Roman" w:hAnsi="Times New Roman" w:eastAsia="Malgun Gothic" w:cs="Times New Roman"/>
      <w:sz w:val="20"/>
      <w:szCs w:val="20"/>
      <w:lang w:val="en-GB" w:eastAsia="en-US"/>
    </w:rPr>
  </w:style>
  <w:style w:type="character" w:customStyle="1" w:styleId="30">
    <w:name w:val="Comment Subject Char"/>
    <w:basedOn w:val="29"/>
    <w:link w:val="19"/>
    <w:semiHidden/>
    <w:qFormat/>
    <w:uiPriority w:val="99"/>
    <w:rPr>
      <w:rFonts w:ascii="Times New Roman" w:hAnsi="Times New Roman" w:eastAsia="Malgun Gothic" w:cs="Times New Roman"/>
      <w:b/>
      <w:bCs/>
      <w:sz w:val="20"/>
      <w:szCs w:val="20"/>
      <w:lang w:val="en-GB" w:eastAsia="en-US"/>
    </w:rPr>
  </w:style>
  <w:style w:type="character" w:customStyle="1" w:styleId="31">
    <w:name w:val="Balloon Text Char"/>
    <w:basedOn w:val="22"/>
    <w:link w:val="14"/>
    <w:semiHidden/>
    <w:qFormat/>
    <w:uiPriority w:val="99"/>
    <w:rPr>
      <w:rFonts w:ascii="Segoe UI" w:hAnsi="Segoe UI" w:eastAsia="Malgun Gothic" w:cs="Segoe UI"/>
      <w:sz w:val="18"/>
      <w:szCs w:val="18"/>
      <w:lang w:val="en-GB" w:eastAsia="en-US"/>
    </w:rPr>
  </w:style>
  <w:style w:type="paragraph" w:customStyle="1" w:styleId="32">
    <w:name w:val="Editor's Note"/>
    <w:basedOn w:val="1"/>
    <w:link w:val="33"/>
    <w:qFormat/>
    <w:uiPriority w:val="0"/>
    <w:pPr>
      <w:keepLines/>
      <w:ind w:left="1135" w:hanging="851"/>
    </w:pPr>
    <w:rPr>
      <w:rFonts w:eastAsiaTheme="minorEastAsia"/>
      <w:color w:val="FF0000"/>
    </w:rPr>
  </w:style>
  <w:style w:type="character" w:customStyle="1" w:styleId="33">
    <w:name w:val="Editor's Note Char"/>
    <w:link w:val="32"/>
    <w:qFormat/>
    <w:uiPriority w:val="0"/>
    <w:rPr>
      <w:rFonts w:ascii="Times New Roman" w:hAnsi="Times New Roman" w:cs="Times New Roman"/>
      <w:color w:val="FF0000"/>
      <w:sz w:val="20"/>
      <w:szCs w:val="20"/>
      <w:lang w:val="en-GB" w:eastAsia="en-US"/>
    </w:rPr>
  </w:style>
  <w:style w:type="paragraph" w:customStyle="1" w:styleId="34">
    <w:name w:val="TH"/>
    <w:basedOn w:val="1"/>
    <w:link w:val="36"/>
    <w:qFormat/>
    <w:uiPriority w:val="0"/>
    <w:pPr>
      <w:keepNext/>
      <w:keepLines/>
      <w:spacing w:before="60"/>
      <w:jc w:val="center"/>
    </w:pPr>
    <w:rPr>
      <w:rFonts w:ascii="Arial" w:hAnsi="Arial" w:eastAsia="Times New Roman"/>
      <w:b/>
    </w:rPr>
  </w:style>
  <w:style w:type="paragraph" w:customStyle="1" w:styleId="35">
    <w:name w:val="TF"/>
    <w:basedOn w:val="34"/>
    <w:link w:val="37"/>
    <w:qFormat/>
    <w:uiPriority w:val="0"/>
    <w:pPr>
      <w:keepNext w:val="0"/>
      <w:spacing w:before="0" w:after="240"/>
    </w:pPr>
  </w:style>
  <w:style w:type="character" w:customStyle="1" w:styleId="36">
    <w:name w:val="TH Char"/>
    <w:link w:val="34"/>
    <w:qFormat/>
    <w:uiPriority w:val="0"/>
    <w:rPr>
      <w:rFonts w:ascii="Arial" w:hAnsi="Arial" w:eastAsia="Times New Roman" w:cs="Times New Roman"/>
      <w:b/>
      <w:sz w:val="20"/>
      <w:szCs w:val="20"/>
      <w:lang w:val="en-GB" w:eastAsia="en-US"/>
    </w:rPr>
  </w:style>
  <w:style w:type="character" w:customStyle="1" w:styleId="37">
    <w:name w:val="TF Char"/>
    <w:link w:val="35"/>
    <w:qFormat/>
    <w:uiPriority w:val="0"/>
    <w:rPr>
      <w:rFonts w:ascii="Arial" w:hAnsi="Arial" w:eastAsia="Times New Roman" w:cs="Times New Roman"/>
      <w:b/>
      <w:sz w:val="20"/>
      <w:szCs w:val="20"/>
      <w:lang w:val="en-GB" w:eastAsia="en-US"/>
    </w:rPr>
  </w:style>
  <w:style w:type="paragraph" w:customStyle="1" w:styleId="38">
    <w:name w:val="Revision"/>
    <w:hidden/>
    <w:semiHidden/>
    <w:qFormat/>
    <w:uiPriority w:val="99"/>
    <w:pPr>
      <w:spacing w:after="0" w:line="240" w:lineRule="auto"/>
    </w:pPr>
    <w:rPr>
      <w:rFonts w:ascii="Times New Roman" w:hAnsi="Times New Roman" w:eastAsia="Malgun Gothic" w:cs="Times New Roman"/>
      <w:sz w:val="20"/>
      <w:szCs w:val="20"/>
      <w:lang w:val="en-GB" w:eastAsia="en-US" w:bidi="ar-SA"/>
    </w:rPr>
  </w:style>
  <w:style w:type="paragraph" w:customStyle="1" w:styleId="39">
    <w:name w:val="B1"/>
    <w:basedOn w:val="17"/>
    <w:link w:val="40"/>
    <w:qFormat/>
    <w:uiPriority w:val="0"/>
    <w:pPr>
      <w:ind w:left="568" w:hanging="284"/>
      <w:contextualSpacing w:val="0"/>
    </w:pPr>
    <w:rPr>
      <w:rFonts w:eastAsia="Times New Roman"/>
    </w:rPr>
  </w:style>
  <w:style w:type="character" w:customStyle="1" w:styleId="40">
    <w:name w:val="B1 Char"/>
    <w:link w:val="39"/>
    <w:qFormat/>
    <w:locked/>
    <w:uiPriority w:val="0"/>
    <w:rPr>
      <w:rFonts w:ascii="Times New Roman" w:hAnsi="Times New Roman" w:eastAsia="Times New Roman" w:cs="Times New Roman"/>
      <w:sz w:val="20"/>
      <w:szCs w:val="20"/>
      <w:lang w:val="en-GB" w:eastAsia="en-US"/>
    </w:rPr>
  </w:style>
  <w:style w:type="character" w:customStyle="1" w:styleId="41">
    <w:name w:val="Header Char"/>
    <w:basedOn w:val="22"/>
    <w:link w:val="16"/>
    <w:qFormat/>
    <w:uiPriority w:val="99"/>
    <w:rPr>
      <w:rFonts w:ascii="Times New Roman" w:hAnsi="Times New Roman" w:eastAsia="Malgun Gothic" w:cs="Times New Roman"/>
      <w:sz w:val="20"/>
      <w:szCs w:val="20"/>
      <w:lang w:val="en-GB" w:eastAsia="en-US"/>
    </w:rPr>
  </w:style>
  <w:style w:type="character" w:customStyle="1" w:styleId="42">
    <w:name w:val="Footer Char"/>
    <w:basedOn w:val="22"/>
    <w:link w:val="15"/>
    <w:qFormat/>
    <w:uiPriority w:val="99"/>
    <w:rPr>
      <w:rFonts w:ascii="Times New Roman" w:hAnsi="Times New Roman" w:eastAsia="Malgun Gothic" w:cs="Times New Roman"/>
      <w:sz w:val="20"/>
      <w:szCs w:val="20"/>
      <w:lang w:val="en-GB" w:eastAsia="en-US"/>
    </w:rPr>
  </w:style>
  <w:style w:type="paragraph" w:customStyle="1" w:styleId="43">
    <w:name w:val="Comments"/>
    <w:basedOn w:val="1"/>
    <w:link w:val="44"/>
    <w:qFormat/>
    <w:uiPriority w:val="0"/>
    <w:pPr>
      <w:spacing w:before="40" w:after="0"/>
    </w:pPr>
    <w:rPr>
      <w:rFonts w:ascii="Arial" w:hAnsi="Arial" w:eastAsia="MS Mincho"/>
      <w:i/>
      <w:sz w:val="18"/>
      <w:szCs w:val="24"/>
      <w:lang w:eastAsia="en-GB"/>
    </w:rPr>
  </w:style>
  <w:style w:type="character" w:customStyle="1" w:styleId="44">
    <w:name w:val="Comments Char"/>
    <w:link w:val="43"/>
    <w:qFormat/>
    <w:uiPriority w:val="0"/>
    <w:rPr>
      <w:rFonts w:ascii="Arial" w:hAnsi="Arial" w:eastAsia="MS Mincho" w:cs="Times New Roman"/>
      <w:i/>
      <w:sz w:val="18"/>
      <w:szCs w:val="24"/>
      <w:lang w:val="en-GB" w:eastAsia="en-GB"/>
    </w:rPr>
  </w:style>
  <w:style w:type="paragraph" w:customStyle="1" w:styleId="45">
    <w:name w:val="Doc-comment"/>
    <w:basedOn w:val="1"/>
    <w:next w:val="27"/>
    <w:qFormat/>
    <w:uiPriority w:val="0"/>
    <w:pPr>
      <w:tabs>
        <w:tab w:val="left" w:pos="1622"/>
      </w:tabs>
      <w:spacing w:after="0"/>
      <w:ind w:left="1622" w:hanging="363"/>
    </w:pPr>
    <w:rPr>
      <w:rFonts w:ascii="Arial" w:hAnsi="Arial" w:eastAsia="MS Mincho"/>
      <w:i/>
      <w:szCs w:val="24"/>
      <w:lang w:eastAsia="en-GB"/>
    </w:rPr>
  </w:style>
  <w:style w:type="paragraph" w:customStyle="1" w:styleId="46">
    <w:name w:val="TAL"/>
    <w:basedOn w:val="1"/>
    <w:link w:val="47"/>
    <w:qFormat/>
    <w:uiPriority w:val="0"/>
    <w:pPr>
      <w:keepNext/>
      <w:keepLines/>
      <w:overflowPunct w:val="0"/>
      <w:autoSpaceDE w:val="0"/>
      <w:autoSpaceDN w:val="0"/>
      <w:adjustRightInd w:val="0"/>
      <w:spacing w:after="0"/>
      <w:textAlignment w:val="baseline"/>
    </w:pPr>
    <w:rPr>
      <w:rFonts w:ascii="Arial" w:hAnsi="Arial" w:eastAsia="Times New Roman"/>
      <w:sz w:val="18"/>
      <w:lang w:eastAsia="ja-JP"/>
    </w:rPr>
  </w:style>
  <w:style w:type="character" w:customStyle="1" w:styleId="47">
    <w:name w:val="TAL Car"/>
    <w:link w:val="46"/>
    <w:qFormat/>
    <w:uiPriority w:val="0"/>
    <w:rPr>
      <w:rFonts w:ascii="Arial" w:hAnsi="Arial" w:eastAsia="Times New Roman" w:cs="Times New Roman"/>
      <w:sz w:val="18"/>
      <w:szCs w:val="20"/>
      <w:lang w:val="en-GB" w:eastAsia="ja-JP"/>
    </w:rPr>
  </w:style>
  <w:style w:type="character" w:customStyle="1" w:styleId="48">
    <w:name w:val="List Paragraph Char"/>
    <w:link w:val="28"/>
    <w:qFormat/>
    <w:locked/>
    <w:uiPriority w:val="34"/>
    <w:rPr>
      <w:rFonts w:ascii="Times New Roman" w:hAnsi="Times New Roman" w:eastAsia="Malgun Gothic" w:cs="Times New Roman"/>
      <w:sz w:val="20"/>
      <w:szCs w:val="20"/>
      <w:lang w:val="en-GB" w:eastAsia="en-US"/>
    </w:rPr>
  </w:style>
  <w:style w:type="character" w:customStyle="1" w:styleId="49">
    <w:name w:val="Body Text Char"/>
    <w:basedOn w:val="22"/>
    <w:link w:val="12"/>
    <w:qFormat/>
    <w:uiPriority w:val="0"/>
    <w:rPr>
      <w:rFonts w:ascii="Times New Roman" w:hAnsi="Times New Roman" w:eastAsia="宋体" w:cs="Times New Roman"/>
      <w:sz w:val="20"/>
      <w:szCs w:val="20"/>
      <w:lang w:val="en-GB" w:eastAsia="en-US"/>
    </w:rPr>
  </w:style>
  <w:style w:type="paragraph" w:customStyle="1" w:styleId="50">
    <w:name w:val="B2"/>
    <w:basedOn w:val="13"/>
    <w:link w:val="51"/>
    <w:qFormat/>
    <w:uiPriority w:val="0"/>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51">
    <w:name w:val="B2 Char"/>
    <w:link w:val="50"/>
    <w:qFormat/>
    <w:uiPriority w:val="0"/>
    <w:rPr>
      <w:rFonts w:ascii="Times New Roman" w:hAnsi="Times New Roman" w:eastAsia="Times New Roman" w:cs="Times New Roman"/>
      <w:sz w:val="20"/>
      <w:szCs w:val="20"/>
      <w:lang w:val="en-GB" w:eastAsia="ja-JP"/>
    </w:rPr>
  </w:style>
  <w:style w:type="paragraph" w:customStyle="1" w:styleId="52">
    <w:name w:val="EQ"/>
    <w:basedOn w:val="1"/>
    <w:next w:val="1"/>
    <w:qFormat/>
    <w:uiPriority w:val="0"/>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53">
    <w:name w:val="PL"/>
    <w:link w:val="5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4">
    <w:name w:val="PL Char"/>
    <w:link w:val="53"/>
    <w:qFormat/>
    <w:uiPriority w:val="0"/>
    <w:rPr>
      <w:rFonts w:ascii="Courier New" w:hAnsi="Courier New" w:eastAsia="Times New Roman" w:cs="Times New Roman"/>
      <w:sz w:val="16"/>
      <w:szCs w:val="20"/>
      <w:shd w:val="clear" w:color="auto" w:fill="E6E6E6"/>
      <w:lang w:val="en-GB" w:eastAsia="en-GB"/>
    </w:rPr>
  </w:style>
  <w:style w:type="character" w:customStyle="1" w:styleId="55">
    <w:name w:val="Heading 2 Char"/>
    <w:basedOn w:val="22"/>
    <w:link w:val="3"/>
    <w:qFormat/>
    <w:uiPriority w:val="0"/>
    <w:rPr>
      <w:rFonts w:asciiTheme="majorHAnsi" w:hAnsiTheme="majorHAnsi" w:eastAsiaTheme="majorEastAsia" w:cstheme="majorBidi"/>
      <w:color w:val="2E75B6" w:themeColor="accent1" w:themeShade="BF"/>
      <w:sz w:val="26"/>
      <w:szCs w:val="26"/>
      <w:lang w:val="en-GB" w:eastAsia="en-US"/>
    </w:rPr>
  </w:style>
  <w:style w:type="character" w:customStyle="1" w:styleId="56">
    <w:name w:val="B1 Char1"/>
    <w:qFormat/>
    <w:uiPriority w:val="0"/>
    <w:rPr>
      <w:rFonts w:ascii="Arial" w:hAnsi="Arial" w:eastAsia="Times New Roman"/>
      <w:lang w:eastAsia="en-US"/>
    </w:rPr>
  </w:style>
  <w:style w:type="character" w:customStyle="1" w:styleId="57">
    <w:name w:val="Heading 3 Char"/>
    <w:basedOn w:val="22"/>
    <w:link w:val="4"/>
    <w:qFormat/>
    <w:uiPriority w:val="9"/>
    <w:rPr>
      <w:rFonts w:asciiTheme="majorHAnsi" w:hAnsiTheme="majorHAnsi" w:eastAsiaTheme="majorEastAsia" w:cstheme="majorBidi"/>
      <w:color w:val="1F4E79" w:themeColor="accent1" w:themeShade="80"/>
      <w:sz w:val="24"/>
      <w:szCs w:val="24"/>
      <w:lang w:val="en-GB" w:eastAsia="en-US"/>
    </w:rPr>
  </w:style>
  <w:style w:type="character" w:customStyle="1" w:styleId="58">
    <w:name w:val="Heading 4 Char"/>
    <w:basedOn w:val="22"/>
    <w:link w:val="5"/>
    <w:qFormat/>
    <w:uiPriority w:val="0"/>
    <w:rPr>
      <w:rFonts w:asciiTheme="majorHAnsi" w:hAnsiTheme="majorHAnsi" w:eastAsiaTheme="majorEastAsia" w:cstheme="majorBidi"/>
      <w:i/>
      <w:iCs/>
      <w:color w:val="2E75B6" w:themeColor="accent1" w:themeShade="BF"/>
      <w:sz w:val="20"/>
      <w:szCs w:val="20"/>
      <w:lang w:val="en-GB" w:eastAsia="en-US"/>
    </w:rPr>
  </w:style>
  <w:style w:type="character" w:customStyle="1" w:styleId="59">
    <w:name w:val="Heading 5 Char"/>
    <w:basedOn w:val="22"/>
    <w:link w:val="6"/>
    <w:semiHidden/>
    <w:qFormat/>
    <w:uiPriority w:val="9"/>
    <w:rPr>
      <w:rFonts w:asciiTheme="majorHAnsi" w:hAnsiTheme="majorHAnsi" w:eastAsiaTheme="majorEastAsia" w:cstheme="majorBidi"/>
      <w:color w:val="2E75B6" w:themeColor="accent1" w:themeShade="BF"/>
      <w:sz w:val="20"/>
      <w:szCs w:val="20"/>
      <w:lang w:val="en-GB" w:eastAsia="en-US"/>
    </w:rPr>
  </w:style>
  <w:style w:type="character" w:customStyle="1" w:styleId="60">
    <w:name w:val="Heading 6 Char"/>
    <w:basedOn w:val="22"/>
    <w:link w:val="7"/>
    <w:semiHidden/>
    <w:qFormat/>
    <w:uiPriority w:val="9"/>
    <w:rPr>
      <w:rFonts w:asciiTheme="majorHAnsi" w:hAnsiTheme="majorHAnsi" w:eastAsiaTheme="majorEastAsia" w:cstheme="majorBidi"/>
      <w:color w:val="1F4E79" w:themeColor="accent1" w:themeShade="80"/>
      <w:sz w:val="20"/>
      <w:szCs w:val="20"/>
      <w:lang w:val="en-GB" w:eastAsia="en-US"/>
    </w:rPr>
  </w:style>
  <w:style w:type="character" w:customStyle="1" w:styleId="61">
    <w:name w:val="Heading 7 Char"/>
    <w:basedOn w:val="22"/>
    <w:link w:val="8"/>
    <w:semiHidden/>
    <w:qFormat/>
    <w:uiPriority w:val="9"/>
    <w:rPr>
      <w:rFonts w:asciiTheme="majorHAnsi" w:hAnsiTheme="majorHAnsi" w:eastAsiaTheme="majorEastAsia" w:cstheme="majorBidi"/>
      <w:i/>
      <w:iCs/>
      <w:color w:val="1F4E79" w:themeColor="accent1" w:themeShade="80"/>
      <w:sz w:val="20"/>
      <w:szCs w:val="20"/>
      <w:lang w:val="en-GB" w:eastAsia="en-US"/>
    </w:rPr>
  </w:style>
  <w:style w:type="character" w:customStyle="1" w:styleId="62">
    <w:name w:val="Heading 8 Char"/>
    <w:basedOn w:val="22"/>
    <w:link w:val="9"/>
    <w:semiHidden/>
    <w:qFormat/>
    <w:uiPriority w:val="9"/>
    <w:rPr>
      <w:rFonts w:asciiTheme="majorHAnsi" w:hAnsiTheme="majorHAnsi" w:eastAsiaTheme="majorEastAsia" w:cstheme="majorBidi"/>
      <w:color w:val="262626" w:themeColor="text1" w:themeTint="D9"/>
      <w:sz w:val="21"/>
      <w:szCs w:val="21"/>
      <w:lang w:val="en-GB" w:eastAsia="en-US"/>
      <w14:textFill>
        <w14:solidFill>
          <w14:schemeClr w14:val="tx1">
            <w14:lumMod w14:val="85000"/>
            <w14:lumOff w14:val="15000"/>
          </w14:schemeClr>
        </w14:solidFill>
      </w14:textFill>
    </w:rPr>
  </w:style>
  <w:style w:type="character" w:customStyle="1" w:styleId="63">
    <w:name w:val="Heading 9 Char"/>
    <w:basedOn w:val="22"/>
    <w:link w:val="10"/>
    <w:semiHidden/>
    <w:qFormat/>
    <w:uiPriority w:val="9"/>
    <w:rPr>
      <w:rFonts w:asciiTheme="majorHAnsi" w:hAnsiTheme="majorHAnsi" w:eastAsiaTheme="majorEastAsia" w:cstheme="majorBidi"/>
      <w:i/>
      <w:iCs/>
      <w:color w:val="262626" w:themeColor="text1" w:themeTint="D9"/>
      <w:sz w:val="21"/>
      <w:szCs w:val="21"/>
      <w:lang w:val="en-GB" w:eastAsia="en-US"/>
      <w14:textFill>
        <w14:solidFill>
          <w14:schemeClr w14:val="tx1">
            <w14:lumMod w14:val="85000"/>
            <w14:lumOff w14:val="15000"/>
          </w14:schemeClr>
        </w14:solidFill>
      </w14:textFill>
    </w:rPr>
  </w:style>
  <w:style w:type="character" w:customStyle="1" w:styleId="64">
    <w:name w:val="ZGSM"/>
    <w:qFormat/>
    <w:uiPriority w:val="0"/>
  </w:style>
  <w:style w:type="paragraph" w:customStyle="1" w:styleId="65">
    <w:name w:val="EmailDiscussion"/>
    <w:basedOn w:val="1"/>
    <w:next w:val="27"/>
    <w:link w:val="66"/>
    <w:qFormat/>
    <w:uiPriority w:val="0"/>
    <w:pPr>
      <w:numPr>
        <w:ilvl w:val="0"/>
        <w:numId w:val="2"/>
      </w:numPr>
      <w:spacing w:before="40" w:after="0"/>
    </w:pPr>
    <w:rPr>
      <w:rFonts w:ascii="Arial" w:hAnsi="Arial" w:eastAsia="MS Mincho"/>
      <w:b/>
      <w:szCs w:val="24"/>
      <w:lang w:eastAsia="en-GB"/>
    </w:rPr>
  </w:style>
  <w:style w:type="character" w:customStyle="1" w:styleId="66">
    <w:name w:val="EmailDiscussion Char"/>
    <w:link w:val="65"/>
    <w:qFormat/>
    <w:uiPriority w:val="0"/>
    <w:rPr>
      <w:rFonts w:ascii="Arial" w:hAnsi="Arial" w:eastAsia="MS Mincho" w:cs="Times New Roman"/>
      <w:b/>
      <w:sz w:val="20"/>
      <w:szCs w:val="24"/>
      <w:lang w:val="en-GB" w:eastAsia="en-GB"/>
    </w:rPr>
  </w:style>
  <w:style w:type="paragraph" w:customStyle="1" w:styleId="67">
    <w:name w:val="EmailDiscussion2"/>
    <w:basedOn w:val="27"/>
    <w:qFormat/>
    <w:uiPriority w:val="0"/>
    <w:rPr>
      <w:rFonts w:cs="Times New Roman"/>
      <w:sz w:val="20"/>
    </w:rPr>
  </w:style>
  <w:style w:type="character" w:customStyle="1" w:styleId="68">
    <w:name w:val="text-only1"/>
    <w:basedOn w:val="22"/>
    <w:qFormat/>
    <w:uiPriority w:val="0"/>
  </w:style>
  <w:style w:type="paragraph" w:customStyle="1" w:styleId="69">
    <w:name w:val="paragraph"/>
    <w:basedOn w:val="1"/>
    <w:qFormat/>
    <w:uiPriority w:val="0"/>
    <w:pPr>
      <w:spacing w:before="100" w:beforeAutospacing="1" w:after="100" w:afterAutospacing="1"/>
    </w:pPr>
    <w:rPr>
      <w:rFonts w:eastAsia="Times New Roman"/>
      <w:sz w:val="24"/>
      <w:szCs w:val="24"/>
      <w:lang w:val="en-US" w:eastAsia="zh-CN"/>
    </w:rPr>
  </w:style>
  <w:style w:type="character" w:customStyle="1" w:styleId="70">
    <w:name w:val="normaltextrun"/>
    <w:basedOn w:val="22"/>
    <w:qFormat/>
    <w:uiPriority w:val="0"/>
  </w:style>
  <w:style w:type="character" w:customStyle="1" w:styleId="71">
    <w:name w:val="eop"/>
    <w:basedOn w:val="22"/>
    <w:qFormat/>
    <w:uiPriority w:val="0"/>
  </w:style>
  <w:style w:type="character" w:customStyle="1" w:styleId="72">
    <w:name w:val="apple-converted-space"/>
    <w:basedOn w:val="22"/>
    <w:qFormat/>
    <w:uiPriority w:val="0"/>
  </w:style>
  <w:style w:type="character" w:customStyle="1" w:styleId="73">
    <w:name w:val="TAL Char"/>
    <w:qFormat/>
    <w:uiPriority w:val="0"/>
    <w:rPr>
      <w:rFonts w:ascii="Arial" w:hAnsi="Arial" w:eastAsiaTheme="minorHAnsi" w:cstheme="minorBidi"/>
      <w:sz w:val="18"/>
      <w:lang w:eastAsia="en-US"/>
    </w:rPr>
  </w:style>
  <w:style w:type="character" w:customStyle="1" w:styleId="74">
    <w:name w:val="Mention1"/>
    <w:basedOn w:val="22"/>
    <w:unhideWhenUsed/>
    <w:qFormat/>
    <w:uiPriority w:val="99"/>
    <w:rPr>
      <w:color w:val="2B579A"/>
      <w:shd w:val="clear" w:color="auto" w:fill="E1DFDD"/>
    </w:rPr>
  </w:style>
  <w:style w:type="paragraph" w:customStyle="1" w:styleId="75">
    <w:name w:val="Agreement"/>
    <w:basedOn w:val="1"/>
    <w:next w:val="27"/>
    <w:qFormat/>
    <w:uiPriority w:val="99"/>
    <w:pPr>
      <w:numPr>
        <w:ilvl w:val="0"/>
        <w:numId w:val="3"/>
      </w:numPr>
      <w:spacing w:before="60" w:after="0"/>
    </w:pPr>
    <w:rPr>
      <w:rFonts w:ascii="Arial" w:hAnsi="Arial" w:eastAsia="MS Mincho"/>
      <w:b/>
      <w:szCs w:val="24"/>
      <w:lang w:eastAsia="en-GB"/>
    </w:rPr>
  </w:style>
  <w:style w:type="paragraph" w:customStyle="1" w:styleId="76">
    <w:name w:val="Doc-title"/>
    <w:basedOn w:val="1"/>
    <w:next w:val="27"/>
    <w:link w:val="77"/>
    <w:qFormat/>
    <w:uiPriority w:val="0"/>
    <w:pPr>
      <w:spacing w:before="60" w:after="0"/>
      <w:ind w:left="1259" w:hanging="1259"/>
    </w:pPr>
    <w:rPr>
      <w:rFonts w:ascii="Arial" w:hAnsi="Arial" w:eastAsia="MS Mincho"/>
      <w:szCs w:val="24"/>
      <w:lang w:eastAsia="en-GB"/>
    </w:rPr>
  </w:style>
  <w:style w:type="character" w:customStyle="1" w:styleId="77">
    <w:name w:val="Doc-title Char"/>
    <w:link w:val="76"/>
    <w:qFormat/>
    <w:uiPriority w:val="0"/>
    <w:rPr>
      <w:rFonts w:ascii="Arial" w:hAnsi="Arial" w:eastAsia="MS Mincho" w:cs="Times New Roman"/>
      <w:sz w:val="20"/>
      <w:szCs w:val="24"/>
      <w:lang w:val="en-GB" w:eastAsia="en-GB"/>
    </w:rPr>
  </w:style>
  <w:style w:type="paragraph" w:customStyle="1" w:styleId="78">
    <w:name w:val="Proposal"/>
    <w:basedOn w:val="12"/>
    <w:qFormat/>
    <w:uiPriority w:val="0"/>
    <w:pPr>
      <w:numPr>
        <w:ilvl w:val="0"/>
        <w:numId w:val="4"/>
      </w:numPr>
      <w:tabs>
        <w:tab w:val="left" w:pos="1304"/>
        <w:tab w:val="left" w:pos="1701"/>
        <w:tab w:val="clear" w:pos="6549"/>
      </w:tabs>
      <w:overflowPunct w:val="0"/>
      <w:autoSpaceDE w:val="0"/>
      <w:autoSpaceDN w:val="0"/>
      <w:adjustRightInd w:val="0"/>
      <w:spacing w:after="120"/>
      <w:ind w:left="1304"/>
      <w:jc w:val="both"/>
      <w:textAlignment w:val="baseline"/>
    </w:pPr>
    <w:rPr>
      <w:rFonts w:ascii="Arial" w:hAnsi="Arial"/>
      <w:b/>
      <w:bCs/>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E0E2DB-1E5A-4E1F-9AD1-8244DD03A05E}">
  <ds:schemaRefs/>
</ds:datastoreItem>
</file>

<file path=customXml/itemProps3.xml><?xml version="1.0" encoding="utf-8"?>
<ds:datastoreItem xmlns:ds="http://schemas.openxmlformats.org/officeDocument/2006/customXml" ds:itemID="{CDCDC06D-8181-4B1A-ADFA-AA17BA4961F0}">
  <ds:schemaRefs/>
</ds:datastoreItem>
</file>

<file path=customXml/itemProps4.xml><?xml version="1.0" encoding="utf-8"?>
<ds:datastoreItem xmlns:ds="http://schemas.openxmlformats.org/officeDocument/2006/customXml" ds:itemID="{06E02654-FF52-4C87-833E-737396BBF4A9}">
  <ds:schemaRefs/>
</ds:datastoreItem>
</file>

<file path=customXml/itemProps5.xml><?xml version="1.0" encoding="utf-8"?>
<ds:datastoreItem xmlns:ds="http://schemas.openxmlformats.org/officeDocument/2006/customXml" ds:itemID="{8429C876-1212-4EBA-93F1-3FA81EAA484B}">
  <ds:schemaRefs/>
</ds:datastoreItem>
</file>

<file path=docProps/app.xml><?xml version="1.0" encoding="utf-8"?>
<Properties xmlns="http://schemas.openxmlformats.org/officeDocument/2006/extended-properties" xmlns:vt="http://schemas.openxmlformats.org/officeDocument/2006/docPropsVTypes">
  <Template>Normal.dotm</Template>
  <Company>Intel Corporation</Company>
  <Pages>15</Pages>
  <Words>2257</Words>
  <Characters>18285</Characters>
  <Lines>152</Lines>
  <Paragraphs>41</Paragraphs>
  <TotalTime>12</TotalTime>
  <ScaleCrop>false</ScaleCrop>
  <LinksUpToDate>false</LinksUpToDate>
  <CharactersWithSpaces>20501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2022-03-01T06:17:00Z</dcterms:created>
  <dc:creator>Intel-Candy</dc:creator>
  <cp:keywords>CTPClassification=CTP_NT</cp:keywords>
  <cp:lastModifiedBy>ZTE</cp:lastModifiedBy>
  <dcterms:modified xsi:type="dcterms:W3CDTF">2022-03-01T07:23:58Z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1644799456</vt:lpwstr>
  </property>
  <property fmtid="{D5CDD505-2E9C-101B-9397-08002B2CF9AE}" pid="17" name="KSOProductBuildVer">
    <vt:lpwstr>2052-11.8.2.9022</vt:lpwstr>
  </property>
</Properties>
</file>