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5D79B" w14:textId="77777777" w:rsidR="00332539" w:rsidRDefault="000F2FB1">
      <w:pPr>
        <w:pStyle w:val="Header"/>
        <w:tabs>
          <w:tab w:val="right" w:pos="9639"/>
        </w:tabs>
        <w:jc w:val="both"/>
        <w:rPr>
          <w:bCs/>
          <w:i/>
          <w:sz w:val="24"/>
          <w:szCs w:val="24"/>
        </w:rPr>
      </w:pPr>
      <w:r>
        <w:rPr>
          <w:bCs/>
          <w:sz w:val="24"/>
          <w:szCs w:val="24"/>
        </w:rPr>
        <w:t>3GPP TSG-RAN WG2 Meeting #117 Electronic</w:t>
      </w:r>
      <w:r>
        <w:rPr>
          <w:bCs/>
          <w:sz w:val="24"/>
          <w:szCs w:val="24"/>
        </w:rPr>
        <w:tab/>
      </w:r>
      <w:bookmarkStart w:id="0" w:name="_Hlk67482467"/>
      <w:r>
        <w:rPr>
          <w:bCs/>
          <w:sz w:val="24"/>
          <w:szCs w:val="24"/>
          <w:highlight w:val="yellow"/>
        </w:rPr>
        <w:t>DRAFTR2-2203638</w:t>
      </w:r>
      <w:r>
        <w:rPr>
          <w:bCs/>
          <w:sz w:val="24"/>
          <w:szCs w:val="24"/>
        </w:rPr>
        <w:t xml:space="preserve"> </w:t>
      </w:r>
    </w:p>
    <w:p w14:paraId="2305D79C" w14:textId="77777777" w:rsidR="00332539" w:rsidRDefault="000F2FB1">
      <w:pPr>
        <w:pStyle w:val="Header"/>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sz w:val="24"/>
          <w:szCs w:val="24"/>
          <w:lang w:eastAsia="zh-CN"/>
        </w:rPr>
        <w:tab/>
      </w:r>
    </w:p>
    <w:p w14:paraId="2305D79D" w14:textId="77777777" w:rsidR="00332539" w:rsidRDefault="00332539">
      <w:pPr>
        <w:pStyle w:val="Header"/>
        <w:jc w:val="both"/>
        <w:rPr>
          <w:bCs/>
          <w:sz w:val="24"/>
        </w:rPr>
      </w:pPr>
    </w:p>
    <w:p w14:paraId="2305D79E" w14:textId="77777777" w:rsidR="00332539" w:rsidRDefault="00332539">
      <w:pPr>
        <w:pStyle w:val="Header"/>
        <w:jc w:val="both"/>
        <w:rPr>
          <w:bCs/>
          <w:sz w:val="24"/>
        </w:rPr>
      </w:pPr>
    </w:p>
    <w:p w14:paraId="2305D79F" w14:textId="77777777" w:rsidR="00332539" w:rsidRDefault="000F2FB1">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2305D7A0" w14:textId="77777777" w:rsidR="00332539" w:rsidRDefault="000F2FB1">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305D7A1" w14:textId="77777777" w:rsidR="00332539" w:rsidRDefault="000F2FB1">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14:paraId="2305D7A2" w14:textId="77777777" w:rsidR="00332539" w:rsidRDefault="000F2FB1">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2305D7A3" w14:textId="77777777" w:rsidR="00332539" w:rsidRDefault="000F2FB1">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305D7A4" w14:textId="77777777" w:rsidR="00332539" w:rsidRDefault="000F2FB1">
      <w:pPr>
        <w:pStyle w:val="Heading1"/>
        <w:jc w:val="both"/>
      </w:pPr>
      <w:r>
        <w:t>1</w:t>
      </w:r>
      <w:r>
        <w:tab/>
        <w:t>Introduction</w:t>
      </w:r>
    </w:p>
    <w:p w14:paraId="2305D7A5" w14:textId="77777777" w:rsidR="00332539" w:rsidRDefault="000F2FB1">
      <w:pPr>
        <w:spacing w:after="100" w:afterAutospacing="1"/>
        <w:jc w:val="both"/>
      </w:pPr>
      <w:r>
        <w:t>The scope of this paper is as follows:</w:t>
      </w:r>
    </w:p>
    <w:p w14:paraId="2305D7A6" w14:textId="77777777" w:rsidR="00332539" w:rsidRDefault="000F2FB1">
      <w:pPr>
        <w:pStyle w:val="EmailDiscussion"/>
        <w:rPr>
          <w:lang w:eastAsia="en-US"/>
        </w:rPr>
      </w:pPr>
      <w:r>
        <w:t>[AT117-e][224][DCCA] CPAC procedures from UE perspective (Nokia)</w:t>
      </w:r>
    </w:p>
    <w:p w14:paraId="2305D7A7" w14:textId="77777777" w:rsidR="00332539" w:rsidRDefault="000F2FB1">
      <w:pPr>
        <w:pStyle w:val="EmailDiscussion2"/>
      </w:pPr>
      <w:r>
        <w:tab/>
        <w:t>Scope: Attempt to resolve critical open issues for CPAC procedures from UE perspective based on contributions to 8.2.3.2</w:t>
      </w:r>
    </w:p>
    <w:p w14:paraId="2305D7A8" w14:textId="77777777" w:rsidR="00332539" w:rsidRDefault="000F2FB1">
      <w:pPr>
        <w:pStyle w:val="EmailDiscussion2"/>
      </w:pPr>
      <w:r>
        <w:tab/>
        <w:t>Intended outcome: Discussion report in R2-2203638.</w:t>
      </w:r>
    </w:p>
    <w:p w14:paraId="2305D7A9" w14:textId="77777777" w:rsidR="00332539" w:rsidRDefault="000F2FB1">
      <w:pPr>
        <w:pStyle w:val="EmailDiscussion2"/>
      </w:pPr>
      <w:r>
        <w:tab/>
        <w:t>Deadline: Deadline 3</w:t>
      </w:r>
    </w:p>
    <w:p w14:paraId="2305D7AA" w14:textId="77777777" w:rsidR="00332539" w:rsidRDefault="000F2FB1">
      <w:pPr>
        <w:spacing w:after="100" w:afterAutospacing="1"/>
        <w:jc w:val="both"/>
      </w:pPr>
      <w:r>
        <w:br/>
        <w:t>The topics are discussed in detail within the next sections.</w:t>
      </w:r>
    </w:p>
    <w:p w14:paraId="2305D7AB" w14:textId="77777777" w:rsidR="00332539" w:rsidRDefault="000F2FB1">
      <w:pPr>
        <w:pStyle w:val="Heading1"/>
        <w:jc w:val="both"/>
        <w:rPr>
          <w:lang w:val="en-US"/>
        </w:rPr>
      </w:pPr>
      <w:r>
        <w:rPr>
          <w:lang w:val="en-US"/>
        </w:rPr>
        <w:t>2</w:t>
      </w:r>
      <w:r>
        <w:rPr>
          <w:lang w:val="en-US"/>
        </w:rPr>
        <w:tab/>
        <w:t>Discussion</w:t>
      </w:r>
    </w:p>
    <w:p w14:paraId="2305D7AC" w14:textId="77777777" w:rsidR="00332539" w:rsidRDefault="000F2FB1">
      <w:pPr>
        <w:jc w:val="both"/>
        <w:rPr>
          <w:b/>
          <w:lang w:eastAsia="zh-CN"/>
        </w:rPr>
      </w:pPr>
      <w:r>
        <w:rPr>
          <w:lang w:val="en-US"/>
        </w:rPr>
        <w:t>This section is divided topic-wise, based on what has been contributed by the companies.</w:t>
      </w:r>
    </w:p>
    <w:p w14:paraId="2305D7AD" w14:textId="77777777" w:rsidR="00332539" w:rsidRDefault="000F2FB1">
      <w:pPr>
        <w:pStyle w:val="Heading2"/>
        <w:jc w:val="both"/>
        <w:rPr>
          <w:lang w:eastAsia="zh-CN"/>
        </w:rPr>
      </w:pPr>
      <w:r>
        <w:rPr>
          <w:lang w:eastAsia="zh-CN"/>
        </w:rPr>
        <w:t>2.1</w:t>
      </w:r>
      <w:r>
        <w:rPr>
          <w:lang w:eastAsia="zh-CN"/>
        </w:rPr>
        <w:tab/>
        <w:t>CPC with deactivated SCG</w:t>
      </w:r>
    </w:p>
    <w:p w14:paraId="2305D7AE" w14:textId="77777777" w:rsidR="00332539" w:rsidRDefault="000F2FB1">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2305D7AF"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2305D7B0"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2305D7B1"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2305D7B2"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2305D7B3" w14:textId="77777777" w:rsidR="00332539" w:rsidRDefault="000F2FB1">
      <w:pPr>
        <w:pStyle w:val="ListParagraph"/>
        <w:numPr>
          <w:ilvl w:val="0"/>
          <w:numId w:val="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2305D7B4" w14:textId="77777777" w:rsidR="00332539" w:rsidRDefault="000F2FB1">
      <w:pPr>
        <w:jc w:val="both"/>
        <w:rPr>
          <w:lang w:eastAsia="zh-CN"/>
        </w:rPr>
      </w:pPr>
      <w:r>
        <w:rPr>
          <w:lang w:val="en-US" w:eastAsia="zh-CN"/>
        </w:rPr>
        <w:lastRenderedPageBreak/>
        <w:t xml:space="preserve">The basic </w:t>
      </w:r>
      <w:r>
        <w:rPr>
          <w:lang w:eastAsia="zh-CN"/>
        </w:rPr>
        <w:t>question should be whether this topic needs to be addressed in Rel-17 and what are the possible consequences if such coexistence is not resolved via specification.</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7B6" w14:textId="77777777">
        <w:tc>
          <w:tcPr>
            <w:tcW w:w="9631" w:type="dxa"/>
            <w:gridSpan w:val="3"/>
          </w:tcPr>
          <w:p w14:paraId="2305D7B5" w14:textId="77777777" w:rsidR="00332539" w:rsidRDefault="000F2FB1">
            <w:pPr>
              <w:jc w:val="both"/>
              <w:rPr>
                <w:b/>
                <w:bCs/>
              </w:rPr>
            </w:pPr>
            <w:r>
              <w:rPr>
                <w:b/>
                <w:bCs/>
              </w:rPr>
              <w:t>Question 1: Do you think the coexistence of CPAC and SCG deactivation needs to be addressed via specification? Please clarify in the Comments column what is the expected behavior.</w:t>
            </w:r>
          </w:p>
        </w:tc>
      </w:tr>
      <w:tr w:rsidR="00332539" w14:paraId="2305D7BA" w14:textId="77777777">
        <w:tc>
          <w:tcPr>
            <w:tcW w:w="1980" w:type="dxa"/>
          </w:tcPr>
          <w:p w14:paraId="2305D7B7" w14:textId="77777777" w:rsidR="00332539" w:rsidRDefault="000F2FB1">
            <w:pPr>
              <w:jc w:val="both"/>
              <w:rPr>
                <w:b/>
              </w:rPr>
            </w:pPr>
            <w:r>
              <w:rPr>
                <w:b/>
              </w:rPr>
              <w:t>Company</w:t>
            </w:r>
          </w:p>
        </w:tc>
        <w:tc>
          <w:tcPr>
            <w:tcW w:w="1843" w:type="dxa"/>
          </w:tcPr>
          <w:p w14:paraId="2305D7B8" w14:textId="77777777" w:rsidR="00332539" w:rsidRDefault="000F2FB1">
            <w:pPr>
              <w:jc w:val="both"/>
              <w:rPr>
                <w:b/>
              </w:rPr>
            </w:pPr>
            <w:r>
              <w:rPr>
                <w:b/>
              </w:rPr>
              <w:t>Answer</w:t>
            </w:r>
          </w:p>
        </w:tc>
        <w:tc>
          <w:tcPr>
            <w:tcW w:w="5808" w:type="dxa"/>
          </w:tcPr>
          <w:p w14:paraId="2305D7B9" w14:textId="77777777" w:rsidR="00332539" w:rsidRDefault="000F2FB1">
            <w:pPr>
              <w:jc w:val="both"/>
              <w:rPr>
                <w:b/>
              </w:rPr>
            </w:pPr>
            <w:r>
              <w:rPr>
                <w:b/>
              </w:rPr>
              <w:t>Comments</w:t>
            </w:r>
          </w:p>
        </w:tc>
      </w:tr>
      <w:tr w:rsidR="00332539" w14:paraId="2305D7C0" w14:textId="77777777">
        <w:tc>
          <w:tcPr>
            <w:tcW w:w="1980" w:type="dxa"/>
          </w:tcPr>
          <w:p w14:paraId="2305D7BB" w14:textId="77777777" w:rsidR="00332539" w:rsidRDefault="000F2FB1">
            <w:pPr>
              <w:jc w:val="both"/>
              <w:rPr>
                <w:lang w:eastAsia="zh-CN"/>
              </w:rPr>
            </w:pPr>
            <w:r>
              <w:rPr>
                <w:rFonts w:hint="eastAsia"/>
                <w:lang w:eastAsia="zh-CN"/>
              </w:rPr>
              <w:t>CATT</w:t>
            </w:r>
          </w:p>
        </w:tc>
        <w:tc>
          <w:tcPr>
            <w:tcW w:w="1843" w:type="dxa"/>
          </w:tcPr>
          <w:p w14:paraId="2305D7BC" w14:textId="77777777" w:rsidR="00332539" w:rsidRDefault="000F2FB1">
            <w:pPr>
              <w:jc w:val="both"/>
              <w:rPr>
                <w:lang w:eastAsia="zh-CN"/>
              </w:rPr>
            </w:pPr>
            <w:r>
              <w:rPr>
                <w:rFonts w:hint="eastAsia"/>
                <w:lang w:eastAsia="zh-CN"/>
              </w:rPr>
              <w:t>No</w:t>
            </w:r>
          </w:p>
        </w:tc>
        <w:tc>
          <w:tcPr>
            <w:tcW w:w="5808" w:type="dxa"/>
          </w:tcPr>
          <w:p w14:paraId="2305D7BD" w14:textId="77777777" w:rsidR="00332539" w:rsidRDefault="000F2FB1">
            <w:pPr>
              <w:jc w:val="both"/>
              <w:rPr>
                <w:szCs w:val="22"/>
                <w:lang w:eastAsia="zh-CN"/>
              </w:rPr>
            </w:pPr>
            <w:r>
              <w:rPr>
                <w:rFonts w:hint="eastAsia"/>
                <w:szCs w:val="22"/>
                <w:lang w:eastAsia="zh-CN"/>
              </w:rPr>
              <w:t>These options seem not orthogonal to each other.</w:t>
            </w:r>
          </w:p>
          <w:p w14:paraId="2305D7BE" w14:textId="77777777" w:rsidR="00332539" w:rsidRDefault="000F2FB1">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14:paraId="2305D7BF"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7C4" w14:textId="77777777">
        <w:tc>
          <w:tcPr>
            <w:tcW w:w="1980" w:type="dxa"/>
          </w:tcPr>
          <w:p w14:paraId="2305D7C1" w14:textId="77777777" w:rsidR="00332539" w:rsidRDefault="000F2FB1">
            <w:pPr>
              <w:jc w:val="both"/>
              <w:rPr>
                <w:lang w:eastAsia="zh-CN"/>
              </w:rPr>
            </w:pPr>
            <w:r>
              <w:rPr>
                <w:lang w:eastAsia="zh-CN"/>
              </w:rPr>
              <w:t>Huawei, HiSilicon</w:t>
            </w:r>
          </w:p>
        </w:tc>
        <w:tc>
          <w:tcPr>
            <w:tcW w:w="1843" w:type="dxa"/>
          </w:tcPr>
          <w:p w14:paraId="2305D7C2" w14:textId="77777777" w:rsidR="00332539" w:rsidRDefault="00332539">
            <w:pPr>
              <w:jc w:val="both"/>
              <w:rPr>
                <w:lang w:eastAsia="zh-CN"/>
              </w:rPr>
            </w:pPr>
          </w:p>
        </w:tc>
        <w:tc>
          <w:tcPr>
            <w:tcW w:w="5808" w:type="dxa"/>
          </w:tcPr>
          <w:p w14:paraId="2305D7C3" w14:textId="77777777" w:rsidR="00332539" w:rsidRDefault="000F2FB1">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332539" w14:paraId="2305D7C8" w14:textId="77777777">
        <w:tc>
          <w:tcPr>
            <w:tcW w:w="1980" w:type="dxa"/>
          </w:tcPr>
          <w:p w14:paraId="2305D7C5" w14:textId="77777777" w:rsidR="00332539" w:rsidRDefault="000F2FB1">
            <w:pPr>
              <w:jc w:val="both"/>
              <w:rPr>
                <w:lang w:eastAsia="zh-CN"/>
              </w:rPr>
            </w:pPr>
            <w:r>
              <w:rPr>
                <w:lang w:eastAsia="zh-CN"/>
              </w:rPr>
              <w:t>Intel</w:t>
            </w:r>
          </w:p>
        </w:tc>
        <w:tc>
          <w:tcPr>
            <w:tcW w:w="1843" w:type="dxa"/>
          </w:tcPr>
          <w:p w14:paraId="2305D7C6" w14:textId="77777777" w:rsidR="00332539" w:rsidRDefault="000F2FB1">
            <w:pPr>
              <w:jc w:val="both"/>
              <w:rPr>
                <w:lang w:eastAsia="zh-CN"/>
              </w:rPr>
            </w:pPr>
            <w:r>
              <w:rPr>
                <w:lang w:eastAsia="zh-CN"/>
              </w:rPr>
              <w:t>No</w:t>
            </w:r>
          </w:p>
        </w:tc>
        <w:tc>
          <w:tcPr>
            <w:tcW w:w="5808" w:type="dxa"/>
          </w:tcPr>
          <w:p w14:paraId="2305D7C7" w14:textId="77777777" w:rsidR="00332539" w:rsidRDefault="000F2FB1">
            <w:pPr>
              <w:jc w:val="both"/>
              <w:rPr>
                <w:lang w:eastAsia="zh-CN"/>
              </w:rPr>
            </w:pPr>
            <w:r>
              <w:rPr>
                <w:lang w:eastAsia="zh-CN"/>
              </w:rPr>
              <w:t>We can add some restriction in spec to not support this coexistence.</w:t>
            </w:r>
          </w:p>
        </w:tc>
      </w:tr>
      <w:tr w:rsidR="00332539" w14:paraId="2305D7CD" w14:textId="77777777">
        <w:tc>
          <w:tcPr>
            <w:tcW w:w="1980" w:type="dxa"/>
          </w:tcPr>
          <w:p w14:paraId="2305D7C9" w14:textId="77777777" w:rsidR="00332539" w:rsidRDefault="000F2FB1">
            <w:pPr>
              <w:jc w:val="both"/>
              <w:rPr>
                <w:lang w:eastAsia="zh-CN"/>
              </w:rPr>
            </w:pPr>
            <w:r>
              <w:rPr>
                <w:rFonts w:eastAsia="Malgun Gothic" w:hint="eastAsia"/>
                <w:lang w:eastAsia="ko-KR"/>
              </w:rPr>
              <w:t>L</w:t>
            </w:r>
            <w:r>
              <w:rPr>
                <w:rFonts w:eastAsia="Malgun Gothic"/>
                <w:lang w:eastAsia="ko-KR"/>
              </w:rPr>
              <w:t>G</w:t>
            </w:r>
          </w:p>
        </w:tc>
        <w:tc>
          <w:tcPr>
            <w:tcW w:w="1843" w:type="dxa"/>
          </w:tcPr>
          <w:p w14:paraId="2305D7CA" w14:textId="77777777" w:rsidR="00332539" w:rsidRDefault="000F2FB1">
            <w:pPr>
              <w:jc w:val="both"/>
              <w:rPr>
                <w:lang w:eastAsia="zh-CN"/>
              </w:rPr>
            </w:pPr>
            <w:r>
              <w:rPr>
                <w:rFonts w:eastAsia="Malgun Gothic" w:hint="eastAsia"/>
                <w:lang w:eastAsia="ko-KR"/>
              </w:rPr>
              <w:t>Y</w:t>
            </w:r>
            <w:r>
              <w:rPr>
                <w:rFonts w:eastAsia="Malgun Gothic"/>
                <w:lang w:eastAsia="ko-KR"/>
              </w:rPr>
              <w:t>es</w:t>
            </w:r>
          </w:p>
        </w:tc>
        <w:tc>
          <w:tcPr>
            <w:tcW w:w="5808" w:type="dxa"/>
          </w:tcPr>
          <w:p w14:paraId="2305D7CB" w14:textId="77777777" w:rsidR="00332539" w:rsidRDefault="000F2FB1">
            <w:pPr>
              <w:jc w:val="both"/>
            </w:pPr>
            <w:r>
              <w:rPr>
                <w:rFonts w:eastAsia="Malgun Gothic"/>
                <w:bCs/>
                <w:lang w:eastAsia="ko-KR"/>
              </w:rPr>
              <w:t xml:space="preserve">CPC is helpful to keep the connection </w:t>
            </w:r>
            <w:r>
              <w:t xml:space="preserve">when radio link has sudden deteriorate. So, there is no significant reason to stop CPC when SCG is deactivated. </w:t>
            </w:r>
          </w:p>
          <w:p w14:paraId="2305D7CC" w14:textId="77777777" w:rsidR="00332539" w:rsidRDefault="000F2FB1">
            <w:pPr>
              <w:jc w:val="both"/>
              <w:rPr>
                <w:lang w:eastAsia="zh-CN"/>
              </w:rPr>
            </w:pPr>
            <w:r>
              <w:t xml:space="preserve">We think it is not appropriate for the network to pre-configure the SCG state in CPC configuration because the network does not know when the CPC condition will be met in the UE. However, to prevent </w:t>
            </w:r>
            <w:r>
              <w:rPr>
                <w:rFonts w:eastAsia="Malgun Gothic"/>
                <w:color w:val="000000" w:themeColor="text1"/>
                <w:lang w:eastAsia="ko-KR"/>
              </w:rPr>
              <w:t>unnecessarily SCG activation upon CPC execution in SCG deactivated state, the UE should maintain the SCG state of S-SN, i.e., deactivated state. This is consistent with what previous agreements have attempted to prevent unnecessary SCG (de)activation.</w:t>
            </w:r>
            <w:r>
              <w:t xml:space="preserve"> (</w:t>
            </w:r>
            <w:r>
              <w:rPr>
                <w:rFonts w:eastAsia="Malgun Gothic" w:hint="eastAsia"/>
                <w:bCs/>
                <w:lang w:eastAsia="ko-KR"/>
              </w:rPr>
              <w:t>I</w:t>
            </w:r>
            <w:r>
              <w:rPr>
                <w:rFonts w:eastAsia="Malgun Gothic"/>
                <w:bCs/>
                <w:lang w:eastAsia="ko-KR"/>
              </w:rPr>
              <w:t>t seems our suggestions from R2-2202767 are missed in this document.</w:t>
            </w:r>
            <w:r>
              <w:rPr>
                <w:rFonts w:eastAsia="Malgun Gothic" w:hint="eastAsia"/>
                <w:bCs/>
                <w:lang w:eastAsia="ko-KR"/>
              </w:rPr>
              <w:t>)</w:t>
            </w:r>
          </w:p>
        </w:tc>
      </w:tr>
      <w:tr w:rsidR="00332539" w14:paraId="2305D7D1" w14:textId="77777777">
        <w:tc>
          <w:tcPr>
            <w:tcW w:w="1980" w:type="dxa"/>
          </w:tcPr>
          <w:p w14:paraId="2305D7CE" w14:textId="77777777" w:rsidR="00332539" w:rsidRDefault="000F2FB1">
            <w:pPr>
              <w:jc w:val="both"/>
              <w:rPr>
                <w:lang w:val="en-US" w:eastAsia="zh-CN"/>
              </w:rPr>
            </w:pPr>
            <w:r>
              <w:rPr>
                <w:rFonts w:hint="eastAsia"/>
                <w:lang w:val="en-US" w:eastAsia="zh-CN"/>
              </w:rPr>
              <w:t>ZTE</w:t>
            </w:r>
          </w:p>
        </w:tc>
        <w:tc>
          <w:tcPr>
            <w:tcW w:w="1843" w:type="dxa"/>
          </w:tcPr>
          <w:p w14:paraId="2305D7CF" w14:textId="77777777" w:rsidR="00332539" w:rsidRDefault="000F2FB1">
            <w:pPr>
              <w:jc w:val="both"/>
              <w:rPr>
                <w:lang w:val="en-US" w:eastAsia="zh-CN"/>
              </w:rPr>
            </w:pPr>
            <w:r>
              <w:rPr>
                <w:rFonts w:hint="eastAsia"/>
                <w:lang w:val="en-US" w:eastAsia="zh-CN"/>
              </w:rPr>
              <w:t>No</w:t>
            </w:r>
          </w:p>
        </w:tc>
        <w:tc>
          <w:tcPr>
            <w:tcW w:w="5808" w:type="dxa"/>
          </w:tcPr>
          <w:p w14:paraId="2305D7D0" w14:textId="77777777" w:rsidR="00332539" w:rsidRDefault="000F2FB1">
            <w:pPr>
              <w:jc w:val="both"/>
              <w:rPr>
                <w:lang w:eastAsia="zh-CN"/>
              </w:rPr>
            </w:pPr>
            <w:r>
              <w:rPr>
                <w:rFonts w:hint="eastAsia"/>
                <w:lang w:val="en-US" w:eastAsia="zh-CN"/>
              </w:rPr>
              <w:t>Considering of the limited time in R17, it</w:t>
            </w:r>
            <w:r>
              <w:rPr>
                <w:lang w:val="en-US" w:eastAsia="zh-CN"/>
              </w:rPr>
              <w:t>’</w:t>
            </w:r>
            <w:r>
              <w:rPr>
                <w:rFonts w:hint="eastAsia"/>
                <w:lang w:val="en-US" w:eastAsia="zh-CN"/>
              </w:rPr>
              <w:t>s fine to not support the coexistence of CPAC and SCG deactivation. The TP in [9] seems fine to us.</w:t>
            </w:r>
          </w:p>
        </w:tc>
      </w:tr>
      <w:tr w:rsidR="00887E5D" w14:paraId="2305D7D5" w14:textId="77777777">
        <w:tc>
          <w:tcPr>
            <w:tcW w:w="1980" w:type="dxa"/>
          </w:tcPr>
          <w:p w14:paraId="2305D7D2" w14:textId="71205920" w:rsidR="00887E5D" w:rsidRDefault="00887E5D" w:rsidP="00887E5D">
            <w:pPr>
              <w:jc w:val="both"/>
              <w:rPr>
                <w:lang w:eastAsia="zh-CN"/>
              </w:rPr>
            </w:pPr>
            <w:r>
              <w:rPr>
                <w:lang w:eastAsia="zh-CN"/>
              </w:rPr>
              <w:t>Lenovo, Motorola Mobility</w:t>
            </w:r>
          </w:p>
        </w:tc>
        <w:tc>
          <w:tcPr>
            <w:tcW w:w="1843" w:type="dxa"/>
          </w:tcPr>
          <w:p w14:paraId="2305D7D3" w14:textId="0784CE61" w:rsidR="00887E5D" w:rsidRDefault="00887E5D" w:rsidP="00887E5D">
            <w:pPr>
              <w:jc w:val="both"/>
              <w:rPr>
                <w:lang w:eastAsia="zh-CN"/>
              </w:rPr>
            </w:pPr>
            <w:r>
              <w:rPr>
                <w:lang w:eastAsia="zh-CN"/>
              </w:rPr>
              <w:t xml:space="preserve">Yes, if spec impact is </w:t>
            </w:r>
            <w:r w:rsidR="00BC0BD0">
              <w:rPr>
                <w:lang w:eastAsia="zh-CN"/>
              </w:rPr>
              <w:t>minimal</w:t>
            </w:r>
          </w:p>
        </w:tc>
        <w:tc>
          <w:tcPr>
            <w:tcW w:w="5808" w:type="dxa"/>
          </w:tcPr>
          <w:p w14:paraId="2305D7D4" w14:textId="2DCC6EC4" w:rsidR="00887E5D" w:rsidRDefault="00887E5D" w:rsidP="00887E5D">
            <w:pPr>
              <w:jc w:val="both"/>
              <w:rPr>
                <w:lang w:eastAsia="zh-CN"/>
              </w:rPr>
            </w:pPr>
            <w:r w:rsidRPr="00945F0C">
              <w:rPr>
                <w:lang w:eastAsia="zh-CN"/>
              </w:rPr>
              <w:t>In the RAN2 and RAN3 discussion so far, UE can add or switch to a new SCG that is deactivated. So, we feel the same principle can be simply applied in CPAC. The only complexity we foresee is if SN can accept the addition due to CPAC but reject the SCG (de)activation as discussed in RAN3. If we can agree T-SN cannot reject the SCG (de)activation due to CPAC if accept the SN addition, the following steps are straight forward i.e. indicate SCG state in conditional configuration.</w:t>
            </w:r>
            <w:r>
              <w:rPr>
                <w:b/>
                <w:lang w:eastAsia="zh-CN"/>
              </w:rPr>
              <w:t xml:space="preserve"> </w:t>
            </w:r>
          </w:p>
        </w:tc>
      </w:tr>
      <w:tr w:rsidR="00887E5D" w14:paraId="2305D7D9" w14:textId="77777777">
        <w:tc>
          <w:tcPr>
            <w:tcW w:w="1980" w:type="dxa"/>
          </w:tcPr>
          <w:p w14:paraId="2305D7D6" w14:textId="2AC90243" w:rsidR="00887E5D" w:rsidRDefault="00BC5678" w:rsidP="00887E5D">
            <w:pPr>
              <w:jc w:val="both"/>
              <w:rPr>
                <w:rFonts w:hint="eastAsia"/>
                <w:lang w:eastAsia="zh-CN"/>
              </w:rPr>
            </w:pPr>
            <w:r>
              <w:rPr>
                <w:rFonts w:hint="eastAsia"/>
                <w:lang w:eastAsia="zh-CN"/>
              </w:rPr>
              <w:t>M</w:t>
            </w:r>
            <w:r>
              <w:rPr>
                <w:lang w:eastAsia="zh-CN"/>
              </w:rPr>
              <w:t>ediaTek</w:t>
            </w:r>
          </w:p>
        </w:tc>
        <w:tc>
          <w:tcPr>
            <w:tcW w:w="1843" w:type="dxa"/>
          </w:tcPr>
          <w:p w14:paraId="2305D7D7" w14:textId="50D1A730" w:rsidR="00887E5D" w:rsidRDefault="00BC5678" w:rsidP="00887E5D">
            <w:pPr>
              <w:jc w:val="both"/>
              <w:rPr>
                <w:lang w:eastAsia="zh-CN"/>
              </w:rPr>
            </w:pPr>
            <w:r>
              <w:rPr>
                <w:rFonts w:hint="eastAsia"/>
                <w:lang w:eastAsia="zh-CN"/>
              </w:rPr>
              <w:t>N</w:t>
            </w:r>
            <w:r>
              <w:rPr>
                <w:lang w:eastAsia="zh-CN"/>
              </w:rPr>
              <w:t>o</w:t>
            </w:r>
          </w:p>
        </w:tc>
        <w:tc>
          <w:tcPr>
            <w:tcW w:w="5808" w:type="dxa"/>
          </w:tcPr>
          <w:p w14:paraId="2305D7D8" w14:textId="234E5A08" w:rsidR="00887E5D" w:rsidRDefault="004352C0" w:rsidP="00887E5D">
            <w:pPr>
              <w:jc w:val="both"/>
              <w:rPr>
                <w:lang w:eastAsia="zh-CN"/>
              </w:rPr>
            </w:pPr>
            <w:r>
              <w:rPr>
                <w:lang w:eastAsia="zh-CN"/>
              </w:rPr>
              <w:t>F</w:t>
            </w:r>
            <w:r>
              <w:rPr>
                <w:lang w:eastAsia="zh-CN"/>
              </w:rPr>
              <w:t>or the sake for progress</w:t>
            </w:r>
            <w:r w:rsidR="00BC5678">
              <w:rPr>
                <w:lang w:eastAsia="zh-CN"/>
              </w:rPr>
              <w:t xml:space="preserve">, we prefer NOT to support the </w:t>
            </w:r>
            <w:r w:rsidR="00BC5678" w:rsidRPr="00BC5678">
              <w:rPr>
                <w:lang w:eastAsia="zh-CN"/>
              </w:rPr>
              <w:t>coexistence of CPAC and SCG deactivation</w:t>
            </w:r>
            <w:r>
              <w:rPr>
                <w:lang w:eastAsia="zh-CN"/>
              </w:rPr>
              <w:t xml:space="preserve"> in Rel-17</w:t>
            </w:r>
            <w:r w:rsidR="00BC5678">
              <w:rPr>
                <w:lang w:eastAsia="zh-CN"/>
              </w:rPr>
              <w:t>.</w:t>
            </w:r>
          </w:p>
        </w:tc>
      </w:tr>
      <w:tr w:rsidR="00887E5D" w14:paraId="2305D7DD" w14:textId="77777777">
        <w:tc>
          <w:tcPr>
            <w:tcW w:w="1980" w:type="dxa"/>
          </w:tcPr>
          <w:p w14:paraId="2305D7DA" w14:textId="77777777" w:rsidR="00887E5D" w:rsidRDefault="00887E5D" w:rsidP="00887E5D">
            <w:pPr>
              <w:jc w:val="both"/>
              <w:rPr>
                <w:lang w:eastAsia="zh-CN"/>
              </w:rPr>
            </w:pPr>
          </w:p>
        </w:tc>
        <w:tc>
          <w:tcPr>
            <w:tcW w:w="1843" w:type="dxa"/>
          </w:tcPr>
          <w:p w14:paraId="2305D7DB" w14:textId="77777777" w:rsidR="00887E5D" w:rsidRDefault="00887E5D" w:rsidP="00887E5D">
            <w:pPr>
              <w:jc w:val="both"/>
              <w:rPr>
                <w:lang w:eastAsia="zh-CN"/>
              </w:rPr>
            </w:pPr>
          </w:p>
        </w:tc>
        <w:tc>
          <w:tcPr>
            <w:tcW w:w="5808" w:type="dxa"/>
          </w:tcPr>
          <w:p w14:paraId="2305D7DC" w14:textId="77777777" w:rsidR="00887E5D" w:rsidRDefault="00887E5D" w:rsidP="00887E5D">
            <w:pPr>
              <w:jc w:val="both"/>
              <w:rPr>
                <w:lang w:eastAsia="zh-CN"/>
              </w:rPr>
            </w:pPr>
          </w:p>
        </w:tc>
      </w:tr>
      <w:tr w:rsidR="00887E5D" w14:paraId="2305D7E1" w14:textId="77777777">
        <w:tc>
          <w:tcPr>
            <w:tcW w:w="1980" w:type="dxa"/>
          </w:tcPr>
          <w:p w14:paraId="2305D7DE" w14:textId="77777777" w:rsidR="00887E5D" w:rsidRDefault="00887E5D" w:rsidP="00887E5D">
            <w:pPr>
              <w:jc w:val="both"/>
              <w:rPr>
                <w:lang w:eastAsia="zh-CN"/>
              </w:rPr>
            </w:pPr>
          </w:p>
        </w:tc>
        <w:tc>
          <w:tcPr>
            <w:tcW w:w="1843" w:type="dxa"/>
          </w:tcPr>
          <w:p w14:paraId="2305D7DF" w14:textId="77777777" w:rsidR="00887E5D" w:rsidRDefault="00887E5D" w:rsidP="00887E5D">
            <w:pPr>
              <w:jc w:val="both"/>
              <w:rPr>
                <w:lang w:eastAsia="zh-CN"/>
              </w:rPr>
            </w:pPr>
          </w:p>
        </w:tc>
        <w:tc>
          <w:tcPr>
            <w:tcW w:w="5808" w:type="dxa"/>
          </w:tcPr>
          <w:p w14:paraId="2305D7E0" w14:textId="77777777" w:rsidR="00887E5D" w:rsidRDefault="00887E5D" w:rsidP="00887E5D">
            <w:pPr>
              <w:jc w:val="both"/>
            </w:pPr>
          </w:p>
        </w:tc>
      </w:tr>
      <w:tr w:rsidR="00887E5D" w14:paraId="2305D7E5" w14:textId="77777777">
        <w:tc>
          <w:tcPr>
            <w:tcW w:w="1980" w:type="dxa"/>
          </w:tcPr>
          <w:p w14:paraId="2305D7E2" w14:textId="77777777" w:rsidR="00887E5D" w:rsidRDefault="00887E5D" w:rsidP="00887E5D">
            <w:pPr>
              <w:jc w:val="both"/>
              <w:rPr>
                <w:lang w:val="en-US" w:eastAsia="zh-CN"/>
              </w:rPr>
            </w:pPr>
          </w:p>
        </w:tc>
        <w:tc>
          <w:tcPr>
            <w:tcW w:w="1843" w:type="dxa"/>
          </w:tcPr>
          <w:p w14:paraId="2305D7E3" w14:textId="77777777" w:rsidR="00887E5D" w:rsidRDefault="00887E5D" w:rsidP="00887E5D">
            <w:pPr>
              <w:jc w:val="both"/>
              <w:rPr>
                <w:lang w:val="en-US" w:eastAsia="zh-CN"/>
              </w:rPr>
            </w:pPr>
          </w:p>
        </w:tc>
        <w:tc>
          <w:tcPr>
            <w:tcW w:w="5808" w:type="dxa"/>
          </w:tcPr>
          <w:p w14:paraId="2305D7E4" w14:textId="77777777" w:rsidR="00887E5D" w:rsidRDefault="00887E5D" w:rsidP="00887E5D">
            <w:pPr>
              <w:jc w:val="both"/>
              <w:rPr>
                <w:lang w:val="en-US" w:eastAsia="zh-CN"/>
              </w:rPr>
            </w:pPr>
          </w:p>
        </w:tc>
      </w:tr>
      <w:tr w:rsidR="00887E5D" w14:paraId="2305D7E9" w14:textId="77777777">
        <w:tc>
          <w:tcPr>
            <w:tcW w:w="1980" w:type="dxa"/>
          </w:tcPr>
          <w:p w14:paraId="2305D7E6" w14:textId="77777777" w:rsidR="00887E5D" w:rsidRDefault="00887E5D" w:rsidP="00887E5D">
            <w:pPr>
              <w:jc w:val="both"/>
              <w:rPr>
                <w:lang w:eastAsia="zh-CN"/>
              </w:rPr>
            </w:pPr>
          </w:p>
        </w:tc>
        <w:tc>
          <w:tcPr>
            <w:tcW w:w="1843" w:type="dxa"/>
          </w:tcPr>
          <w:p w14:paraId="2305D7E7" w14:textId="77777777" w:rsidR="00887E5D" w:rsidRDefault="00887E5D" w:rsidP="00887E5D">
            <w:pPr>
              <w:jc w:val="both"/>
              <w:rPr>
                <w:lang w:eastAsia="zh-CN"/>
              </w:rPr>
            </w:pPr>
          </w:p>
        </w:tc>
        <w:tc>
          <w:tcPr>
            <w:tcW w:w="5808" w:type="dxa"/>
          </w:tcPr>
          <w:p w14:paraId="2305D7E8" w14:textId="77777777" w:rsidR="00887E5D" w:rsidRDefault="00887E5D" w:rsidP="00887E5D">
            <w:pPr>
              <w:jc w:val="both"/>
              <w:rPr>
                <w:lang w:eastAsia="zh-CN"/>
              </w:rPr>
            </w:pPr>
          </w:p>
        </w:tc>
      </w:tr>
      <w:tr w:rsidR="00887E5D" w14:paraId="2305D7ED" w14:textId="77777777">
        <w:tc>
          <w:tcPr>
            <w:tcW w:w="1980" w:type="dxa"/>
          </w:tcPr>
          <w:p w14:paraId="2305D7EA" w14:textId="77777777" w:rsidR="00887E5D" w:rsidRDefault="00887E5D" w:rsidP="00887E5D">
            <w:pPr>
              <w:jc w:val="both"/>
              <w:rPr>
                <w:lang w:eastAsia="zh-CN"/>
              </w:rPr>
            </w:pPr>
          </w:p>
        </w:tc>
        <w:tc>
          <w:tcPr>
            <w:tcW w:w="1843" w:type="dxa"/>
          </w:tcPr>
          <w:p w14:paraId="2305D7EB" w14:textId="77777777" w:rsidR="00887E5D" w:rsidRDefault="00887E5D" w:rsidP="00887E5D">
            <w:pPr>
              <w:jc w:val="both"/>
              <w:rPr>
                <w:lang w:eastAsia="zh-CN"/>
              </w:rPr>
            </w:pPr>
          </w:p>
        </w:tc>
        <w:tc>
          <w:tcPr>
            <w:tcW w:w="5808" w:type="dxa"/>
          </w:tcPr>
          <w:p w14:paraId="2305D7EC" w14:textId="77777777" w:rsidR="00887E5D" w:rsidRDefault="00887E5D" w:rsidP="00887E5D">
            <w:pPr>
              <w:jc w:val="both"/>
              <w:rPr>
                <w:lang w:eastAsia="zh-CN"/>
              </w:rPr>
            </w:pPr>
          </w:p>
        </w:tc>
      </w:tr>
      <w:tr w:rsidR="00887E5D" w14:paraId="2305D7F1" w14:textId="77777777">
        <w:tc>
          <w:tcPr>
            <w:tcW w:w="1980" w:type="dxa"/>
          </w:tcPr>
          <w:p w14:paraId="2305D7EE" w14:textId="77777777" w:rsidR="00887E5D" w:rsidRDefault="00887E5D" w:rsidP="00887E5D">
            <w:pPr>
              <w:jc w:val="both"/>
              <w:rPr>
                <w:lang w:eastAsia="zh-CN"/>
              </w:rPr>
            </w:pPr>
          </w:p>
        </w:tc>
        <w:tc>
          <w:tcPr>
            <w:tcW w:w="1843" w:type="dxa"/>
          </w:tcPr>
          <w:p w14:paraId="2305D7EF" w14:textId="77777777" w:rsidR="00887E5D" w:rsidRDefault="00887E5D" w:rsidP="00887E5D">
            <w:pPr>
              <w:jc w:val="both"/>
              <w:rPr>
                <w:lang w:eastAsia="zh-CN"/>
              </w:rPr>
            </w:pPr>
          </w:p>
        </w:tc>
        <w:tc>
          <w:tcPr>
            <w:tcW w:w="5808" w:type="dxa"/>
          </w:tcPr>
          <w:p w14:paraId="2305D7F0" w14:textId="77777777" w:rsidR="00887E5D" w:rsidRDefault="00887E5D" w:rsidP="00887E5D">
            <w:pPr>
              <w:jc w:val="both"/>
              <w:rPr>
                <w:lang w:eastAsia="zh-CN"/>
              </w:rPr>
            </w:pPr>
          </w:p>
        </w:tc>
      </w:tr>
      <w:tr w:rsidR="00887E5D" w14:paraId="2305D7F5" w14:textId="77777777">
        <w:tc>
          <w:tcPr>
            <w:tcW w:w="1980" w:type="dxa"/>
          </w:tcPr>
          <w:p w14:paraId="2305D7F2" w14:textId="77777777" w:rsidR="00887E5D" w:rsidRDefault="00887E5D" w:rsidP="00887E5D">
            <w:pPr>
              <w:jc w:val="both"/>
              <w:rPr>
                <w:lang w:eastAsia="zh-CN"/>
              </w:rPr>
            </w:pPr>
          </w:p>
        </w:tc>
        <w:tc>
          <w:tcPr>
            <w:tcW w:w="1843" w:type="dxa"/>
          </w:tcPr>
          <w:p w14:paraId="2305D7F3" w14:textId="77777777" w:rsidR="00887E5D" w:rsidRDefault="00887E5D" w:rsidP="00887E5D">
            <w:pPr>
              <w:jc w:val="both"/>
              <w:rPr>
                <w:lang w:eastAsia="zh-CN"/>
              </w:rPr>
            </w:pPr>
          </w:p>
        </w:tc>
        <w:tc>
          <w:tcPr>
            <w:tcW w:w="5808" w:type="dxa"/>
          </w:tcPr>
          <w:p w14:paraId="2305D7F4" w14:textId="77777777" w:rsidR="00887E5D" w:rsidRDefault="00887E5D" w:rsidP="00887E5D">
            <w:pPr>
              <w:jc w:val="both"/>
              <w:rPr>
                <w:lang w:eastAsia="zh-CN"/>
              </w:rPr>
            </w:pPr>
          </w:p>
        </w:tc>
      </w:tr>
      <w:tr w:rsidR="00887E5D" w14:paraId="2305D7F9" w14:textId="77777777">
        <w:tc>
          <w:tcPr>
            <w:tcW w:w="1980" w:type="dxa"/>
          </w:tcPr>
          <w:p w14:paraId="2305D7F6" w14:textId="77777777" w:rsidR="00887E5D" w:rsidRDefault="00887E5D" w:rsidP="00887E5D">
            <w:pPr>
              <w:jc w:val="both"/>
              <w:rPr>
                <w:lang w:eastAsia="zh-CN"/>
              </w:rPr>
            </w:pPr>
          </w:p>
        </w:tc>
        <w:tc>
          <w:tcPr>
            <w:tcW w:w="1843" w:type="dxa"/>
          </w:tcPr>
          <w:p w14:paraId="2305D7F7" w14:textId="77777777" w:rsidR="00887E5D" w:rsidRDefault="00887E5D" w:rsidP="00887E5D">
            <w:pPr>
              <w:jc w:val="both"/>
              <w:rPr>
                <w:lang w:eastAsia="zh-CN"/>
              </w:rPr>
            </w:pPr>
          </w:p>
        </w:tc>
        <w:tc>
          <w:tcPr>
            <w:tcW w:w="5808" w:type="dxa"/>
          </w:tcPr>
          <w:p w14:paraId="2305D7F8" w14:textId="77777777" w:rsidR="00887E5D" w:rsidRDefault="00887E5D" w:rsidP="00887E5D">
            <w:pPr>
              <w:jc w:val="both"/>
              <w:rPr>
                <w:rFonts w:eastAsia="Malgun Gothic"/>
                <w:lang w:eastAsia="ko-KR"/>
              </w:rPr>
            </w:pPr>
          </w:p>
        </w:tc>
      </w:tr>
      <w:tr w:rsidR="00887E5D" w14:paraId="2305D7FD" w14:textId="77777777">
        <w:tc>
          <w:tcPr>
            <w:tcW w:w="1980" w:type="dxa"/>
          </w:tcPr>
          <w:p w14:paraId="2305D7FA" w14:textId="77777777" w:rsidR="00887E5D" w:rsidRDefault="00887E5D" w:rsidP="00887E5D">
            <w:pPr>
              <w:jc w:val="both"/>
              <w:rPr>
                <w:lang w:eastAsia="zh-CN"/>
              </w:rPr>
            </w:pPr>
          </w:p>
        </w:tc>
        <w:tc>
          <w:tcPr>
            <w:tcW w:w="1843" w:type="dxa"/>
          </w:tcPr>
          <w:p w14:paraId="2305D7FB" w14:textId="77777777" w:rsidR="00887E5D" w:rsidRDefault="00887E5D" w:rsidP="00887E5D">
            <w:pPr>
              <w:jc w:val="both"/>
              <w:rPr>
                <w:lang w:eastAsia="zh-CN"/>
              </w:rPr>
            </w:pPr>
          </w:p>
        </w:tc>
        <w:tc>
          <w:tcPr>
            <w:tcW w:w="5808" w:type="dxa"/>
          </w:tcPr>
          <w:p w14:paraId="2305D7FC" w14:textId="77777777" w:rsidR="00887E5D" w:rsidRDefault="00887E5D" w:rsidP="00887E5D">
            <w:pPr>
              <w:jc w:val="both"/>
              <w:rPr>
                <w:lang w:eastAsia="zh-CN"/>
              </w:rPr>
            </w:pPr>
          </w:p>
        </w:tc>
      </w:tr>
      <w:tr w:rsidR="00887E5D" w14:paraId="2305D801" w14:textId="77777777">
        <w:tc>
          <w:tcPr>
            <w:tcW w:w="1980" w:type="dxa"/>
          </w:tcPr>
          <w:p w14:paraId="2305D7FE" w14:textId="77777777" w:rsidR="00887E5D" w:rsidRDefault="00887E5D" w:rsidP="00887E5D">
            <w:pPr>
              <w:jc w:val="both"/>
              <w:rPr>
                <w:rFonts w:eastAsia="Malgun Gothic"/>
                <w:lang w:eastAsia="ko-KR"/>
              </w:rPr>
            </w:pPr>
          </w:p>
        </w:tc>
        <w:tc>
          <w:tcPr>
            <w:tcW w:w="1843" w:type="dxa"/>
          </w:tcPr>
          <w:p w14:paraId="2305D7FF" w14:textId="77777777" w:rsidR="00887E5D" w:rsidRDefault="00887E5D" w:rsidP="00887E5D">
            <w:pPr>
              <w:jc w:val="both"/>
              <w:rPr>
                <w:rFonts w:eastAsia="Malgun Gothic"/>
                <w:lang w:eastAsia="ko-KR"/>
              </w:rPr>
            </w:pPr>
          </w:p>
        </w:tc>
        <w:tc>
          <w:tcPr>
            <w:tcW w:w="5808" w:type="dxa"/>
          </w:tcPr>
          <w:p w14:paraId="2305D800" w14:textId="77777777" w:rsidR="00887E5D" w:rsidRDefault="00887E5D" w:rsidP="00887E5D">
            <w:pPr>
              <w:jc w:val="both"/>
              <w:rPr>
                <w:rFonts w:eastAsia="Malgun Gothic"/>
                <w:lang w:eastAsia="ko-KR"/>
              </w:rPr>
            </w:pPr>
          </w:p>
        </w:tc>
      </w:tr>
      <w:tr w:rsidR="00887E5D" w14:paraId="2305D805" w14:textId="77777777">
        <w:tc>
          <w:tcPr>
            <w:tcW w:w="1980" w:type="dxa"/>
          </w:tcPr>
          <w:p w14:paraId="2305D802" w14:textId="77777777" w:rsidR="00887E5D" w:rsidRDefault="00887E5D" w:rsidP="00887E5D">
            <w:pPr>
              <w:jc w:val="both"/>
              <w:rPr>
                <w:lang w:eastAsia="zh-CN"/>
              </w:rPr>
            </w:pPr>
          </w:p>
        </w:tc>
        <w:tc>
          <w:tcPr>
            <w:tcW w:w="1843" w:type="dxa"/>
          </w:tcPr>
          <w:p w14:paraId="2305D803" w14:textId="77777777" w:rsidR="00887E5D" w:rsidRDefault="00887E5D" w:rsidP="00887E5D">
            <w:pPr>
              <w:jc w:val="both"/>
              <w:rPr>
                <w:lang w:eastAsia="zh-CN"/>
              </w:rPr>
            </w:pPr>
          </w:p>
        </w:tc>
        <w:tc>
          <w:tcPr>
            <w:tcW w:w="5808" w:type="dxa"/>
          </w:tcPr>
          <w:p w14:paraId="2305D804" w14:textId="77777777" w:rsidR="00887E5D" w:rsidRDefault="00887E5D" w:rsidP="00887E5D">
            <w:pPr>
              <w:jc w:val="both"/>
              <w:rPr>
                <w:lang w:eastAsia="zh-CN"/>
              </w:rPr>
            </w:pPr>
          </w:p>
        </w:tc>
      </w:tr>
      <w:tr w:rsidR="00887E5D" w14:paraId="2305D809" w14:textId="77777777">
        <w:tc>
          <w:tcPr>
            <w:tcW w:w="1980" w:type="dxa"/>
          </w:tcPr>
          <w:p w14:paraId="2305D806" w14:textId="77777777" w:rsidR="00887E5D" w:rsidRDefault="00887E5D" w:rsidP="00887E5D">
            <w:pPr>
              <w:jc w:val="both"/>
              <w:rPr>
                <w:lang w:eastAsia="zh-CN"/>
              </w:rPr>
            </w:pPr>
          </w:p>
        </w:tc>
        <w:tc>
          <w:tcPr>
            <w:tcW w:w="1843" w:type="dxa"/>
          </w:tcPr>
          <w:p w14:paraId="2305D807" w14:textId="77777777" w:rsidR="00887E5D" w:rsidRDefault="00887E5D" w:rsidP="00887E5D">
            <w:pPr>
              <w:jc w:val="both"/>
              <w:rPr>
                <w:lang w:eastAsia="zh-CN"/>
              </w:rPr>
            </w:pPr>
          </w:p>
        </w:tc>
        <w:tc>
          <w:tcPr>
            <w:tcW w:w="5808" w:type="dxa"/>
          </w:tcPr>
          <w:p w14:paraId="2305D808" w14:textId="77777777" w:rsidR="00887E5D" w:rsidRDefault="00887E5D" w:rsidP="00887E5D">
            <w:pPr>
              <w:jc w:val="both"/>
              <w:rPr>
                <w:lang w:eastAsia="zh-CN"/>
              </w:rPr>
            </w:pPr>
          </w:p>
        </w:tc>
      </w:tr>
      <w:tr w:rsidR="00887E5D" w14:paraId="2305D80D" w14:textId="77777777">
        <w:tc>
          <w:tcPr>
            <w:tcW w:w="1980" w:type="dxa"/>
          </w:tcPr>
          <w:p w14:paraId="2305D80A" w14:textId="77777777" w:rsidR="00887E5D" w:rsidRDefault="00887E5D" w:rsidP="00887E5D">
            <w:pPr>
              <w:jc w:val="both"/>
              <w:rPr>
                <w:rFonts w:eastAsia="Malgun Gothic"/>
                <w:lang w:eastAsia="ko-KR"/>
              </w:rPr>
            </w:pPr>
          </w:p>
        </w:tc>
        <w:tc>
          <w:tcPr>
            <w:tcW w:w="1843" w:type="dxa"/>
          </w:tcPr>
          <w:p w14:paraId="2305D80B" w14:textId="77777777" w:rsidR="00887E5D" w:rsidRDefault="00887E5D" w:rsidP="00887E5D">
            <w:pPr>
              <w:jc w:val="both"/>
              <w:rPr>
                <w:rFonts w:eastAsia="Malgun Gothic"/>
                <w:lang w:eastAsia="ko-KR"/>
              </w:rPr>
            </w:pPr>
          </w:p>
        </w:tc>
        <w:tc>
          <w:tcPr>
            <w:tcW w:w="5808" w:type="dxa"/>
          </w:tcPr>
          <w:p w14:paraId="2305D80C" w14:textId="77777777" w:rsidR="00887E5D" w:rsidRDefault="00887E5D" w:rsidP="00887E5D">
            <w:pPr>
              <w:jc w:val="both"/>
              <w:rPr>
                <w:rFonts w:eastAsia="Malgun Gothic"/>
                <w:lang w:eastAsia="ko-KR"/>
              </w:rPr>
            </w:pPr>
          </w:p>
        </w:tc>
      </w:tr>
      <w:tr w:rsidR="00887E5D" w14:paraId="2305D811" w14:textId="77777777">
        <w:tc>
          <w:tcPr>
            <w:tcW w:w="1980" w:type="dxa"/>
          </w:tcPr>
          <w:p w14:paraId="2305D80E" w14:textId="77777777" w:rsidR="00887E5D" w:rsidRDefault="00887E5D" w:rsidP="00887E5D">
            <w:pPr>
              <w:jc w:val="both"/>
              <w:rPr>
                <w:rFonts w:eastAsia="Malgun Gothic"/>
                <w:lang w:eastAsia="ko-KR"/>
              </w:rPr>
            </w:pPr>
          </w:p>
        </w:tc>
        <w:tc>
          <w:tcPr>
            <w:tcW w:w="1843" w:type="dxa"/>
          </w:tcPr>
          <w:p w14:paraId="2305D80F" w14:textId="77777777" w:rsidR="00887E5D" w:rsidRDefault="00887E5D" w:rsidP="00887E5D">
            <w:pPr>
              <w:jc w:val="both"/>
              <w:rPr>
                <w:rFonts w:eastAsia="Malgun Gothic"/>
                <w:lang w:eastAsia="ko-KR"/>
              </w:rPr>
            </w:pPr>
          </w:p>
        </w:tc>
        <w:tc>
          <w:tcPr>
            <w:tcW w:w="5808" w:type="dxa"/>
          </w:tcPr>
          <w:p w14:paraId="2305D810" w14:textId="77777777" w:rsidR="00887E5D" w:rsidRDefault="00887E5D" w:rsidP="00887E5D">
            <w:pPr>
              <w:jc w:val="both"/>
              <w:rPr>
                <w:rFonts w:eastAsia="Malgun Gothic"/>
                <w:lang w:eastAsia="ko-KR"/>
              </w:rPr>
            </w:pPr>
          </w:p>
        </w:tc>
      </w:tr>
    </w:tbl>
    <w:p w14:paraId="2305D812" w14:textId="77777777" w:rsidR="00332539" w:rsidRDefault="00332539">
      <w:pPr>
        <w:jc w:val="both"/>
        <w:rPr>
          <w:lang w:eastAsia="zh-CN"/>
        </w:rPr>
      </w:pPr>
    </w:p>
    <w:p w14:paraId="2305D813" w14:textId="77777777" w:rsidR="00332539" w:rsidRDefault="000F2FB1">
      <w:pPr>
        <w:pStyle w:val="Heading2"/>
        <w:jc w:val="both"/>
      </w:pPr>
      <w:r>
        <w:t>2.2</w:t>
      </w:r>
      <w:r>
        <w:tab/>
        <w:t>Unsynchronized update of MCG configuration</w:t>
      </w:r>
    </w:p>
    <w:p w14:paraId="2305D814" w14:textId="77777777" w:rsidR="00332539" w:rsidRDefault="000F2FB1">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CommentReference"/>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2305D815" w14:textId="77777777" w:rsidR="00332539" w:rsidRDefault="000F2FB1">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14:paraId="2305D816" w14:textId="77777777" w:rsidR="00332539" w:rsidRDefault="000F2FB1">
      <w:pPr>
        <w:jc w:val="both"/>
      </w:pPr>
      <w:r>
        <w:t>Companies are asked to provide their views below.</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1C" w14:textId="77777777">
        <w:tc>
          <w:tcPr>
            <w:tcW w:w="9631" w:type="dxa"/>
            <w:gridSpan w:val="3"/>
          </w:tcPr>
          <w:p w14:paraId="2305D817" w14:textId="77777777" w:rsidR="00332539" w:rsidRDefault="000F2FB1">
            <w:pPr>
              <w:jc w:val="both"/>
              <w:rPr>
                <w:b/>
              </w:rPr>
            </w:pPr>
            <w:r>
              <w:rPr>
                <w:b/>
              </w:rPr>
              <w:t>Question 2: How to resolve the “unsynchronized update of MCG configuration” issue? Choose from the list and provide the details:</w:t>
            </w:r>
          </w:p>
          <w:p w14:paraId="2305D818"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14:paraId="2305D819"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14:paraId="2305D81A" w14:textId="77777777" w:rsidR="00332539" w:rsidRDefault="000F2FB1">
            <w:pPr>
              <w:pStyle w:val="ListParagraph"/>
              <w:numPr>
                <w:ilvl w:val="0"/>
                <w:numId w:val="3"/>
              </w:numPr>
              <w:jc w:val="both"/>
              <w:rPr>
                <w:rFonts w:ascii="Times New Roman" w:hAnsi="Times New Roman"/>
                <w:b/>
                <w:sz w:val="20"/>
                <w:szCs w:val="20"/>
              </w:rPr>
            </w:pPr>
            <w:r>
              <w:rPr>
                <w:rFonts w:ascii="Times New Roman" w:hAnsi="Times New Roman"/>
                <w:b/>
                <w:sz w:val="20"/>
                <w:szCs w:val="20"/>
              </w:rPr>
              <w:t>Up to the NW how to handle it</w:t>
            </w:r>
          </w:p>
          <w:p w14:paraId="2305D81B" w14:textId="77777777" w:rsidR="00332539" w:rsidRDefault="000F2FB1">
            <w:pPr>
              <w:pStyle w:val="ListParagraph"/>
              <w:numPr>
                <w:ilvl w:val="0"/>
                <w:numId w:val="3"/>
              </w:numPr>
              <w:jc w:val="both"/>
              <w:rPr>
                <w:b/>
                <w:sz w:val="20"/>
                <w:szCs w:val="20"/>
              </w:rPr>
            </w:pPr>
            <w:r>
              <w:rPr>
                <w:rFonts w:ascii="Times New Roman" w:hAnsi="Times New Roman"/>
                <w:b/>
                <w:sz w:val="20"/>
                <w:szCs w:val="20"/>
              </w:rPr>
              <w:t>Other</w:t>
            </w:r>
          </w:p>
        </w:tc>
      </w:tr>
      <w:tr w:rsidR="00332539" w14:paraId="2305D820" w14:textId="77777777">
        <w:tc>
          <w:tcPr>
            <w:tcW w:w="1980" w:type="dxa"/>
          </w:tcPr>
          <w:p w14:paraId="2305D81D" w14:textId="77777777" w:rsidR="00332539" w:rsidRDefault="000F2FB1">
            <w:pPr>
              <w:jc w:val="both"/>
              <w:rPr>
                <w:b/>
              </w:rPr>
            </w:pPr>
            <w:r>
              <w:rPr>
                <w:b/>
              </w:rPr>
              <w:t>Company</w:t>
            </w:r>
          </w:p>
        </w:tc>
        <w:tc>
          <w:tcPr>
            <w:tcW w:w="1843" w:type="dxa"/>
          </w:tcPr>
          <w:p w14:paraId="2305D81E" w14:textId="77777777" w:rsidR="00332539" w:rsidRDefault="000F2FB1">
            <w:pPr>
              <w:jc w:val="both"/>
              <w:rPr>
                <w:b/>
              </w:rPr>
            </w:pPr>
            <w:r>
              <w:rPr>
                <w:b/>
              </w:rPr>
              <w:t>Answer</w:t>
            </w:r>
          </w:p>
        </w:tc>
        <w:tc>
          <w:tcPr>
            <w:tcW w:w="5808" w:type="dxa"/>
          </w:tcPr>
          <w:p w14:paraId="2305D81F" w14:textId="77777777" w:rsidR="00332539" w:rsidRDefault="000F2FB1">
            <w:pPr>
              <w:jc w:val="both"/>
              <w:rPr>
                <w:b/>
              </w:rPr>
            </w:pPr>
            <w:r>
              <w:rPr>
                <w:b/>
              </w:rPr>
              <w:t>Comments</w:t>
            </w:r>
          </w:p>
        </w:tc>
      </w:tr>
      <w:tr w:rsidR="00332539" w14:paraId="2305D825" w14:textId="77777777">
        <w:tc>
          <w:tcPr>
            <w:tcW w:w="1980" w:type="dxa"/>
          </w:tcPr>
          <w:p w14:paraId="2305D821" w14:textId="77777777" w:rsidR="00332539" w:rsidRDefault="000F2FB1">
            <w:pPr>
              <w:jc w:val="both"/>
              <w:rPr>
                <w:lang w:eastAsia="zh-CN"/>
              </w:rPr>
            </w:pPr>
            <w:r>
              <w:rPr>
                <w:rFonts w:hint="eastAsia"/>
                <w:lang w:eastAsia="zh-CN"/>
              </w:rPr>
              <w:t>CATT</w:t>
            </w:r>
          </w:p>
        </w:tc>
        <w:tc>
          <w:tcPr>
            <w:tcW w:w="1843" w:type="dxa"/>
          </w:tcPr>
          <w:p w14:paraId="2305D822" w14:textId="77777777" w:rsidR="00332539" w:rsidRDefault="000F2FB1">
            <w:pPr>
              <w:jc w:val="both"/>
              <w:rPr>
                <w:lang w:eastAsia="zh-CN"/>
              </w:rPr>
            </w:pPr>
            <w:r>
              <w:rPr>
                <w:rFonts w:hint="eastAsia"/>
                <w:lang w:eastAsia="zh-CN"/>
              </w:rPr>
              <w:t>c)</w:t>
            </w:r>
          </w:p>
        </w:tc>
        <w:tc>
          <w:tcPr>
            <w:tcW w:w="5808" w:type="dxa"/>
          </w:tcPr>
          <w:p w14:paraId="2305D823" w14:textId="77777777" w:rsidR="00332539" w:rsidRDefault="000F2FB1">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lastRenderedPageBreak/>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305D824" w14:textId="77777777" w:rsidR="00332539" w:rsidRDefault="000F2FB1">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332539" w14:paraId="2305D82B" w14:textId="77777777">
        <w:tc>
          <w:tcPr>
            <w:tcW w:w="1980" w:type="dxa"/>
          </w:tcPr>
          <w:p w14:paraId="2305D826" w14:textId="77777777" w:rsidR="00332539" w:rsidRDefault="000F2FB1">
            <w:pPr>
              <w:jc w:val="both"/>
              <w:rPr>
                <w:lang w:eastAsia="zh-CN"/>
              </w:rPr>
            </w:pPr>
            <w:r>
              <w:rPr>
                <w:lang w:eastAsia="zh-CN"/>
              </w:rPr>
              <w:lastRenderedPageBreak/>
              <w:t>Huawei, HiSilicon</w:t>
            </w:r>
          </w:p>
        </w:tc>
        <w:tc>
          <w:tcPr>
            <w:tcW w:w="1843" w:type="dxa"/>
          </w:tcPr>
          <w:p w14:paraId="2305D827" w14:textId="77777777" w:rsidR="00332539" w:rsidRDefault="000F2FB1">
            <w:pPr>
              <w:jc w:val="both"/>
              <w:rPr>
                <w:lang w:eastAsia="zh-CN"/>
              </w:rPr>
            </w:pPr>
            <w:r>
              <w:rPr>
                <w:lang w:eastAsia="zh-CN"/>
              </w:rPr>
              <w:t>c)</w:t>
            </w:r>
          </w:p>
        </w:tc>
        <w:tc>
          <w:tcPr>
            <w:tcW w:w="5808" w:type="dxa"/>
          </w:tcPr>
          <w:p w14:paraId="2305D828" w14:textId="77777777" w:rsidR="00332539" w:rsidRDefault="000F2FB1">
            <w:pPr>
              <w:rPr>
                <w:lang w:eastAsia="zh-CN"/>
              </w:rPr>
            </w:pPr>
            <w:r>
              <w:rPr>
                <w:lang w:eastAsia="zh-CN"/>
              </w:rPr>
              <w:t>We have no time to design a new mechanism.</w:t>
            </w:r>
          </w:p>
          <w:p w14:paraId="2305D829" w14:textId="77777777" w:rsidR="00332539" w:rsidRDefault="000F2FB1">
            <w:pPr>
              <w:rPr>
                <w:lang w:eastAsia="zh-CN"/>
              </w:rPr>
            </w:pPr>
            <w:r>
              <w:rPr>
                <w:lang w:eastAsia="zh-CN"/>
              </w:rPr>
              <w:t>For c), we don't see the need to capture anything.</w:t>
            </w:r>
          </w:p>
          <w:p w14:paraId="2305D82A" w14:textId="77777777" w:rsidR="00332539" w:rsidRDefault="000F2FB1">
            <w:pPr>
              <w:rPr>
                <w:lang w:eastAsia="zh-CN"/>
              </w:rPr>
            </w:pPr>
            <w:r>
              <w:rPr>
                <w:lang w:eastAsia="zh-CN"/>
              </w:rPr>
              <w:t xml:space="preserve">In b), what is the use of encapsulating the RRCReconfigurationComplete?  </w:t>
            </w:r>
          </w:p>
        </w:tc>
      </w:tr>
      <w:tr w:rsidR="00332539" w14:paraId="2305D82F" w14:textId="77777777">
        <w:tc>
          <w:tcPr>
            <w:tcW w:w="1980" w:type="dxa"/>
          </w:tcPr>
          <w:p w14:paraId="2305D82C" w14:textId="77777777" w:rsidR="00332539" w:rsidRDefault="000F2FB1">
            <w:pPr>
              <w:jc w:val="both"/>
              <w:rPr>
                <w:lang w:eastAsia="zh-CN"/>
              </w:rPr>
            </w:pPr>
            <w:r>
              <w:rPr>
                <w:lang w:eastAsia="zh-CN"/>
              </w:rPr>
              <w:t>Intel</w:t>
            </w:r>
          </w:p>
        </w:tc>
        <w:tc>
          <w:tcPr>
            <w:tcW w:w="1843" w:type="dxa"/>
          </w:tcPr>
          <w:p w14:paraId="2305D82D" w14:textId="77777777" w:rsidR="00332539" w:rsidRDefault="000F2FB1">
            <w:pPr>
              <w:jc w:val="both"/>
              <w:rPr>
                <w:lang w:eastAsia="zh-CN"/>
              </w:rPr>
            </w:pPr>
            <w:r>
              <w:rPr>
                <w:lang w:eastAsia="zh-CN"/>
              </w:rPr>
              <w:t>a or c</w:t>
            </w:r>
          </w:p>
        </w:tc>
        <w:tc>
          <w:tcPr>
            <w:tcW w:w="5808" w:type="dxa"/>
          </w:tcPr>
          <w:p w14:paraId="2305D82E" w14:textId="77777777" w:rsidR="00332539" w:rsidRDefault="000F2FB1">
            <w:pPr>
              <w:jc w:val="both"/>
              <w:rPr>
                <w:lang w:eastAsia="zh-CN"/>
              </w:rPr>
            </w:pPr>
            <w:r>
              <w:rPr>
                <w:lang w:eastAsia="zh-CN"/>
              </w:rPr>
              <w:t xml:space="preserve">We are ok to leave it to NW. And if we specify the UE behaviour, we think option b) breaks the current default model that a complete message is generated only after the UE applies the configuration.  As the UE is sending the UL message (with the encapsulated complete message) using the old configuration, it will not be possible for UE to apply the new reconfiguration before sending the complete.  </w:t>
            </w:r>
          </w:p>
        </w:tc>
      </w:tr>
      <w:tr w:rsidR="00332539" w14:paraId="2305D833" w14:textId="77777777">
        <w:tc>
          <w:tcPr>
            <w:tcW w:w="1980" w:type="dxa"/>
          </w:tcPr>
          <w:p w14:paraId="2305D830" w14:textId="77777777" w:rsidR="00332539" w:rsidRDefault="000F2FB1">
            <w:pPr>
              <w:jc w:val="both"/>
              <w:rPr>
                <w:lang w:eastAsia="zh-CN"/>
              </w:rPr>
            </w:pPr>
            <w:r>
              <w:rPr>
                <w:rFonts w:eastAsia="Malgun Gothic" w:hint="eastAsia"/>
                <w:lang w:eastAsia="ko-KR"/>
              </w:rPr>
              <w:t>LG</w:t>
            </w:r>
          </w:p>
        </w:tc>
        <w:tc>
          <w:tcPr>
            <w:tcW w:w="1843" w:type="dxa"/>
          </w:tcPr>
          <w:p w14:paraId="2305D831" w14:textId="77777777" w:rsidR="00332539" w:rsidRDefault="000F2FB1">
            <w:pPr>
              <w:jc w:val="both"/>
              <w:rPr>
                <w:lang w:eastAsia="zh-CN"/>
              </w:rPr>
            </w:pPr>
            <w:r>
              <w:rPr>
                <w:rFonts w:eastAsia="Malgun Gothic" w:hint="eastAsia"/>
                <w:lang w:eastAsia="ko-KR"/>
              </w:rPr>
              <w:t>c</w:t>
            </w:r>
          </w:p>
        </w:tc>
        <w:tc>
          <w:tcPr>
            <w:tcW w:w="5808" w:type="dxa"/>
          </w:tcPr>
          <w:p w14:paraId="2305D832" w14:textId="77777777" w:rsidR="00332539" w:rsidRDefault="000F2FB1">
            <w:pPr>
              <w:jc w:val="both"/>
              <w:rPr>
                <w:lang w:eastAsia="zh-CN"/>
              </w:rPr>
            </w:pPr>
            <w:r>
              <w:rPr>
                <w:lang w:eastAsia="zh-CN"/>
              </w:rPr>
              <w:t>The MN should store both old and new MCG configurations until CPAC execution. How the MN maintains both configurations and how the MN differentiate the configuration of UE RRC message are up to the network implementation.</w:t>
            </w:r>
          </w:p>
        </w:tc>
      </w:tr>
      <w:tr w:rsidR="00332539" w14:paraId="2305D837" w14:textId="77777777">
        <w:tc>
          <w:tcPr>
            <w:tcW w:w="1980" w:type="dxa"/>
          </w:tcPr>
          <w:p w14:paraId="2305D834" w14:textId="77777777" w:rsidR="00332539" w:rsidRDefault="000F2FB1">
            <w:pPr>
              <w:jc w:val="both"/>
              <w:rPr>
                <w:lang w:val="en-US" w:eastAsia="zh-CN"/>
              </w:rPr>
            </w:pPr>
            <w:r>
              <w:rPr>
                <w:rFonts w:hint="eastAsia"/>
                <w:lang w:val="en-US" w:eastAsia="zh-CN"/>
              </w:rPr>
              <w:t>ZTE</w:t>
            </w:r>
          </w:p>
        </w:tc>
        <w:tc>
          <w:tcPr>
            <w:tcW w:w="1843" w:type="dxa"/>
          </w:tcPr>
          <w:p w14:paraId="2305D835" w14:textId="77777777" w:rsidR="00332539" w:rsidRDefault="000F2FB1">
            <w:pPr>
              <w:jc w:val="both"/>
              <w:rPr>
                <w:lang w:val="en-US" w:eastAsia="zh-CN"/>
              </w:rPr>
            </w:pPr>
            <w:r>
              <w:rPr>
                <w:rFonts w:hint="eastAsia"/>
                <w:lang w:val="en-US" w:eastAsia="zh-CN"/>
              </w:rPr>
              <w:t>c)</w:t>
            </w:r>
          </w:p>
        </w:tc>
        <w:tc>
          <w:tcPr>
            <w:tcW w:w="5808" w:type="dxa"/>
          </w:tcPr>
          <w:p w14:paraId="2305D836" w14:textId="77777777" w:rsidR="00332539" w:rsidRDefault="000F2FB1">
            <w:pPr>
              <w:jc w:val="both"/>
              <w:rPr>
                <w:lang w:eastAsia="zh-CN"/>
              </w:rPr>
            </w:pPr>
            <w:r>
              <w:rPr>
                <w:rFonts w:hint="eastAsia"/>
                <w:lang w:val="en-US" w:eastAsia="zh-CN"/>
              </w:rPr>
              <w:t>We think it can be up to the NW implementation to handle this. And no need to capture anything in the spec.</w:t>
            </w:r>
          </w:p>
        </w:tc>
      </w:tr>
      <w:tr w:rsidR="00332539" w14:paraId="2305D83B" w14:textId="77777777">
        <w:tc>
          <w:tcPr>
            <w:tcW w:w="1980" w:type="dxa"/>
          </w:tcPr>
          <w:p w14:paraId="2305D838" w14:textId="08932E68" w:rsidR="00332539" w:rsidRDefault="00046170">
            <w:pPr>
              <w:jc w:val="both"/>
              <w:rPr>
                <w:lang w:eastAsia="zh-CN"/>
              </w:rPr>
            </w:pPr>
            <w:r>
              <w:rPr>
                <w:lang w:eastAsia="zh-CN"/>
              </w:rPr>
              <w:t>Lenovo, Motorola Mobility</w:t>
            </w:r>
          </w:p>
        </w:tc>
        <w:tc>
          <w:tcPr>
            <w:tcW w:w="1843" w:type="dxa"/>
          </w:tcPr>
          <w:p w14:paraId="2305D839" w14:textId="0652CFFA" w:rsidR="00332539" w:rsidRDefault="00046170">
            <w:pPr>
              <w:jc w:val="both"/>
              <w:rPr>
                <w:lang w:eastAsia="zh-CN"/>
              </w:rPr>
            </w:pPr>
            <w:r>
              <w:rPr>
                <w:lang w:eastAsia="zh-CN"/>
              </w:rPr>
              <w:t>c</w:t>
            </w:r>
          </w:p>
        </w:tc>
        <w:tc>
          <w:tcPr>
            <w:tcW w:w="5808" w:type="dxa"/>
          </w:tcPr>
          <w:p w14:paraId="2305D83A" w14:textId="1F05B311" w:rsidR="00332539" w:rsidRDefault="00277A12">
            <w:pPr>
              <w:jc w:val="both"/>
              <w:rPr>
                <w:lang w:eastAsia="zh-CN"/>
              </w:rPr>
            </w:pPr>
            <w:r>
              <w:rPr>
                <w:lang w:eastAsia="zh-CN"/>
              </w:rPr>
              <w:t xml:space="preserve">We agree NW implementation can handle this. And agree with CATT that </w:t>
            </w:r>
            <w:r w:rsidR="00771694">
              <w:rPr>
                <w:lang w:eastAsia="zh-CN"/>
              </w:rPr>
              <w:t xml:space="preserve">SRB configuration is unlikely to be modified during CPAC. </w:t>
            </w:r>
          </w:p>
        </w:tc>
      </w:tr>
      <w:tr w:rsidR="00332539" w14:paraId="2305D83F" w14:textId="77777777">
        <w:tc>
          <w:tcPr>
            <w:tcW w:w="1980" w:type="dxa"/>
          </w:tcPr>
          <w:p w14:paraId="2305D83C" w14:textId="0EBA16A8" w:rsidR="00332539" w:rsidRDefault="0080566E">
            <w:pPr>
              <w:jc w:val="both"/>
              <w:rPr>
                <w:rFonts w:hint="eastAsia"/>
                <w:lang w:eastAsia="zh-CN"/>
              </w:rPr>
            </w:pPr>
            <w:r>
              <w:rPr>
                <w:rFonts w:hint="eastAsia"/>
                <w:lang w:eastAsia="zh-CN"/>
              </w:rPr>
              <w:t>M</w:t>
            </w:r>
            <w:r>
              <w:rPr>
                <w:lang w:eastAsia="zh-CN"/>
              </w:rPr>
              <w:t>ediaTek</w:t>
            </w:r>
          </w:p>
        </w:tc>
        <w:tc>
          <w:tcPr>
            <w:tcW w:w="1843" w:type="dxa"/>
          </w:tcPr>
          <w:p w14:paraId="2305D83D" w14:textId="1403E4E1" w:rsidR="00332539" w:rsidRDefault="0080566E">
            <w:pPr>
              <w:jc w:val="both"/>
              <w:rPr>
                <w:lang w:eastAsia="zh-CN"/>
              </w:rPr>
            </w:pPr>
            <w:r>
              <w:rPr>
                <w:rFonts w:hint="eastAsia"/>
                <w:lang w:eastAsia="zh-CN"/>
              </w:rPr>
              <w:t>c</w:t>
            </w:r>
          </w:p>
        </w:tc>
        <w:tc>
          <w:tcPr>
            <w:tcW w:w="5808" w:type="dxa"/>
          </w:tcPr>
          <w:p w14:paraId="2305D83E" w14:textId="011E1033" w:rsidR="00332539" w:rsidRDefault="0080566E">
            <w:pPr>
              <w:jc w:val="both"/>
              <w:rPr>
                <w:lang w:eastAsia="zh-CN"/>
              </w:rPr>
            </w:pPr>
            <w:r>
              <w:rPr>
                <w:rFonts w:hint="eastAsia"/>
                <w:lang w:eastAsia="zh-CN"/>
              </w:rPr>
              <w:t>S</w:t>
            </w:r>
            <w:r>
              <w:rPr>
                <w:lang w:eastAsia="zh-CN"/>
              </w:rPr>
              <w:t>ame view as CATT.</w:t>
            </w:r>
          </w:p>
        </w:tc>
      </w:tr>
      <w:tr w:rsidR="00332539" w14:paraId="2305D843" w14:textId="77777777">
        <w:tc>
          <w:tcPr>
            <w:tcW w:w="1980" w:type="dxa"/>
          </w:tcPr>
          <w:p w14:paraId="2305D840" w14:textId="77777777" w:rsidR="00332539" w:rsidRDefault="00332539">
            <w:pPr>
              <w:jc w:val="both"/>
              <w:rPr>
                <w:lang w:eastAsia="zh-CN"/>
              </w:rPr>
            </w:pPr>
          </w:p>
        </w:tc>
        <w:tc>
          <w:tcPr>
            <w:tcW w:w="1843" w:type="dxa"/>
          </w:tcPr>
          <w:p w14:paraId="2305D841" w14:textId="77777777" w:rsidR="00332539" w:rsidRDefault="00332539">
            <w:pPr>
              <w:jc w:val="both"/>
              <w:rPr>
                <w:lang w:eastAsia="zh-CN"/>
              </w:rPr>
            </w:pPr>
          </w:p>
        </w:tc>
        <w:tc>
          <w:tcPr>
            <w:tcW w:w="5808" w:type="dxa"/>
          </w:tcPr>
          <w:p w14:paraId="2305D842" w14:textId="77777777" w:rsidR="00332539" w:rsidRDefault="00332539">
            <w:pPr>
              <w:jc w:val="both"/>
              <w:rPr>
                <w:lang w:eastAsia="zh-CN"/>
              </w:rPr>
            </w:pPr>
          </w:p>
        </w:tc>
      </w:tr>
      <w:tr w:rsidR="00332539" w14:paraId="2305D847" w14:textId="77777777">
        <w:tc>
          <w:tcPr>
            <w:tcW w:w="1980" w:type="dxa"/>
          </w:tcPr>
          <w:p w14:paraId="2305D844" w14:textId="77777777" w:rsidR="00332539" w:rsidRDefault="00332539">
            <w:pPr>
              <w:jc w:val="both"/>
              <w:rPr>
                <w:lang w:eastAsia="zh-CN"/>
              </w:rPr>
            </w:pPr>
          </w:p>
        </w:tc>
        <w:tc>
          <w:tcPr>
            <w:tcW w:w="1843" w:type="dxa"/>
          </w:tcPr>
          <w:p w14:paraId="2305D845" w14:textId="77777777" w:rsidR="00332539" w:rsidRDefault="00332539">
            <w:pPr>
              <w:jc w:val="both"/>
              <w:rPr>
                <w:lang w:eastAsia="zh-CN"/>
              </w:rPr>
            </w:pPr>
          </w:p>
        </w:tc>
        <w:tc>
          <w:tcPr>
            <w:tcW w:w="5808" w:type="dxa"/>
          </w:tcPr>
          <w:p w14:paraId="2305D846" w14:textId="77777777" w:rsidR="00332539" w:rsidRDefault="00332539">
            <w:pPr>
              <w:jc w:val="both"/>
            </w:pPr>
          </w:p>
        </w:tc>
      </w:tr>
      <w:tr w:rsidR="00332539" w14:paraId="2305D84B" w14:textId="77777777">
        <w:tc>
          <w:tcPr>
            <w:tcW w:w="1980" w:type="dxa"/>
          </w:tcPr>
          <w:p w14:paraId="2305D848" w14:textId="77777777" w:rsidR="00332539" w:rsidRDefault="00332539">
            <w:pPr>
              <w:jc w:val="both"/>
              <w:rPr>
                <w:lang w:val="en-US" w:eastAsia="zh-CN"/>
              </w:rPr>
            </w:pPr>
          </w:p>
        </w:tc>
        <w:tc>
          <w:tcPr>
            <w:tcW w:w="1843" w:type="dxa"/>
          </w:tcPr>
          <w:p w14:paraId="2305D849" w14:textId="77777777" w:rsidR="00332539" w:rsidRDefault="00332539">
            <w:pPr>
              <w:jc w:val="both"/>
              <w:rPr>
                <w:lang w:val="en-US" w:eastAsia="zh-CN"/>
              </w:rPr>
            </w:pPr>
          </w:p>
        </w:tc>
        <w:tc>
          <w:tcPr>
            <w:tcW w:w="5808" w:type="dxa"/>
          </w:tcPr>
          <w:p w14:paraId="2305D84A" w14:textId="77777777" w:rsidR="00332539" w:rsidRDefault="00332539">
            <w:pPr>
              <w:jc w:val="both"/>
              <w:rPr>
                <w:lang w:val="en-US" w:eastAsia="zh-CN"/>
              </w:rPr>
            </w:pPr>
          </w:p>
        </w:tc>
      </w:tr>
      <w:tr w:rsidR="00332539" w14:paraId="2305D84F" w14:textId="77777777">
        <w:tc>
          <w:tcPr>
            <w:tcW w:w="1980" w:type="dxa"/>
          </w:tcPr>
          <w:p w14:paraId="2305D84C" w14:textId="77777777" w:rsidR="00332539" w:rsidRDefault="00332539">
            <w:pPr>
              <w:jc w:val="both"/>
              <w:rPr>
                <w:lang w:eastAsia="zh-CN"/>
              </w:rPr>
            </w:pPr>
          </w:p>
        </w:tc>
        <w:tc>
          <w:tcPr>
            <w:tcW w:w="1843" w:type="dxa"/>
          </w:tcPr>
          <w:p w14:paraId="2305D84D" w14:textId="77777777" w:rsidR="00332539" w:rsidRDefault="00332539">
            <w:pPr>
              <w:jc w:val="both"/>
              <w:rPr>
                <w:lang w:eastAsia="zh-CN"/>
              </w:rPr>
            </w:pPr>
          </w:p>
        </w:tc>
        <w:tc>
          <w:tcPr>
            <w:tcW w:w="5808" w:type="dxa"/>
          </w:tcPr>
          <w:p w14:paraId="2305D84E" w14:textId="77777777" w:rsidR="00332539" w:rsidRDefault="00332539">
            <w:pPr>
              <w:jc w:val="both"/>
              <w:rPr>
                <w:lang w:eastAsia="zh-CN"/>
              </w:rPr>
            </w:pPr>
          </w:p>
        </w:tc>
      </w:tr>
      <w:tr w:rsidR="00332539" w14:paraId="2305D853" w14:textId="77777777">
        <w:tc>
          <w:tcPr>
            <w:tcW w:w="1980" w:type="dxa"/>
          </w:tcPr>
          <w:p w14:paraId="2305D850" w14:textId="77777777" w:rsidR="00332539" w:rsidRDefault="00332539">
            <w:pPr>
              <w:jc w:val="both"/>
              <w:rPr>
                <w:lang w:eastAsia="zh-CN"/>
              </w:rPr>
            </w:pPr>
          </w:p>
        </w:tc>
        <w:tc>
          <w:tcPr>
            <w:tcW w:w="1843" w:type="dxa"/>
          </w:tcPr>
          <w:p w14:paraId="2305D851" w14:textId="77777777" w:rsidR="00332539" w:rsidRDefault="00332539">
            <w:pPr>
              <w:jc w:val="both"/>
              <w:rPr>
                <w:lang w:eastAsia="zh-CN"/>
              </w:rPr>
            </w:pPr>
          </w:p>
        </w:tc>
        <w:tc>
          <w:tcPr>
            <w:tcW w:w="5808" w:type="dxa"/>
          </w:tcPr>
          <w:p w14:paraId="2305D852" w14:textId="77777777" w:rsidR="00332539" w:rsidRDefault="00332539">
            <w:pPr>
              <w:jc w:val="both"/>
              <w:rPr>
                <w:lang w:eastAsia="zh-CN"/>
              </w:rPr>
            </w:pPr>
          </w:p>
        </w:tc>
      </w:tr>
      <w:tr w:rsidR="00332539" w14:paraId="2305D857" w14:textId="77777777">
        <w:tc>
          <w:tcPr>
            <w:tcW w:w="1980" w:type="dxa"/>
          </w:tcPr>
          <w:p w14:paraId="2305D854" w14:textId="77777777" w:rsidR="00332539" w:rsidRDefault="00332539">
            <w:pPr>
              <w:jc w:val="both"/>
              <w:rPr>
                <w:lang w:eastAsia="zh-CN"/>
              </w:rPr>
            </w:pPr>
          </w:p>
        </w:tc>
        <w:tc>
          <w:tcPr>
            <w:tcW w:w="1843" w:type="dxa"/>
          </w:tcPr>
          <w:p w14:paraId="2305D855" w14:textId="77777777" w:rsidR="00332539" w:rsidRDefault="00332539">
            <w:pPr>
              <w:jc w:val="both"/>
              <w:rPr>
                <w:lang w:eastAsia="zh-CN"/>
              </w:rPr>
            </w:pPr>
          </w:p>
        </w:tc>
        <w:tc>
          <w:tcPr>
            <w:tcW w:w="5808" w:type="dxa"/>
          </w:tcPr>
          <w:p w14:paraId="2305D856" w14:textId="77777777" w:rsidR="00332539" w:rsidRDefault="00332539">
            <w:pPr>
              <w:jc w:val="both"/>
              <w:rPr>
                <w:lang w:eastAsia="zh-CN"/>
              </w:rPr>
            </w:pPr>
          </w:p>
        </w:tc>
      </w:tr>
      <w:tr w:rsidR="00332539" w14:paraId="2305D85B" w14:textId="77777777">
        <w:tc>
          <w:tcPr>
            <w:tcW w:w="1980" w:type="dxa"/>
          </w:tcPr>
          <w:p w14:paraId="2305D858" w14:textId="77777777" w:rsidR="00332539" w:rsidRDefault="00332539">
            <w:pPr>
              <w:jc w:val="both"/>
              <w:rPr>
                <w:lang w:eastAsia="zh-CN"/>
              </w:rPr>
            </w:pPr>
          </w:p>
        </w:tc>
        <w:tc>
          <w:tcPr>
            <w:tcW w:w="1843" w:type="dxa"/>
          </w:tcPr>
          <w:p w14:paraId="2305D859" w14:textId="77777777" w:rsidR="00332539" w:rsidRDefault="00332539">
            <w:pPr>
              <w:jc w:val="both"/>
              <w:rPr>
                <w:lang w:eastAsia="zh-CN"/>
              </w:rPr>
            </w:pPr>
          </w:p>
        </w:tc>
        <w:tc>
          <w:tcPr>
            <w:tcW w:w="5808" w:type="dxa"/>
          </w:tcPr>
          <w:p w14:paraId="2305D85A" w14:textId="77777777" w:rsidR="00332539" w:rsidRDefault="00332539">
            <w:pPr>
              <w:jc w:val="both"/>
              <w:rPr>
                <w:lang w:eastAsia="zh-CN"/>
              </w:rPr>
            </w:pPr>
          </w:p>
        </w:tc>
      </w:tr>
      <w:tr w:rsidR="00332539" w14:paraId="2305D85F" w14:textId="77777777">
        <w:tc>
          <w:tcPr>
            <w:tcW w:w="1980" w:type="dxa"/>
          </w:tcPr>
          <w:p w14:paraId="2305D85C" w14:textId="77777777" w:rsidR="00332539" w:rsidRDefault="00332539">
            <w:pPr>
              <w:jc w:val="both"/>
              <w:rPr>
                <w:lang w:eastAsia="zh-CN"/>
              </w:rPr>
            </w:pPr>
          </w:p>
        </w:tc>
        <w:tc>
          <w:tcPr>
            <w:tcW w:w="1843" w:type="dxa"/>
          </w:tcPr>
          <w:p w14:paraId="2305D85D" w14:textId="77777777" w:rsidR="00332539" w:rsidRDefault="00332539">
            <w:pPr>
              <w:jc w:val="both"/>
              <w:rPr>
                <w:lang w:eastAsia="zh-CN"/>
              </w:rPr>
            </w:pPr>
          </w:p>
        </w:tc>
        <w:tc>
          <w:tcPr>
            <w:tcW w:w="5808" w:type="dxa"/>
          </w:tcPr>
          <w:p w14:paraId="2305D85E" w14:textId="77777777" w:rsidR="00332539" w:rsidRDefault="00332539">
            <w:pPr>
              <w:jc w:val="both"/>
              <w:rPr>
                <w:rFonts w:eastAsia="Malgun Gothic"/>
                <w:lang w:eastAsia="ko-KR"/>
              </w:rPr>
            </w:pPr>
          </w:p>
        </w:tc>
      </w:tr>
      <w:tr w:rsidR="00332539" w14:paraId="2305D863" w14:textId="77777777">
        <w:tc>
          <w:tcPr>
            <w:tcW w:w="1980" w:type="dxa"/>
          </w:tcPr>
          <w:p w14:paraId="2305D860" w14:textId="77777777" w:rsidR="00332539" w:rsidRDefault="00332539">
            <w:pPr>
              <w:jc w:val="both"/>
              <w:rPr>
                <w:lang w:eastAsia="zh-CN"/>
              </w:rPr>
            </w:pPr>
          </w:p>
        </w:tc>
        <w:tc>
          <w:tcPr>
            <w:tcW w:w="1843" w:type="dxa"/>
          </w:tcPr>
          <w:p w14:paraId="2305D861" w14:textId="77777777" w:rsidR="00332539" w:rsidRDefault="00332539">
            <w:pPr>
              <w:jc w:val="both"/>
              <w:rPr>
                <w:lang w:eastAsia="zh-CN"/>
              </w:rPr>
            </w:pPr>
          </w:p>
        </w:tc>
        <w:tc>
          <w:tcPr>
            <w:tcW w:w="5808" w:type="dxa"/>
          </w:tcPr>
          <w:p w14:paraId="2305D862" w14:textId="77777777" w:rsidR="00332539" w:rsidRDefault="00332539">
            <w:pPr>
              <w:jc w:val="both"/>
              <w:rPr>
                <w:lang w:eastAsia="zh-CN"/>
              </w:rPr>
            </w:pPr>
          </w:p>
        </w:tc>
      </w:tr>
      <w:tr w:rsidR="00332539" w14:paraId="2305D867" w14:textId="77777777">
        <w:tc>
          <w:tcPr>
            <w:tcW w:w="1980" w:type="dxa"/>
          </w:tcPr>
          <w:p w14:paraId="2305D864" w14:textId="77777777" w:rsidR="00332539" w:rsidRDefault="00332539">
            <w:pPr>
              <w:jc w:val="both"/>
              <w:rPr>
                <w:rFonts w:eastAsia="Malgun Gothic"/>
                <w:lang w:eastAsia="ko-KR"/>
              </w:rPr>
            </w:pPr>
          </w:p>
        </w:tc>
        <w:tc>
          <w:tcPr>
            <w:tcW w:w="1843" w:type="dxa"/>
          </w:tcPr>
          <w:p w14:paraId="2305D865" w14:textId="77777777" w:rsidR="00332539" w:rsidRDefault="00332539">
            <w:pPr>
              <w:jc w:val="both"/>
              <w:rPr>
                <w:rFonts w:eastAsia="Malgun Gothic"/>
                <w:lang w:eastAsia="ko-KR"/>
              </w:rPr>
            </w:pPr>
          </w:p>
        </w:tc>
        <w:tc>
          <w:tcPr>
            <w:tcW w:w="5808" w:type="dxa"/>
          </w:tcPr>
          <w:p w14:paraId="2305D866" w14:textId="77777777" w:rsidR="00332539" w:rsidRDefault="00332539">
            <w:pPr>
              <w:jc w:val="both"/>
              <w:rPr>
                <w:rFonts w:eastAsia="Malgun Gothic"/>
                <w:lang w:eastAsia="ko-KR"/>
              </w:rPr>
            </w:pPr>
          </w:p>
        </w:tc>
      </w:tr>
      <w:tr w:rsidR="00332539" w14:paraId="2305D86B" w14:textId="77777777">
        <w:tc>
          <w:tcPr>
            <w:tcW w:w="1980" w:type="dxa"/>
          </w:tcPr>
          <w:p w14:paraId="2305D868" w14:textId="77777777" w:rsidR="00332539" w:rsidRDefault="00332539">
            <w:pPr>
              <w:jc w:val="both"/>
              <w:rPr>
                <w:lang w:eastAsia="zh-CN"/>
              </w:rPr>
            </w:pPr>
          </w:p>
        </w:tc>
        <w:tc>
          <w:tcPr>
            <w:tcW w:w="1843" w:type="dxa"/>
          </w:tcPr>
          <w:p w14:paraId="2305D869" w14:textId="77777777" w:rsidR="00332539" w:rsidRDefault="00332539">
            <w:pPr>
              <w:jc w:val="both"/>
              <w:rPr>
                <w:lang w:eastAsia="zh-CN"/>
              </w:rPr>
            </w:pPr>
          </w:p>
        </w:tc>
        <w:tc>
          <w:tcPr>
            <w:tcW w:w="5808" w:type="dxa"/>
          </w:tcPr>
          <w:p w14:paraId="2305D86A" w14:textId="77777777" w:rsidR="00332539" w:rsidRDefault="00332539">
            <w:pPr>
              <w:jc w:val="both"/>
              <w:rPr>
                <w:lang w:eastAsia="zh-CN"/>
              </w:rPr>
            </w:pPr>
          </w:p>
        </w:tc>
      </w:tr>
      <w:tr w:rsidR="00332539" w14:paraId="2305D86F" w14:textId="77777777">
        <w:tc>
          <w:tcPr>
            <w:tcW w:w="1980" w:type="dxa"/>
          </w:tcPr>
          <w:p w14:paraId="2305D86C" w14:textId="77777777" w:rsidR="00332539" w:rsidRDefault="00332539">
            <w:pPr>
              <w:jc w:val="both"/>
              <w:rPr>
                <w:lang w:eastAsia="zh-CN"/>
              </w:rPr>
            </w:pPr>
          </w:p>
        </w:tc>
        <w:tc>
          <w:tcPr>
            <w:tcW w:w="1843" w:type="dxa"/>
          </w:tcPr>
          <w:p w14:paraId="2305D86D" w14:textId="77777777" w:rsidR="00332539" w:rsidRDefault="00332539">
            <w:pPr>
              <w:jc w:val="both"/>
              <w:rPr>
                <w:lang w:eastAsia="zh-CN"/>
              </w:rPr>
            </w:pPr>
          </w:p>
        </w:tc>
        <w:tc>
          <w:tcPr>
            <w:tcW w:w="5808" w:type="dxa"/>
          </w:tcPr>
          <w:p w14:paraId="2305D86E" w14:textId="77777777" w:rsidR="00332539" w:rsidRDefault="00332539">
            <w:pPr>
              <w:jc w:val="both"/>
              <w:rPr>
                <w:lang w:eastAsia="zh-CN"/>
              </w:rPr>
            </w:pPr>
          </w:p>
        </w:tc>
      </w:tr>
      <w:tr w:rsidR="00332539" w14:paraId="2305D873" w14:textId="77777777">
        <w:tc>
          <w:tcPr>
            <w:tcW w:w="1980" w:type="dxa"/>
          </w:tcPr>
          <w:p w14:paraId="2305D870" w14:textId="77777777" w:rsidR="00332539" w:rsidRDefault="00332539">
            <w:pPr>
              <w:jc w:val="both"/>
              <w:rPr>
                <w:rFonts w:eastAsia="Malgun Gothic"/>
                <w:lang w:eastAsia="ko-KR"/>
              </w:rPr>
            </w:pPr>
          </w:p>
        </w:tc>
        <w:tc>
          <w:tcPr>
            <w:tcW w:w="1843" w:type="dxa"/>
          </w:tcPr>
          <w:p w14:paraId="2305D871" w14:textId="77777777" w:rsidR="00332539" w:rsidRDefault="00332539">
            <w:pPr>
              <w:jc w:val="both"/>
              <w:rPr>
                <w:rFonts w:eastAsia="Malgun Gothic"/>
                <w:lang w:eastAsia="ko-KR"/>
              </w:rPr>
            </w:pPr>
          </w:p>
        </w:tc>
        <w:tc>
          <w:tcPr>
            <w:tcW w:w="5808" w:type="dxa"/>
          </w:tcPr>
          <w:p w14:paraId="2305D872" w14:textId="77777777" w:rsidR="00332539" w:rsidRDefault="00332539">
            <w:pPr>
              <w:jc w:val="both"/>
              <w:rPr>
                <w:rFonts w:eastAsia="Malgun Gothic"/>
                <w:lang w:eastAsia="ko-KR"/>
              </w:rPr>
            </w:pPr>
          </w:p>
        </w:tc>
      </w:tr>
      <w:tr w:rsidR="00332539" w14:paraId="2305D877" w14:textId="77777777">
        <w:tc>
          <w:tcPr>
            <w:tcW w:w="1980" w:type="dxa"/>
          </w:tcPr>
          <w:p w14:paraId="2305D874" w14:textId="77777777" w:rsidR="00332539" w:rsidRDefault="00332539">
            <w:pPr>
              <w:jc w:val="both"/>
              <w:rPr>
                <w:rFonts w:eastAsia="Malgun Gothic"/>
                <w:lang w:eastAsia="ko-KR"/>
              </w:rPr>
            </w:pPr>
          </w:p>
        </w:tc>
        <w:tc>
          <w:tcPr>
            <w:tcW w:w="1843" w:type="dxa"/>
          </w:tcPr>
          <w:p w14:paraId="2305D875" w14:textId="77777777" w:rsidR="00332539" w:rsidRDefault="00332539">
            <w:pPr>
              <w:jc w:val="both"/>
              <w:rPr>
                <w:rFonts w:eastAsia="Malgun Gothic"/>
                <w:lang w:eastAsia="ko-KR"/>
              </w:rPr>
            </w:pPr>
          </w:p>
        </w:tc>
        <w:tc>
          <w:tcPr>
            <w:tcW w:w="5808" w:type="dxa"/>
          </w:tcPr>
          <w:p w14:paraId="2305D876" w14:textId="77777777" w:rsidR="00332539" w:rsidRDefault="00332539">
            <w:pPr>
              <w:jc w:val="both"/>
              <w:rPr>
                <w:rFonts w:eastAsia="Malgun Gothic"/>
                <w:lang w:eastAsia="ko-KR"/>
              </w:rPr>
            </w:pPr>
          </w:p>
        </w:tc>
      </w:tr>
    </w:tbl>
    <w:p w14:paraId="2305D878" w14:textId="77777777" w:rsidR="00332539" w:rsidRDefault="00332539">
      <w:pPr>
        <w:jc w:val="both"/>
      </w:pPr>
    </w:p>
    <w:p w14:paraId="2305D879" w14:textId="77777777" w:rsidR="00332539" w:rsidRDefault="000F2FB1">
      <w:pPr>
        <w:pStyle w:val="Heading2"/>
        <w:jc w:val="both"/>
      </w:pPr>
      <w:r>
        <w:t>2.3</w:t>
      </w:r>
      <w:r>
        <w:tab/>
        <w:t>Target SN’s full or delta-configuration</w:t>
      </w:r>
    </w:p>
    <w:p w14:paraId="2305D87A" w14:textId="77777777" w:rsidR="00332539" w:rsidRDefault="000F2FB1">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ZTE" w:date="2022-02-24T11:33:00Z">
        <w:r>
          <w:rPr>
            <w:rFonts w:hint="eastAsia"/>
            <w:lang w:val="en-US" w:eastAsia="zh-CN"/>
          </w:rPr>
          <w:t>[7]</w:t>
        </w:r>
      </w:ins>
      <w:commentRangeEnd w:id="3"/>
      <w:r>
        <w:commentReference w:id="3"/>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In rapporteur’s understanding, the acceptance of all suggested PSCells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TableGrid"/>
        <w:tblW w:w="9631" w:type="dxa"/>
        <w:tblLayout w:type="fixed"/>
        <w:tblLook w:val="04A0" w:firstRow="1" w:lastRow="0" w:firstColumn="1" w:lastColumn="0" w:noHBand="0" w:noVBand="1"/>
      </w:tblPr>
      <w:tblGrid>
        <w:gridCol w:w="1980"/>
        <w:gridCol w:w="7651"/>
      </w:tblGrid>
      <w:tr w:rsidR="00332539" w14:paraId="2305D87C" w14:textId="77777777">
        <w:tc>
          <w:tcPr>
            <w:tcW w:w="9631" w:type="dxa"/>
            <w:gridSpan w:val="2"/>
          </w:tcPr>
          <w:p w14:paraId="2305D87B" w14:textId="77777777" w:rsidR="00332539" w:rsidRDefault="000F2FB1">
            <w:pPr>
              <w:jc w:val="both"/>
              <w:rPr>
                <w:b/>
              </w:rPr>
            </w:pPr>
            <w:r>
              <w:rPr>
                <w:b/>
              </w:rPr>
              <w:t xml:space="preserve">Question 3: How to ensure the T-SN can use delta-configuration for preparing PSCells even when not all suggested PSCells are acknowledged and eventually prepared? </w:t>
            </w:r>
          </w:p>
        </w:tc>
      </w:tr>
      <w:tr w:rsidR="00332539" w14:paraId="2305D87F" w14:textId="77777777">
        <w:tc>
          <w:tcPr>
            <w:tcW w:w="1980" w:type="dxa"/>
          </w:tcPr>
          <w:p w14:paraId="2305D87D" w14:textId="77777777" w:rsidR="00332539" w:rsidRDefault="000F2FB1">
            <w:pPr>
              <w:jc w:val="both"/>
              <w:rPr>
                <w:b/>
              </w:rPr>
            </w:pPr>
            <w:r>
              <w:rPr>
                <w:b/>
              </w:rPr>
              <w:t>Company</w:t>
            </w:r>
          </w:p>
        </w:tc>
        <w:tc>
          <w:tcPr>
            <w:tcW w:w="7651" w:type="dxa"/>
          </w:tcPr>
          <w:p w14:paraId="2305D87E" w14:textId="77777777" w:rsidR="00332539" w:rsidRDefault="000F2FB1">
            <w:pPr>
              <w:jc w:val="both"/>
              <w:rPr>
                <w:b/>
              </w:rPr>
            </w:pPr>
            <w:r>
              <w:rPr>
                <w:b/>
              </w:rPr>
              <w:t>Answer</w:t>
            </w:r>
          </w:p>
        </w:tc>
      </w:tr>
      <w:tr w:rsidR="00332539" w14:paraId="2305D884" w14:textId="77777777">
        <w:tc>
          <w:tcPr>
            <w:tcW w:w="1980" w:type="dxa"/>
          </w:tcPr>
          <w:p w14:paraId="2305D880" w14:textId="77777777" w:rsidR="00332539" w:rsidRDefault="000F2FB1">
            <w:pPr>
              <w:jc w:val="both"/>
              <w:rPr>
                <w:lang w:eastAsia="zh-CN"/>
              </w:rPr>
            </w:pPr>
            <w:r>
              <w:rPr>
                <w:rFonts w:hint="eastAsia"/>
                <w:lang w:eastAsia="zh-CN"/>
              </w:rPr>
              <w:t>CATT</w:t>
            </w:r>
          </w:p>
        </w:tc>
        <w:tc>
          <w:tcPr>
            <w:tcW w:w="7651" w:type="dxa"/>
          </w:tcPr>
          <w:p w14:paraId="2305D881" w14:textId="77777777" w:rsidR="00332539" w:rsidRDefault="000F2FB1">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2305D882" w14:textId="77777777" w:rsidR="00332539" w:rsidRDefault="000F2FB1">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be  deleted by UE automatically</w:t>
            </w:r>
            <w:r>
              <w:rPr>
                <w:rFonts w:hint="eastAsia"/>
                <w:lang w:eastAsia="zh-CN"/>
              </w:rPr>
              <w:t xml:space="preserve"> upon CPC execution</w:t>
            </w:r>
            <w:r>
              <w:rPr>
                <w:rFonts w:hint="eastAsia"/>
              </w:rPr>
              <w:t>.</w:t>
            </w:r>
          </w:p>
          <w:p w14:paraId="2305D883" w14:textId="77777777" w:rsidR="00332539" w:rsidRDefault="000F2FB1">
            <w:pPr>
              <w:spacing w:after="120"/>
              <w:rPr>
                <w:lang w:eastAsia="zh-CN"/>
              </w:rPr>
            </w:pPr>
            <w:r>
              <w:rPr>
                <w:rFonts w:hint="eastAsia"/>
                <w:lang w:eastAsia="zh-CN"/>
              </w:rPr>
              <w:t xml:space="preserve">While,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332539" w14:paraId="2305D88C" w14:textId="77777777">
        <w:tc>
          <w:tcPr>
            <w:tcW w:w="1980" w:type="dxa"/>
          </w:tcPr>
          <w:p w14:paraId="2305D885" w14:textId="77777777" w:rsidR="00332539" w:rsidRDefault="000F2FB1">
            <w:pPr>
              <w:jc w:val="both"/>
              <w:rPr>
                <w:lang w:eastAsia="zh-CN"/>
              </w:rPr>
            </w:pPr>
            <w:r>
              <w:rPr>
                <w:lang w:eastAsia="zh-CN"/>
              </w:rPr>
              <w:t>Huawei, HiSilicon</w:t>
            </w:r>
          </w:p>
        </w:tc>
        <w:tc>
          <w:tcPr>
            <w:tcW w:w="7651" w:type="dxa"/>
          </w:tcPr>
          <w:p w14:paraId="2305D886" w14:textId="77777777" w:rsidR="00332539" w:rsidRDefault="000F2FB1">
            <w:pPr>
              <w:rPr>
                <w:lang w:eastAsia="zh-CN"/>
              </w:rPr>
            </w:pPr>
            <w:r>
              <w:rPr>
                <w:lang w:eastAsia="zh-CN"/>
              </w:rPr>
              <w:t>If the S-SN wants to reconfigure the UE after T-SN preparation, the S-SN can ask the T-SN to update the conditional configurations and include the update of the conditional configurations in the reconfiguration message to the UE.</w:t>
            </w:r>
          </w:p>
          <w:p w14:paraId="2305D887" w14:textId="77777777" w:rsidR="00332539" w:rsidRDefault="000F2FB1">
            <w:pPr>
              <w:jc w:val="both"/>
              <w:rPr>
                <w:lang w:eastAsia="zh-CN"/>
              </w:rPr>
            </w:pPr>
            <w:r>
              <w:rPr>
                <w:lang w:eastAsia="zh-CN"/>
              </w:rPr>
              <w:t>So we see no problem.</w:t>
            </w:r>
          </w:p>
          <w:p w14:paraId="2305D888" w14:textId="77777777" w:rsidR="00332539" w:rsidRDefault="000F2FB1">
            <w:pPr>
              <w:rPr>
                <w:lang w:eastAsia="zh-CN"/>
              </w:rPr>
            </w:pPr>
            <w:r>
              <w:rPr>
                <w:lang w:eastAsia="zh-CN"/>
              </w:rPr>
              <w:t>With respect to the note proposed by CATT:</w:t>
            </w:r>
          </w:p>
          <w:p w14:paraId="2305D889" w14:textId="77777777" w:rsidR="00332539" w:rsidRDefault="000F2FB1">
            <w:pPr>
              <w:rPr>
                <w:lang w:eastAsia="zh-CN"/>
              </w:rPr>
            </w:pPr>
            <w:r>
              <w:rPr>
                <w:lang w:eastAsia="zh-CN"/>
              </w:rPr>
              <w:t>- the parts on measObject/reportConfig is unclear</w:t>
            </w:r>
          </w:p>
          <w:p w14:paraId="2305D88A" w14:textId="77777777" w:rsidR="00332539" w:rsidRDefault="000F2FB1">
            <w:pPr>
              <w:rPr>
                <w:lang w:eastAsia="zh-CN"/>
              </w:rPr>
            </w:pPr>
            <w:r>
              <w:rPr>
                <w:lang w:eastAsia="zh-CN"/>
              </w:rPr>
              <w:t>- gaps are configured by the MN only (not by T-SN) unless for the case of EN-DC with per FR gaps</w:t>
            </w:r>
          </w:p>
          <w:p w14:paraId="2305D88B" w14:textId="77777777" w:rsidR="00332539" w:rsidRDefault="000F2FB1">
            <w:pPr>
              <w:rPr>
                <w:lang w:eastAsia="zh-CN"/>
              </w:rPr>
            </w:pPr>
            <w:r>
              <w:rPr>
                <w:lang w:eastAsia="zh-CN"/>
              </w:rPr>
              <w:t>We are not sure this note is useful.</w:t>
            </w:r>
          </w:p>
        </w:tc>
      </w:tr>
      <w:tr w:rsidR="00332539" w14:paraId="2305D88F" w14:textId="77777777">
        <w:tc>
          <w:tcPr>
            <w:tcW w:w="1980" w:type="dxa"/>
          </w:tcPr>
          <w:p w14:paraId="2305D88D" w14:textId="77777777" w:rsidR="00332539" w:rsidRDefault="000F2FB1">
            <w:pPr>
              <w:jc w:val="both"/>
              <w:rPr>
                <w:lang w:eastAsia="zh-CN"/>
              </w:rPr>
            </w:pPr>
            <w:r>
              <w:rPr>
                <w:rFonts w:eastAsia="Malgun Gothic"/>
                <w:lang w:eastAsia="ko-KR"/>
              </w:rPr>
              <w:t>LG</w:t>
            </w:r>
          </w:p>
        </w:tc>
        <w:tc>
          <w:tcPr>
            <w:tcW w:w="7651" w:type="dxa"/>
          </w:tcPr>
          <w:p w14:paraId="2305D88E" w14:textId="77777777" w:rsidR="00332539" w:rsidRDefault="000F2FB1">
            <w:pPr>
              <w:jc w:val="both"/>
              <w:rPr>
                <w:lang w:eastAsia="zh-CN"/>
              </w:rPr>
            </w:pPr>
            <w:r>
              <w:rPr>
                <w:lang w:eastAsia="zh-CN"/>
              </w:rPr>
              <w:t xml:space="preserve">No strong view but if the CPC can be affected by reconfiguration from S-SN after configuring CPC to the UE, T-SN would be better to use full configuration for simple solution. However, since there is a clear gain for both the UE and the network in using the delta configuration, the delta configuration seems necessary if possible. Since, in our view, S-SN should know whether the T-SN will use the delta configuration for this case, </w:t>
            </w:r>
            <w:r>
              <w:rPr>
                <w:lang w:eastAsia="zh-CN"/>
              </w:rPr>
              <w:lastRenderedPageBreak/>
              <w:t>additional signaling between the T-SN and the S-SN to inform whether the delta configuration is allowed may be necessary.</w:t>
            </w:r>
          </w:p>
        </w:tc>
      </w:tr>
      <w:tr w:rsidR="00332539" w14:paraId="2305D893" w14:textId="77777777">
        <w:tc>
          <w:tcPr>
            <w:tcW w:w="1980" w:type="dxa"/>
          </w:tcPr>
          <w:p w14:paraId="2305D890" w14:textId="77777777" w:rsidR="00332539" w:rsidRDefault="000F2FB1">
            <w:pPr>
              <w:jc w:val="both"/>
              <w:rPr>
                <w:lang w:val="en-US" w:eastAsia="zh-CN"/>
              </w:rPr>
            </w:pPr>
            <w:r>
              <w:rPr>
                <w:rFonts w:hint="eastAsia"/>
                <w:lang w:val="en-US" w:eastAsia="zh-CN"/>
              </w:rPr>
              <w:lastRenderedPageBreak/>
              <w:t>ZTE</w:t>
            </w:r>
          </w:p>
        </w:tc>
        <w:tc>
          <w:tcPr>
            <w:tcW w:w="7651" w:type="dxa"/>
          </w:tcPr>
          <w:p w14:paraId="2305D891" w14:textId="77777777" w:rsidR="00332539" w:rsidRDefault="000F2FB1">
            <w:pPr>
              <w:jc w:val="both"/>
              <w:rPr>
                <w:lang w:val="en-US" w:eastAsia="zh-CN"/>
              </w:rPr>
            </w:pPr>
            <w:r>
              <w:rPr>
                <w:rFonts w:hint="eastAsia"/>
                <w:lang w:val="en-US" w:eastAsia="zh-CN"/>
              </w:rPr>
              <w:t>For the measurement configuration of candidate PSCell, we share the same view with CATT that the T-SN should not provide delta configuration based on CPC related meas configuration (which shall be removed upon successful completion of CPC), but allow the delta configuration for non-CPC related part.</w:t>
            </w:r>
          </w:p>
          <w:p w14:paraId="2305D892" w14:textId="77777777" w:rsidR="00332539" w:rsidRDefault="000F2FB1">
            <w:pPr>
              <w:jc w:val="both"/>
              <w:rPr>
                <w:lang w:eastAsia="zh-CN"/>
              </w:rPr>
            </w:pPr>
            <w:r>
              <w:rPr>
                <w:rFonts w:hint="eastAsia"/>
                <w:lang w:val="en-US" w:eastAsia="zh-CN"/>
              </w:rPr>
              <w:t>For the measGap configuration, a possible solution to also avoid full configuration on this, is that the S-SN provide a CPC specific measGap to the UE after knowing the accepted candidate PSCells by T-SN (i.e. in case of EN-DC with per FR gaps), similar to CPC related measId/reportConfig. The CPC specific measGap is only used during CPC evaluation, and shall be released upon successful completion of one CPC procedure. So the T-SN can  still provide the delta configuration of measGap for the candidate PSCell based on the original gap configuration. It may require the UE to store two sets of measGap configuration, so the UE can apply the new candidate PSCell configuration based on the original configuration. But it can save signalling overhead for providing full measGap configuration for all candidate PSCells (at most 8).</w:t>
            </w:r>
          </w:p>
        </w:tc>
      </w:tr>
      <w:tr w:rsidR="00332539" w14:paraId="2305D896" w14:textId="77777777">
        <w:tc>
          <w:tcPr>
            <w:tcW w:w="1980" w:type="dxa"/>
          </w:tcPr>
          <w:p w14:paraId="2305D894" w14:textId="35FFA195" w:rsidR="00332539" w:rsidRDefault="00467C4E">
            <w:pPr>
              <w:jc w:val="both"/>
              <w:rPr>
                <w:lang w:eastAsia="zh-CN"/>
              </w:rPr>
            </w:pPr>
            <w:r>
              <w:rPr>
                <w:lang w:eastAsia="zh-CN"/>
              </w:rPr>
              <w:t>Lenovo, Motorola Mobility</w:t>
            </w:r>
          </w:p>
        </w:tc>
        <w:tc>
          <w:tcPr>
            <w:tcW w:w="7651" w:type="dxa"/>
          </w:tcPr>
          <w:p w14:paraId="2305D895" w14:textId="5DCDFFC0" w:rsidR="00332539" w:rsidRDefault="00D62440">
            <w:pPr>
              <w:jc w:val="both"/>
              <w:rPr>
                <w:lang w:eastAsia="zh-CN"/>
              </w:rPr>
            </w:pPr>
            <w:r>
              <w:rPr>
                <w:lang w:eastAsia="zh-CN"/>
              </w:rPr>
              <w:t>D</w:t>
            </w:r>
            <w:r w:rsidR="0043190E">
              <w:rPr>
                <w:lang w:eastAsia="zh-CN"/>
              </w:rPr>
              <w:t>elta configuration is possible for non-</w:t>
            </w:r>
            <w:r w:rsidR="0043190E">
              <w:rPr>
                <w:rFonts w:hint="eastAsia"/>
                <w:lang w:eastAsia="zh-CN"/>
              </w:rPr>
              <w:t>CPC</w:t>
            </w:r>
            <w:r w:rsidR="0043190E">
              <w:rPr>
                <w:lang w:eastAsia="zh-CN"/>
              </w:rPr>
              <w:t xml:space="preserve"> specific configurations</w:t>
            </w:r>
            <w:r w:rsidR="000F2FB1">
              <w:rPr>
                <w:lang w:eastAsia="zh-CN"/>
              </w:rPr>
              <w:t>, e.g., source SN can inform target SN about the updated configuration, if any, via MN</w:t>
            </w:r>
            <w:r w:rsidR="0043190E">
              <w:rPr>
                <w:lang w:eastAsia="zh-CN"/>
              </w:rPr>
              <w:t xml:space="preserve">. For CPC specific measurement </w:t>
            </w:r>
            <w:r w:rsidR="00782F8C">
              <w:rPr>
                <w:lang w:eastAsia="zh-CN"/>
              </w:rPr>
              <w:t>configuration</w:t>
            </w:r>
            <w:r w:rsidR="0043190E">
              <w:rPr>
                <w:lang w:eastAsia="zh-CN"/>
              </w:rPr>
              <w:t xml:space="preserve">, </w:t>
            </w:r>
            <w:r>
              <w:rPr>
                <w:lang w:eastAsia="zh-CN"/>
              </w:rPr>
              <w:t xml:space="preserve">CATT has a point that the CPC related measurement configuration will be released after CPC execution, so a note in the spec as CATT proposed could be helpful. </w:t>
            </w:r>
          </w:p>
        </w:tc>
      </w:tr>
      <w:tr w:rsidR="00332539" w14:paraId="2305D899" w14:textId="77777777">
        <w:tc>
          <w:tcPr>
            <w:tcW w:w="1980" w:type="dxa"/>
          </w:tcPr>
          <w:p w14:paraId="2305D897" w14:textId="77777777" w:rsidR="00332539" w:rsidRDefault="00332539">
            <w:pPr>
              <w:jc w:val="both"/>
              <w:rPr>
                <w:lang w:eastAsia="zh-CN"/>
              </w:rPr>
            </w:pPr>
          </w:p>
        </w:tc>
        <w:tc>
          <w:tcPr>
            <w:tcW w:w="7651" w:type="dxa"/>
          </w:tcPr>
          <w:p w14:paraId="2305D898" w14:textId="77777777" w:rsidR="00332539" w:rsidRDefault="00332539">
            <w:pPr>
              <w:jc w:val="both"/>
              <w:rPr>
                <w:lang w:eastAsia="zh-CN"/>
              </w:rPr>
            </w:pPr>
          </w:p>
        </w:tc>
      </w:tr>
      <w:tr w:rsidR="00332539" w14:paraId="2305D89C" w14:textId="77777777">
        <w:tc>
          <w:tcPr>
            <w:tcW w:w="1980" w:type="dxa"/>
          </w:tcPr>
          <w:p w14:paraId="2305D89A" w14:textId="77777777" w:rsidR="00332539" w:rsidRDefault="00332539">
            <w:pPr>
              <w:jc w:val="both"/>
              <w:rPr>
                <w:lang w:eastAsia="zh-CN"/>
              </w:rPr>
            </w:pPr>
          </w:p>
        </w:tc>
        <w:tc>
          <w:tcPr>
            <w:tcW w:w="7651" w:type="dxa"/>
          </w:tcPr>
          <w:p w14:paraId="2305D89B" w14:textId="77777777" w:rsidR="00332539" w:rsidRDefault="00332539">
            <w:pPr>
              <w:jc w:val="both"/>
              <w:rPr>
                <w:lang w:eastAsia="zh-CN"/>
              </w:rPr>
            </w:pPr>
          </w:p>
        </w:tc>
      </w:tr>
      <w:tr w:rsidR="00332539" w14:paraId="2305D89F" w14:textId="77777777">
        <w:tc>
          <w:tcPr>
            <w:tcW w:w="1980" w:type="dxa"/>
          </w:tcPr>
          <w:p w14:paraId="2305D89D" w14:textId="77777777" w:rsidR="00332539" w:rsidRDefault="00332539">
            <w:pPr>
              <w:jc w:val="both"/>
              <w:rPr>
                <w:lang w:eastAsia="zh-CN"/>
              </w:rPr>
            </w:pPr>
          </w:p>
        </w:tc>
        <w:tc>
          <w:tcPr>
            <w:tcW w:w="7651" w:type="dxa"/>
          </w:tcPr>
          <w:p w14:paraId="2305D89E" w14:textId="77777777" w:rsidR="00332539" w:rsidRDefault="00332539">
            <w:pPr>
              <w:jc w:val="both"/>
              <w:rPr>
                <w:lang w:eastAsia="zh-CN"/>
              </w:rPr>
            </w:pPr>
          </w:p>
        </w:tc>
      </w:tr>
      <w:tr w:rsidR="00332539" w14:paraId="2305D8A2" w14:textId="77777777">
        <w:tc>
          <w:tcPr>
            <w:tcW w:w="1980" w:type="dxa"/>
          </w:tcPr>
          <w:p w14:paraId="2305D8A0" w14:textId="77777777" w:rsidR="00332539" w:rsidRDefault="00332539">
            <w:pPr>
              <w:jc w:val="both"/>
              <w:rPr>
                <w:lang w:eastAsia="zh-CN"/>
              </w:rPr>
            </w:pPr>
          </w:p>
        </w:tc>
        <w:tc>
          <w:tcPr>
            <w:tcW w:w="7651" w:type="dxa"/>
          </w:tcPr>
          <w:p w14:paraId="2305D8A1" w14:textId="77777777" w:rsidR="00332539" w:rsidRDefault="00332539">
            <w:pPr>
              <w:jc w:val="both"/>
              <w:rPr>
                <w:lang w:eastAsia="zh-CN"/>
              </w:rPr>
            </w:pPr>
          </w:p>
        </w:tc>
      </w:tr>
      <w:tr w:rsidR="00332539" w14:paraId="2305D8A5" w14:textId="77777777">
        <w:tc>
          <w:tcPr>
            <w:tcW w:w="1980" w:type="dxa"/>
          </w:tcPr>
          <w:p w14:paraId="2305D8A3" w14:textId="77777777" w:rsidR="00332539" w:rsidRDefault="00332539">
            <w:pPr>
              <w:jc w:val="both"/>
              <w:rPr>
                <w:lang w:eastAsia="zh-CN"/>
              </w:rPr>
            </w:pPr>
          </w:p>
        </w:tc>
        <w:tc>
          <w:tcPr>
            <w:tcW w:w="7651" w:type="dxa"/>
          </w:tcPr>
          <w:p w14:paraId="2305D8A4" w14:textId="77777777" w:rsidR="00332539" w:rsidRDefault="00332539">
            <w:pPr>
              <w:jc w:val="both"/>
              <w:rPr>
                <w:lang w:eastAsia="zh-CN"/>
              </w:rPr>
            </w:pPr>
          </w:p>
        </w:tc>
      </w:tr>
      <w:tr w:rsidR="00332539" w14:paraId="2305D8A8" w14:textId="77777777">
        <w:tc>
          <w:tcPr>
            <w:tcW w:w="1980" w:type="dxa"/>
          </w:tcPr>
          <w:p w14:paraId="2305D8A6" w14:textId="77777777" w:rsidR="00332539" w:rsidRDefault="00332539">
            <w:pPr>
              <w:jc w:val="both"/>
            </w:pPr>
          </w:p>
        </w:tc>
        <w:tc>
          <w:tcPr>
            <w:tcW w:w="7651" w:type="dxa"/>
          </w:tcPr>
          <w:p w14:paraId="2305D8A7" w14:textId="77777777" w:rsidR="00332539" w:rsidRDefault="00332539">
            <w:pPr>
              <w:jc w:val="both"/>
              <w:rPr>
                <w:lang w:eastAsia="zh-CN"/>
              </w:rPr>
            </w:pPr>
          </w:p>
        </w:tc>
      </w:tr>
      <w:tr w:rsidR="00332539" w14:paraId="2305D8AB" w14:textId="77777777">
        <w:tc>
          <w:tcPr>
            <w:tcW w:w="1980" w:type="dxa"/>
          </w:tcPr>
          <w:p w14:paraId="2305D8A9" w14:textId="77777777" w:rsidR="00332539" w:rsidRDefault="00332539">
            <w:pPr>
              <w:jc w:val="both"/>
              <w:rPr>
                <w:lang w:eastAsia="zh-CN"/>
              </w:rPr>
            </w:pPr>
          </w:p>
        </w:tc>
        <w:tc>
          <w:tcPr>
            <w:tcW w:w="7651" w:type="dxa"/>
          </w:tcPr>
          <w:p w14:paraId="2305D8AA" w14:textId="77777777" w:rsidR="00332539" w:rsidRDefault="00332539">
            <w:pPr>
              <w:jc w:val="both"/>
              <w:rPr>
                <w:lang w:eastAsia="zh-CN"/>
              </w:rPr>
            </w:pPr>
          </w:p>
        </w:tc>
      </w:tr>
      <w:tr w:rsidR="00332539" w14:paraId="2305D8AE" w14:textId="77777777">
        <w:tc>
          <w:tcPr>
            <w:tcW w:w="1980" w:type="dxa"/>
          </w:tcPr>
          <w:p w14:paraId="2305D8AC" w14:textId="77777777" w:rsidR="00332539" w:rsidRDefault="00332539">
            <w:pPr>
              <w:jc w:val="both"/>
              <w:rPr>
                <w:lang w:eastAsia="zh-CN"/>
              </w:rPr>
            </w:pPr>
          </w:p>
        </w:tc>
        <w:tc>
          <w:tcPr>
            <w:tcW w:w="7651" w:type="dxa"/>
          </w:tcPr>
          <w:p w14:paraId="2305D8AD" w14:textId="77777777" w:rsidR="00332539" w:rsidRDefault="00332539">
            <w:pPr>
              <w:jc w:val="both"/>
              <w:rPr>
                <w:lang w:eastAsia="zh-CN"/>
              </w:rPr>
            </w:pPr>
          </w:p>
        </w:tc>
      </w:tr>
      <w:tr w:rsidR="00332539" w14:paraId="2305D8B1" w14:textId="77777777">
        <w:tc>
          <w:tcPr>
            <w:tcW w:w="1980" w:type="dxa"/>
          </w:tcPr>
          <w:p w14:paraId="2305D8AF" w14:textId="77777777" w:rsidR="00332539" w:rsidRDefault="00332539">
            <w:pPr>
              <w:jc w:val="both"/>
              <w:rPr>
                <w:rFonts w:eastAsia="Malgun Gothic"/>
                <w:lang w:eastAsia="ko-KR"/>
              </w:rPr>
            </w:pPr>
          </w:p>
        </w:tc>
        <w:tc>
          <w:tcPr>
            <w:tcW w:w="7651" w:type="dxa"/>
          </w:tcPr>
          <w:p w14:paraId="2305D8B0" w14:textId="77777777" w:rsidR="00332539" w:rsidRDefault="00332539">
            <w:pPr>
              <w:jc w:val="both"/>
              <w:rPr>
                <w:rFonts w:eastAsia="Malgun Gothic"/>
                <w:lang w:eastAsia="ko-KR"/>
              </w:rPr>
            </w:pPr>
          </w:p>
        </w:tc>
      </w:tr>
      <w:tr w:rsidR="00332539" w14:paraId="2305D8B4" w14:textId="77777777">
        <w:tc>
          <w:tcPr>
            <w:tcW w:w="1980" w:type="dxa"/>
          </w:tcPr>
          <w:p w14:paraId="2305D8B2" w14:textId="77777777" w:rsidR="00332539" w:rsidRDefault="00332539">
            <w:pPr>
              <w:jc w:val="both"/>
              <w:rPr>
                <w:lang w:eastAsia="zh-CN"/>
              </w:rPr>
            </w:pPr>
          </w:p>
        </w:tc>
        <w:tc>
          <w:tcPr>
            <w:tcW w:w="7651" w:type="dxa"/>
          </w:tcPr>
          <w:p w14:paraId="2305D8B3" w14:textId="77777777" w:rsidR="00332539" w:rsidRDefault="00332539">
            <w:pPr>
              <w:jc w:val="both"/>
              <w:rPr>
                <w:lang w:eastAsia="zh-CN"/>
              </w:rPr>
            </w:pPr>
          </w:p>
        </w:tc>
      </w:tr>
      <w:tr w:rsidR="00332539" w14:paraId="2305D8B7" w14:textId="77777777">
        <w:tc>
          <w:tcPr>
            <w:tcW w:w="1980" w:type="dxa"/>
          </w:tcPr>
          <w:p w14:paraId="2305D8B5" w14:textId="77777777" w:rsidR="00332539" w:rsidRDefault="00332539">
            <w:pPr>
              <w:jc w:val="both"/>
              <w:rPr>
                <w:lang w:eastAsia="zh-CN"/>
              </w:rPr>
            </w:pPr>
          </w:p>
        </w:tc>
        <w:tc>
          <w:tcPr>
            <w:tcW w:w="7651" w:type="dxa"/>
          </w:tcPr>
          <w:p w14:paraId="2305D8B6" w14:textId="77777777" w:rsidR="00332539" w:rsidRDefault="00332539">
            <w:pPr>
              <w:jc w:val="both"/>
              <w:rPr>
                <w:lang w:eastAsia="zh-CN"/>
              </w:rPr>
            </w:pPr>
          </w:p>
        </w:tc>
      </w:tr>
      <w:tr w:rsidR="00332539" w14:paraId="2305D8BA" w14:textId="77777777">
        <w:tc>
          <w:tcPr>
            <w:tcW w:w="1980" w:type="dxa"/>
          </w:tcPr>
          <w:p w14:paraId="2305D8B8" w14:textId="77777777" w:rsidR="00332539" w:rsidRDefault="00332539">
            <w:pPr>
              <w:jc w:val="both"/>
              <w:rPr>
                <w:rFonts w:eastAsia="Malgun Gothic"/>
                <w:lang w:eastAsia="ko-KR"/>
              </w:rPr>
            </w:pPr>
          </w:p>
        </w:tc>
        <w:tc>
          <w:tcPr>
            <w:tcW w:w="7651" w:type="dxa"/>
          </w:tcPr>
          <w:p w14:paraId="2305D8B9" w14:textId="77777777" w:rsidR="00332539" w:rsidRDefault="00332539">
            <w:pPr>
              <w:jc w:val="both"/>
              <w:rPr>
                <w:lang w:eastAsia="zh-CN"/>
              </w:rPr>
            </w:pPr>
          </w:p>
        </w:tc>
      </w:tr>
      <w:tr w:rsidR="00332539" w14:paraId="2305D8BD" w14:textId="77777777">
        <w:tc>
          <w:tcPr>
            <w:tcW w:w="1980" w:type="dxa"/>
          </w:tcPr>
          <w:p w14:paraId="2305D8BB" w14:textId="77777777" w:rsidR="00332539" w:rsidRDefault="00332539">
            <w:pPr>
              <w:jc w:val="both"/>
              <w:rPr>
                <w:rFonts w:eastAsia="Malgun Gothic"/>
                <w:lang w:eastAsia="ko-KR"/>
              </w:rPr>
            </w:pPr>
          </w:p>
        </w:tc>
        <w:tc>
          <w:tcPr>
            <w:tcW w:w="7651" w:type="dxa"/>
          </w:tcPr>
          <w:p w14:paraId="2305D8BC" w14:textId="77777777" w:rsidR="00332539" w:rsidRDefault="00332539">
            <w:pPr>
              <w:jc w:val="both"/>
              <w:rPr>
                <w:lang w:eastAsia="zh-CN"/>
              </w:rPr>
            </w:pPr>
          </w:p>
        </w:tc>
      </w:tr>
      <w:tr w:rsidR="00332539" w14:paraId="2305D8C0" w14:textId="77777777">
        <w:tc>
          <w:tcPr>
            <w:tcW w:w="1980" w:type="dxa"/>
          </w:tcPr>
          <w:p w14:paraId="2305D8BE" w14:textId="77777777" w:rsidR="00332539" w:rsidRDefault="00332539">
            <w:pPr>
              <w:jc w:val="both"/>
              <w:rPr>
                <w:rFonts w:eastAsia="Malgun Gothic"/>
                <w:lang w:eastAsia="ko-KR"/>
              </w:rPr>
            </w:pPr>
          </w:p>
        </w:tc>
        <w:tc>
          <w:tcPr>
            <w:tcW w:w="7651" w:type="dxa"/>
          </w:tcPr>
          <w:p w14:paraId="2305D8BF" w14:textId="77777777" w:rsidR="00332539" w:rsidRDefault="00332539">
            <w:pPr>
              <w:jc w:val="both"/>
              <w:rPr>
                <w:lang w:eastAsia="zh-CN"/>
              </w:rPr>
            </w:pPr>
          </w:p>
        </w:tc>
      </w:tr>
    </w:tbl>
    <w:p w14:paraId="2305D8C1" w14:textId="77777777" w:rsidR="00332539" w:rsidRDefault="00332539">
      <w:pPr>
        <w:jc w:val="both"/>
      </w:pPr>
    </w:p>
    <w:p w14:paraId="2305D8C2" w14:textId="77777777" w:rsidR="00332539" w:rsidRDefault="000F2FB1">
      <w:pPr>
        <w:pStyle w:val="Heading2"/>
        <w:jc w:val="both"/>
      </w:pPr>
      <w:r>
        <w:lastRenderedPageBreak/>
        <w:t>2.4</w:t>
      </w:r>
      <w:r>
        <w:tab/>
        <w:t>Number of CPC configurations and coordination</w:t>
      </w:r>
    </w:p>
    <w:p w14:paraId="2305D8C3" w14:textId="77777777" w:rsidR="00332539" w:rsidRDefault="000F2FB1">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5"/>
      <w:ins w:id="6" w:author="CATT" w:date="2022-02-23T14:27:00Z">
        <w:r>
          <w:rPr>
            <w:rFonts w:hint="eastAsia"/>
            <w:lang w:eastAsia="zh-CN"/>
          </w:rPr>
          <w:t>[9]</w:t>
        </w:r>
        <w:commentRangeEnd w:id="5"/>
        <w:r>
          <w:rPr>
            <w:rStyle w:val="CommentReference"/>
          </w:rPr>
          <w:commentReference w:id="5"/>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2305D8C4" w14:textId="77777777" w:rsidR="00332539" w:rsidRDefault="000F2FB1">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TableGrid"/>
        <w:tblW w:w="9631" w:type="dxa"/>
        <w:tblLayout w:type="fixed"/>
        <w:tblLook w:val="04A0" w:firstRow="1" w:lastRow="0" w:firstColumn="1" w:lastColumn="0" w:noHBand="0" w:noVBand="1"/>
      </w:tblPr>
      <w:tblGrid>
        <w:gridCol w:w="1980"/>
        <w:gridCol w:w="1843"/>
        <w:gridCol w:w="5808"/>
      </w:tblGrid>
      <w:tr w:rsidR="00332539" w14:paraId="2305D8C6" w14:textId="77777777">
        <w:tc>
          <w:tcPr>
            <w:tcW w:w="9631" w:type="dxa"/>
            <w:gridSpan w:val="3"/>
          </w:tcPr>
          <w:p w14:paraId="2305D8C5" w14:textId="77777777" w:rsidR="00332539" w:rsidRDefault="000F2FB1">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rsidR="00332539" w14:paraId="2305D8CA" w14:textId="77777777">
        <w:tc>
          <w:tcPr>
            <w:tcW w:w="1980" w:type="dxa"/>
          </w:tcPr>
          <w:p w14:paraId="2305D8C7" w14:textId="77777777" w:rsidR="00332539" w:rsidRDefault="000F2FB1">
            <w:pPr>
              <w:jc w:val="both"/>
              <w:rPr>
                <w:b/>
              </w:rPr>
            </w:pPr>
            <w:r>
              <w:rPr>
                <w:b/>
              </w:rPr>
              <w:t>Company</w:t>
            </w:r>
          </w:p>
        </w:tc>
        <w:tc>
          <w:tcPr>
            <w:tcW w:w="1843" w:type="dxa"/>
          </w:tcPr>
          <w:p w14:paraId="2305D8C8" w14:textId="77777777" w:rsidR="00332539" w:rsidRDefault="000F2FB1">
            <w:pPr>
              <w:jc w:val="both"/>
              <w:rPr>
                <w:b/>
              </w:rPr>
            </w:pPr>
            <w:r>
              <w:rPr>
                <w:b/>
              </w:rPr>
              <w:t>Answer</w:t>
            </w:r>
          </w:p>
        </w:tc>
        <w:tc>
          <w:tcPr>
            <w:tcW w:w="5808" w:type="dxa"/>
          </w:tcPr>
          <w:p w14:paraId="2305D8C9" w14:textId="77777777" w:rsidR="00332539" w:rsidRDefault="000F2FB1">
            <w:pPr>
              <w:jc w:val="both"/>
              <w:rPr>
                <w:b/>
              </w:rPr>
            </w:pPr>
            <w:r>
              <w:rPr>
                <w:b/>
              </w:rPr>
              <w:t>Comments</w:t>
            </w:r>
          </w:p>
        </w:tc>
      </w:tr>
      <w:tr w:rsidR="00332539" w14:paraId="2305D8D1" w14:textId="77777777">
        <w:tc>
          <w:tcPr>
            <w:tcW w:w="1980" w:type="dxa"/>
          </w:tcPr>
          <w:p w14:paraId="2305D8CB" w14:textId="77777777" w:rsidR="00332539" w:rsidRDefault="000F2FB1">
            <w:pPr>
              <w:jc w:val="both"/>
              <w:rPr>
                <w:lang w:eastAsia="zh-CN"/>
              </w:rPr>
            </w:pPr>
            <w:r>
              <w:rPr>
                <w:rFonts w:hint="eastAsia"/>
                <w:lang w:eastAsia="zh-CN"/>
              </w:rPr>
              <w:t>CATT</w:t>
            </w:r>
          </w:p>
        </w:tc>
        <w:tc>
          <w:tcPr>
            <w:tcW w:w="1843" w:type="dxa"/>
          </w:tcPr>
          <w:p w14:paraId="2305D8CC" w14:textId="77777777" w:rsidR="00332539" w:rsidRDefault="000F2FB1">
            <w:pPr>
              <w:jc w:val="both"/>
              <w:rPr>
                <w:lang w:eastAsia="zh-CN"/>
              </w:rPr>
            </w:pPr>
            <w:r>
              <w:rPr>
                <w:rFonts w:hint="eastAsia"/>
                <w:lang w:eastAsia="zh-CN"/>
              </w:rPr>
              <w:t>Assuming that no coexistence of any types of CHO, R16 CPC or R17 CPAC is supported, we prefer the following:</w:t>
            </w:r>
          </w:p>
          <w:p w14:paraId="2305D8CD" w14:textId="77777777" w:rsidR="00332539" w:rsidRDefault="000F2FB1">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14:paraId="2305D8CE" w14:textId="77777777" w:rsidR="00332539" w:rsidRDefault="000F2FB1">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14:paraId="2305D8CF" w14:textId="77777777" w:rsidR="00332539" w:rsidRDefault="000F2FB1">
            <w:pPr>
              <w:jc w:val="both"/>
              <w:rPr>
                <w:lang w:eastAsia="zh-CN"/>
              </w:rPr>
            </w:pPr>
            <w:r>
              <w:rPr>
                <w:rFonts w:hint="eastAsia"/>
                <w:lang w:eastAsia="zh-CN"/>
              </w:rPr>
              <w:t xml:space="preserve">8 for MN initiated CPC; </w:t>
            </w:r>
          </w:p>
        </w:tc>
        <w:tc>
          <w:tcPr>
            <w:tcW w:w="5808" w:type="dxa"/>
          </w:tcPr>
          <w:p w14:paraId="2305D8D0" w14:textId="77777777" w:rsidR="00332539" w:rsidRDefault="000F2FB1">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rsidR="00332539" w14:paraId="2305D8D5" w14:textId="77777777">
        <w:tc>
          <w:tcPr>
            <w:tcW w:w="1980" w:type="dxa"/>
          </w:tcPr>
          <w:p w14:paraId="2305D8D2" w14:textId="77777777" w:rsidR="00332539" w:rsidRDefault="000F2FB1">
            <w:pPr>
              <w:jc w:val="both"/>
              <w:rPr>
                <w:lang w:eastAsia="zh-CN"/>
              </w:rPr>
            </w:pPr>
            <w:r>
              <w:rPr>
                <w:lang w:eastAsia="zh-CN"/>
              </w:rPr>
              <w:t>Huawei, HiSilicon</w:t>
            </w:r>
          </w:p>
        </w:tc>
        <w:tc>
          <w:tcPr>
            <w:tcW w:w="1843" w:type="dxa"/>
          </w:tcPr>
          <w:p w14:paraId="2305D8D3" w14:textId="77777777" w:rsidR="00332539" w:rsidRDefault="000F2FB1">
            <w:pPr>
              <w:jc w:val="both"/>
              <w:rPr>
                <w:lang w:eastAsia="zh-CN"/>
              </w:rPr>
            </w:pPr>
            <w:r>
              <w:rPr>
                <w:lang w:eastAsia="zh-CN"/>
              </w:rPr>
              <w:t>Same view like CATT</w:t>
            </w:r>
          </w:p>
        </w:tc>
        <w:tc>
          <w:tcPr>
            <w:tcW w:w="5808" w:type="dxa"/>
          </w:tcPr>
          <w:p w14:paraId="2305D8D4" w14:textId="77777777" w:rsidR="00332539" w:rsidRDefault="00332539">
            <w:pPr>
              <w:jc w:val="both"/>
              <w:rPr>
                <w:lang w:eastAsia="zh-CN"/>
              </w:rPr>
            </w:pPr>
          </w:p>
        </w:tc>
      </w:tr>
      <w:tr w:rsidR="00332539" w14:paraId="2305D8D9" w14:textId="77777777">
        <w:tc>
          <w:tcPr>
            <w:tcW w:w="1980" w:type="dxa"/>
          </w:tcPr>
          <w:p w14:paraId="2305D8D6" w14:textId="77777777" w:rsidR="00332539" w:rsidRDefault="000F2FB1">
            <w:pPr>
              <w:jc w:val="both"/>
              <w:rPr>
                <w:lang w:eastAsia="zh-CN"/>
              </w:rPr>
            </w:pPr>
            <w:r>
              <w:rPr>
                <w:lang w:eastAsia="zh-CN"/>
              </w:rPr>
              <w:t>Intel</w:t>
            </w:r>
          </w:p>
        </w:tc>
        <w:tc>
          <w:tcPr>
            <w:tcW w:w="1843" w:type="dxa"/>
          </w:tcPr>
          <w:p w14:paraId="2305D8D7" w14:textId="77777777" w:rsidR="00332539" w:rsidRDefault="000F2FB1">
            <w:pPr>
              <w:jc w:val="both"/>
              <w:rPr>
                <w:lang w:eastAsia="zh-CN"/>
              </w:rPr>
            </w:pPr>
            <w:r>
              <w:rPr>
                <w:lang w:eastAsia="zh-CN"/>
              </w:rPr>
              <w:t>Same view like CATT</w:t>
            </w:r>
          </w:p>
        </w:tc>
        <w:tc>
          <w:tcPr>
            <w:tcW w:w="5808" w:type="dxa"/>
          </w:tcPr>
          <w:p w14:paraId="2305D8D8" w14:textId="77777777" w:rsidR="00332539" w:rsidRDefault="00332539">
            <w:pPr>
              <w:jc w:val="both"/>
              <w:rPr>
                <w:lang w:eastAsia="zh-CN"/>
              </w:rPr>
            </w:pPr>
          </w:p>
        </w:tc>
      </w:tr>
      <w:tr w:rsidR="00332539" w14:paraId="2305D8DD" w14:textId="77777777">
        <w:tc>
          <w:tcPr>
            <w:tcW w:w="1980" w:type="dxa"/>
          </w:tcPr>
          <w:p w14:paraId="2305D8DA" w14:textId="77777777" w:rsidR="00332539" w:rsidRDefault="000F2FB1">
            <w:pPr>
              <w:jc w:val="both"/>
              <w:rPr>
                <w:lang w:eastAsia="zh-CN"/>
              </w:rPr>
            </w:pPr>
            <w:r>
              <w:rPr>
                <w:rFonts w:eastAsia="Malgun Gothic" w:hint="eastAsia"/>
                <w:lang w:eastAsia="ko-KR"/>
              </w:rPr>
              <w:t>LG</w:t>
            </w:r>
          </w:p>
        </w:tc>
        <w:tc>
          <w:tcPr>
            <w:tcW w:w="1843" w:type="dxa"/>
          </w:tcPr>
          <w:p w14:paraId="2305D8DB" w14:textId="77777777" w:rsidR="00332539" w:rsidRDefault="000F2FB1">
            <w:pPr>
              <w:jc w:val="both"/>
              <w:rPr>
                <w:lang w:eastAsia="zh-CN"/>
              </w:rPr>
            </w:pPr>
            <w:r>
              <w:rPr>
                <w:rFonts w:eastAsia="Malgun Gothic" w:hint="eastAsia"/>
                <w:lang w:eastAsia="ko-KR"/>
              </w:rPr>
              <w:t>8</w:t>
            </w:r>
          </w:p>
        </w:tc>
        <w:tc>
          <w:tcPr>
            <w:tcW w:w="5808" w:type="dxa"/>
          </w:tcPr>
          <w:p w14:paraId="2305D8DC" w14:textId="77777777" w:rsidR="00332539" w:rsidRDefault="000F2FB1">
            <w:pPr>
              <w:jc w:val="both"/>
              <w:rPr>
                <w:lang w:eastAsia="zh-CN"/>
              </w:rPr>
            </w:pPr>
            <w:r>
              <w:rPr>
                <w:lang w:eastAsia="zh-CN"/>
              </w:rPr>
              <w:t>See comments in Q5.</w:t>
            </w:r>
          </w:p>
        </w:tc>
      </w:tr>
      <w:tr w:rsidR="00332539" w14:paraId="2305D8E1" w14:textId="77777777">
        <w:tc>
          <w:tcPr>
            <w:tcW w:w="1980" w:type="dxa"/>
          </w:tcPr>
          <w:p w14:paraId="2305D8DE" w14:textId="77777777" w:rsidR="00332539" w:rsidRDefault="000F2FB1">
            <w:pPr>
              <w:jc w:val="both"/>
              <w:rPr>
                <w:lang w:val="en-US" w:eastAsia="zh-CN"/>
              </w:rPr>
            </w:pPr>
            <w:r>
              <w:rPr>
                <w:rFonts w:hint="eastAsia"/>
                <w:lang w:val="en-US" w:eastAsia="zh-CN"/>
              </w:rPr>
              <w:t>ZTE</w:t>
            </w:r>
          </w:p>
        </w:tc>
        <w:tc>
          <w:tcPr>
            <w:tcW w:w="1843" w:type="dxa"/>
          </w:tcPr>
          <w:p w14:paraId="2305D8DF" w14:textId="77777777" w:rsidR="00332539" w:rsidRDefault="000F2FB1">
            <w:pPr>
              <w:jc w:val="both"/>
              <w:rPr>
                <w:lang w:val="en-US" w:eastAsia="zh-CN"/>
              </w:rPr>
            </w:pPr>
            <w:r>
              <w:rPr>
                <w:rFonts w:hint="eastAsia"/>
                <w:lang w:val="en-US" w:eastAsia="zh-CN"/>
              </w:rPr>
              <w:t>8</w:t>
            </w:r>
          </w:p>
        </w:tc>
        <w:tc>
          <w:tcPr>
            <w:tcW w:w="5808" w:type="dxa"/>
          </w:tcPr>
          <w:p w14:paraId="2305D8E0" w14:textId="77777777" w:rsidR="00332539" w:rsidRDefault="000F2FB1">
            <w:pPr>
              <w:jc w:val="both"/>
              <w:rPr>
                <w:lang w:eastAsia="zh-CN"/>
              </w:rPr>
            </w:pPr>
            <w:r>
              <w:rPr>
                <w:rFonts w:hint="eastAsia"/>
                <w:lang w:val="en-US" w:eastAsia="zh-CN"/>
              </w:rPr>
              <w:t>Can simply reuse the maximum number defined for R16 CHO or R16 CPC.</w:t>
            </w:r>
          </w:p>
        </w:tc>
      </w:tr>
      <w:tr w:rsidR="00332539" w14:paraId="2305D8E5" w14:textId="77777777">
        <w:tc>
          <w:tcPr>
            <w:tcW w:w="1980" w:type="dxa"/>
          </w:tcPr>
          <w:p w14:paraId="2305D8E2" w14:textId="1AB28A18" w:rsidR="00332539" w:rsidRDefault="00D62440">
            <w:pPr>
              <w:jc w:val="both"/>
              <w:rPr>
                <w:lang w:eastAsia="zh-CN"/>
              </w:rPr>
            </w:pPr>
            <w:r>
              <w:rPr>
                <w:lang w:eastAsia="zh-CN"/>
              </w:rPr>
              <w:t>Lenovo, Motorola Mobility</w:t>
            </w:r>
          </w:p>
        </w:tc>
        <w:tc>
          <w:tcPr>
            <w:tcW w:w="1843" w:type="dxa"/>
          </w:tcPr>
          <w:p w14:paraId="2305D8E3" w14:textId="1A4C2BAC" w:rsidR="00332539" w:rsidRDefault="00D62440">
            <w:pPr>
              <w:jc w:val="both"/>
              <w:rPr>
                <w:lang w:eastAsia="zh-CN"/>
              </w:rPr>
            </w:pPr>
            <w:r>
              <w:rPr>
                <w:lang w:eastAsia="zh-CN"/>
              </w:rPr>
              <w:t>Same view like CATT</w:t>
            </w:r>
          </w:p>
        </w:tc>
        <w:tc>
          <w:tcPr>
            <w:tcW w:w="5808" w:type="dxa"/>
          </w:tcPr>
          <w:p w14:paraId="2305D8E4" w14:textId="3B2FACBE" w:rsidR="00332539" w:rsidRDefault="00967256">
            <w:pPr>
              <w:jc w:val="both"/>
              <w:rPr>
                <w:lang w:eastAsia="zh-CN"/>
              </w:rPr>
            </w:pPr>
            <w:r>
              <w:rPr>
                <w:lang w:eastAsia="zh-CN"/>
              </w:rPr>
              <w:t xml:space="preserve">We can rediscuss this if RAN2 agree to support some coexistence scenario. </w:t>
            </w:r>
          </w:p>
        </w:tc>
      </w:tr>
      <w:tr w:rsidR="00332539" w14:paraId="2305D8E9" w14:textId="77777777">
        <w:tc>
          <w:tcPr>
            <w:tcW w:w="1980" w:type="dxa"/>
          </w:tcPr>
          <w:p w14:paraId="2305D8E6" w14:textId="77777777" w:rsidR="00332539" w:rsidRDefault="00332539">
            <w:pPr>
              <w:jc w:val="both"/>
              <w:rPr>
                <w:lang w:eastAsia="zh-CN"/>
              </w:rPr>
            </w:pPr>
          </w:p>
        </w:tc>
        <w:tc>
          <w:tcPr>
            <w:tcW w:w="1843" w:type="dxa"/>
          </w:tcPr>
          <w:p w14:paraId="2305D8E7" w14:textId="77777777" w:rsidR="00332539" w:rsidRDefault="00332539">
            <w:pPr>
              <w:jc w:val="both"/>
              <w:rPr>
                <w:lang w:eastAsia="zh-CN"/>
              </w:rPr>
            </w:pPr>
          </w:p>
        </w:tc>
        <w:tc>
          <w:tcPr>
            <w:tcW w:w="5808" w:type="dxa"/>
          </w:tcPr>
          <w:p w14:paraId="2305D8E8" w14:textId="77777777" w:rsidR="00332539" w:rsidRDefault="00332539">
            <w:pPr>
              <w:jc w:val="both"/>
              <w:rPr>
                <w:lang w:eastAsia="zh-CN"/>
              </w:rPr>
            </w:pPr>
          </w:p>
        </w:tc>
      </w:tr>
      <w:tr w:rsidR="00332539" w14:paraId="2305D8ED" w14:textId="77777777">
        <w:tc>
          <w:tcPr>
            <w:tcW w:w="1980" w:type="dxa"/>
          </w:tcPr>
          <w:p w14:paraId="2305D8EA" w14:textId="77777777" w:rsidR="00332539" w:rsidRDefault="00332539">
            <w:pPr>
              <w:jc w:val="both"/>
              <w:rPr>
                <w:lang w:eastAsia="zh-CN"/>
              </w:rPr>
            </w:pPr>
          </w:p>
        </w:tc>
        <w:tc>
          <w:tcPr>
            <w:tcW w:w="1843" w:type="dxa"/>
          </w:tcPr>
          <w:p w14:paraId="2305D8EB" w14:textId="77777777" w:rsidR="00332539" w:rsidRDefault="00332539">
            <w:pPr>
              <w:jc w:val="both"/>
              <w:rPr>
                <w:lang w:eastAsia="zh-CN"/>
              </w:rPr>
            </w:pPr>
          </w:p>
        </w:tc>
        <w:tc>
          <w:tcPr>
            <w:tcW w:w="5808" w:type="dxa"/>
          </w:tcPr>
          <w:p w14:paraId="2305D8EC" w14:textId="77777777" w:rsidR="00332539" w:rsidRDefault="00332539">
            <w:pPr>
              <w:jc w:val="both"/>
              <w:rPr>
                <w:lang w:eastAsia="zh-CN"/>
              </w:rPr>
            </w:pPr>
          </w:p>
        </w:tc>
      </w:tr>
      <w:tr w:rsidR="00332539" w14:paraId="2305D8F1" w14:textId="77777777">
        <w:tc>
          <w:tcPr>
            <w:tcW w:w="1980" w:type="dxa"/>
          </w:tcPr>
          <w:p w14:paraId="2305D8EE" w14:textId="77777777" w:rsidR="00332539" w:rsidRDefault="00332539">
            <w:pPr>
              <w:jc w:val="both"/>
              <w:rPr>
                <w:lang w:eastAsia="zh-CN"/>
              </w:rPr>
            </w:pPr>
          </w:p>
        </w:tc>
        <w:tc>
          <w:tcPr>
            <w:tcW w:w="1843" w:type="dxa"/>
          </w:tcPr>
          <w:p w14:paraId="2305D8EF" w14:textId="77777777" w:rsidR="00332539" w:rsidRDefault="00332539">
            <w:pPr>
              <w:jc w:val="both"/>
              <w:rPr>
                <w:lang w:eastAsia="zh-CN"/>
              </w:rPr>
            </w:pPr>
          </w:p>
        </w:tc>
        <w:tc>
          <w:tcPr>
            <w:tcW w:w="5808" w:type="dxa"/>
          </w:tcPr>
          <w:p w14:paraId="2305D8F0" w14:textId="77777777" w:rsidR="00332539" w:rsidRDefault="00332539">
            <w:pPr>
              <w:jc w:val="both"/>
            </w:pPr>
          </w:p>
        </w:tc>
      </w:tr>
      <w:tr w:rsidR="00332539" w14:paraId="2305D8F5" w14:textId="77777777">
        <w:tc>
          <w:tcPr>
            <w:tcW w:w="1980" w:type="dxa"/>
          </w:tcPr>
          <w:p w14:paraId="2305D8F2" w14:textId="77777777" w:rsidR="00332539" w:rsidRDefault="00332539">
            <w:pPr>
              <w:jc w:val="both"/>
              <w:rPr>
                <w:lang w:val="en-US" w:eastAsia="zh-CN"/>
              </w:rPr>
            </w:pPr>
          </w:p>
        </w:tc>
        <w:tc>
          <w:tcPr>
            <w:tcW w:w="1843" w:type="dxa"/>
          </w:tcPr>
          <w:p w14:paraId="2305D8F3" w14:textId="77777777" w:rsidR="00332539" w:rsidRDefault="00332539">
            <w:pPr>
              <w:jc w:val="both"/>
              <w:rPr>
                <w:lang w:val="en-US" w:eastAsia="zh-CN"/>
              </w:rPr>
            </w:pPr>
          </w:p>
        </w:tc>
        <w:tc>
          <w:tcPr>
            <w:tcW w:w="5808" w:type="dxa"/>
          </w:tcPr>
          <w:p w14:paraId="2305D8F4" w14:textId="77777777" w:rsidR="00332539" w:rsidRDefault="00332539">
            <w:pPr>
              <w:jc w:val="both"/>
              <w:rPr>
                <w:lang w:val="en-US" w:eastAsia="zh-CN"/>
              </w:rPr>
            </w:pPr>
          </w:p>
        </w:tc>
      </w:tr>
      <w:tr w:rsidR="00332539" w14:paraId="2305D8F9" w14:textId="77777777">
        <w:tc>
          <w:tcPr>
            <w:tcW w:w="1980" w:type="dxa"/>
          </w:tcPr>
          <w:p w14:paraId="2305D8F6" w14:textId="77777777" w:rsidR="00332539" w:rsidRDefault="00332539">
            <w:pPr>
              <w:jc w:val="both"/>
              <w:rPr>
                <w:lang w:eastAsia="zh-CN"/>
              </w:rPr>
            </w:pPr>
          </w:p>
        </w:tc>
        <w:tc>
          <w:tcPr>
            <w:tcW w:w="1843" w:type="dxa"/>
          </w:tcPr>
          <w:p w14:paraId="2305D8F7" w14:textId="77777777" w:rsidR="00332539" w:rsidRDefault="00332539">
            <w:pPr>
              <w:jc w:val="both"/>
              <w:rPr>
                <w:lang w:eastAsia="zh-CN"/>
              </w:rPr>
            </w:pPr>
          </w:p>
        </w:tc>
        <w:tc>
          <w:tcPr>
            <w:tcW w:w="5808" w:type="dxa"/>
          </w:tcPr>
          <w:p w14:paraId="2305D8F8" w14:textId="77777777" w:rsidR="00332539" w:rsidRDefault="00332539">
            <w:pPr>
              <w:jc w:val="both"/>
              <w:rPr>
                <w:lang w:eastAsia="zh-CN"/>
              </w:rPr>
            </w:pPr>
          </w:p>
        </w:tc>
      </w:tr>
      <w:tr w:rsidR="00332539" w14:paraId="2305D8FD" w14:textId="77777777">
        <w:tc>
          <w:tcPr>
            <w:tcW w:w="1980" w:type="dxa"/>
          </w:tcPr>
          <w:p w14:paraId="2305D8FA" w14:textId="77777777" w:rsidR="00332539" w:rsidRDefault="00332539">
            <w:pPr>
              <w:jc w:val="both"/>
              <w:rPr>
                <w:lang w:eastAsia="zh-CN"/>
              </w:rPr>
            </w:pPr>
          </w:p>
        </w:tc>
        <w:tc>
          <w:tcPr>
            <w:tcW w:w="1843" w:type="dxa"/>
          </w:tcPr>
          <w:p w14:paraId="2305D8FB" w14:textId="77777777" w:rsidR="00332539" w:rsidRDefault="00332539">
            <w:pPr>
              <w:jc w:val="both"/>
              <w:rPr>
                <w:lang w:eastAsia="zh-CN"/>
              </w:rPr>
            </w:pPr>
          </w:p>
        </w:tc>
        <w:tc>
          <w:tcPr>
            <w:tcW w:w="5808" w:type="dxa"/>
          </w:tcPr>
          <w:p w14:paraId="2305D8FC" w14:textId="77777777" w:rsidR="00332539" w:rsidRDefault="00332539">
            <w:pPr>
              <w:jc w:val="both"/>
              <w:rPr>
                <w:lang w:eastAsia="zh-CN"/>
              </w:rPr>
            </w:pPr>
          </w:p>
        </w:tc>
      </w:tr>
      <w:tr w:rsidR="00332539" w14:paraId="2305D901" w14:textId="77777777">
        <w:tc>
          <w:tcPr>
            <w:tcW w:w="1980" w:type="dxa"/>
          </w:tcPr>
          <w:p w14:paraId="2305D8FE" w14:textId="77777777" w:rsidR="00332539" w:rsidRDefault="00332539">
            <w:pPr>
              <w:jc w:val="both"/>
              <w:rPr>
                <w:lang w:eastAsia="zh-CN"/>
              </w:rPr>
            </w:pPr>
          </w:p>
        </w:tc>
        <w:tc>
          <w:tcPr>
            <w:tcW w:w="1843" w:type="dxa"/>
          </w:tcPr>
          <w:p w14:paraId="2305D8FF" w14:textId="77777777" w:rsidR="00332539" w:rsidRDefault="00332539">
            <w:pPr>
              <w:jc w:val="both"/>
              <w:rPr>
                <w:lang w:eastAsia="zh-CN"/>
              </w:rPr>
            </w:pPr>
          </w:p>
        </w:tc>
        <w:tc>
          <w:tcPr>
            <w:tcW w:w="5808" w:type="dxa"/>
          </w:tcPr>
          <w:p w14:paraId="2305D900" w14:textId="77777777" w:rsidR="00332539" w:rsidRDefault="00332539">
            <w:pPr>
              <w:jc w:val="both"/>
              <w:rPr>
                <w:lang w:eastAsia="zh-CN"/>
              </w:rPr>
            </w:pPr>
          </w:p>
        </w:tc>
      </w:tr>
      <w:tr w:rsidR="00332539" w14:paraId="2305D905" w14:textId="77777777">
        <w:tc>
          <w:tcPr>
            <w:tcW w:w="1980" w:type="dxa"/>
          </w:tcPr>
          <w:p w14:paraId="2305D902" w14:textId="77777777" w:rsidR="00332539" w:rsidRDefault="00332539">
            <w:pPr>
              <w:jc w:val="both"/>
              <w:rPr>
                <w:lang w:eastAsia="zh-CN"/>
              </w:rPr>
            </w:pPr>
          </w:p>
        </w:tc>
        <w:tc>
          <w:tcPr>
            <w:tcW w:w="1843" w:type="dxa"/>
          </w:tcPr>
          <w:p w14:paraId="2305D903" w14:textId="77777777" w:rsidR="00332539" w:rsidRDefault="00332539">
            <w:pPr>
              <w:jc w:val="both"/>
              <w:rPr>
                <w:lang w:eastAsia="zh-CN"/>
              </w:rPr>
            </w:pPr>
          </w:p>
        </w:tc>
        <w:tc>
          <w:tcPr>
            <w:tcW w:w="5808" w:type="dxa"/>
          </w:tcPr>
          <w:p w14:paraId="2305D904" w14:textId="77777777" w:rsidR="00332539" w:rsidRDefault="00332539">
            <w:pPr>
              <w:jc w:val="both"/>
              <w:rPr>
                <w:lang w:eastAsia="zh-CN"/>
              </w:rPr>
            </w:pPr>
          </w:p>
        </w:tc>
      </w:tr>
      <w:tr w:rsidR="00332539" w14:paraId="2305D909" w14:textId="77777777">
        <w:tc>
          <w:tcPr>
            <w:tcW w:w="1980" w:type="dxa"/>
          </w:tcPr>
          <w:p w14:paraId="2305D906" w14:textId="77777777" w:rsidR="00332539" w:rsidRDefault="00332539">
            <w:pPr>
              <w:jc w:val="both"/>
              <w:rPr>
                <w:lang w:eastAsia="zh-CN"/>
              </w:rPr>
            </w:pPr>
          </w:p>
        </w:tc>
        <w:tc>
          <w:tcPr>
            <w:tcW w:w="1843" w:type="dxa"/>
          </w:tcPr>
          <w:p w14:paraId="2305D907" w14:textId="77777777" w:rsidR="00332539" w:rsidRDefault="00332539">
            <w:pPr>
              <w:jc w:val="both"/>
              <w:rPr>
                <w:lang w:eastAsia="zh-CN"/>
              </w:rPr>
            </w:pPr>
          </w:p>
        </w:tc>
        <w:tc>
          <w:tcPr>
            <w:tcW w:w="5808" w:type="dxa"/>
          </w:tcPr>
          <w:p w14:paraId="2305D908" w14:textId="77777777" w:rsidR="00332539" w:rsidRDefault="00332539">
            <w:pPr>
              <w:jc w:val="both"/>
              <w:rPr>
                <w:rFonts w:eastAsia="Malgun Gothic"/>
                <w:lang w:eastAsia="ko-KR"/>
              </w:rPr>
            </w:pPr>
          </w:p>
        </w:tc>
      </w:tr>
      <w:tr w:rsidR="00332539" w14:paraId="2305D90D" w14:textId="77777777">
        <w:tc>
          <w:tcPr>
            <w:tcW w:w="1980" w:type="dxa"/>
          </w:tcPr>
          <w:p w14:paraId="2305D90A" w14:textId="77777777" w:rsidR="00332539" w:rsidRDefault="00332539">
            <w:pPr>
              <w:jc w:val="both"/>
              <w:rPr>
                <w:lang w:eastAsia="zh-CN"/>
              </w:rPr>
            </w:pPr>
          </w:p>
        </w:tc>
        <w:tc>
          <w:tcPr>
            <w:tcW w:w="1843" w:type="dxa"/>
          </w:tcPr>
          <w:p w14:paraId="2305D90B" w14:textId="77777777" w:rsidR="00332539" w:rsidRDefault="00332539">
            <w:pPr>
              <w:jc w:val="both"/>
              <w:rPr>
                <w:lang w:eastAsia="zh-CN"/>
              </w:rPr>
            </w:pPr>
          </w:p>
        </w:tc>
        <w:tc>
          <w:tcPr>
            <w:tcW w:w="5808" w:type="dxa"/>
          </w:tcPr>
          <w:p w14:paraId="2305D90C" w14:textId="77777777" w:rsidR="00332539" w:rsidRDefault="00332539">
            <w:pPr>
              <w:jc w:val="both"/>
              <w:rPr>
                <w:lang w:eastAsia="zh-CN"/>
              </w:rPr>
            </w:pPr>
          </w:p>
        </w:tc>
      </w:tr>
      <w:tr w:rsidR="00332539" w14:paraId="2305D911" w14:textId="77777777">
        <w:tc>
          <w:tcPr>
            <w:tcW w:w="1980" w:type="dxa"/>
          </w:tcPr>
          <w:p w14:paraId="2305D90E" w14:textId="77777777" w:rsidR="00332539" w:rsidRDefault="00332539">
            <w:pPr>
              <w:jc w:val="both"/>
              <w:rPr>
                <w:rFonts w:eastAsia="Malgun Gothic"/>
                <w:lang w:eastAsia="ko-KR"/>
              </w:rPr>
            </w:pPr>
          </w:p>
        </w:tc>
        <w:tc>
          <w:tcPr>
            <w:tcW w:w="1843" w:type="dxa"/>
          </w:tcPr>
          <w:p w14:paraId="2305D90F" w14:textId="77777777" w:rsidR="00332539" w:rsidRDefault="00332539">
            <w:pPr>
              <w:jc w:val="both"/>
              <w:rPr>
                <w:rFonts w:eastAsia="Malgun Gothic"/>
                <w:lang w:eastAsia="ko-KR"/>
              </w:rPr>
            </w:pPr>
          </w:p>
        </w:tc>
        <w:tc>
          <w:tcPr>
            <w:tcW w:w="5808" w:type="dxa"/>
          </w:tcPr>
          <w:p w14:paraId="2305D910" w14:textId="77777777" w:rsidR="00332539" w:rsidRDefault="00332539">
            <w:pPr>
              <w:jc w:val="both"/>
              <w:rPr>
                <w:rFonts w:eastAsia="Malgun Gothic"/>
                <w:lang w:eastAsia="ko-KR"/>
              </w:rPr>
            </w:pPr>
          </w:p>
        </w:tc>
      </w:tr>
      <w:tr w:rsidR="00332539" w14:paraId="2305D915" w14:textId="77777777">
        <w:tc>
          <w:tcPr>
            <w:tcW w:w="1980" w:type="dxa"/>
          </w:tcPr>
          <w:p w14:paraId="2305D912" w14:textId="77777777" w:rsidR="00332539" w:rsidRDefault="00332539">
            <w:pPr>
              <w:jc w:val="both"/>
              <w:rPr>
                <w:lang w:eastAsia="zh-CN"/>
              </w:rPr>
            </w:pPr>
          </w:p>
        </w:tc>
        <w:tc>
          <w:tcPr>
            <w:tcW w:w="1843" w:type="dxa"/>
          </w:tcPr>
          <w:p w14:paraId="2305D913" w14:textId="77777777" w:rsidR="00332539" w:rsidRDefault="00332539">
            <w:pPr>
              <w:jc w:val="both"/>
              <w:rPr>
                <w:lang w:eastAsia="zh-CN"/>
              </w:rPr>
            </w:pPr>
          </w:p>
        </w:tc>
        <w:tc>
          <w:tcPr>
            <w:tcW w:w="5808" w:type="dxa"/>
          </w:tcPr>
          <w:p w14:paraId="2305D914" w14:textId="77777777" w:rsidR="00332539" w:rsidRDefault="00332539">
            <w:pPr>
              <w:jc w:val="both"/>
              <w:rPr>
                <w:lang w:eastAsia="zh-CN"/>
              </w:rPr>
            </w:pPr>
          </w:p>
        </w:tc>
      </w:tr>
      <w:tr w:rsidR="00332539" w14:paraId="2305D919" w14:textId="77777777">
        <w:tc>
          <w:tcPr>
            <w:tcW w:w="1980" w:type="dxa"/>
          </w:tcPr>
          <w:p w14:paraId="2305D916" w14:textId="77777777" w:rsidR="00332539" w:rsidRDefault="00332539">
            <w:pPr>
              <w:jc w:val="both"/>
              <w:rPr>
                <w:lang w:eastAsia="zh-CN"/>
              </w:rPr>
            </w:pPr>
          </w:p>
        </w:tc>
        <w:tc>
          <w:tcPr>
            <w:tcW w:w="1843" w:type="dxa"/>
          </w:tcPr>
          <w:p w14:paraId="2305D917" w14:textId="77777777" w:rsidR="00332539" w:rsidRDefault="00332539">
            <w:pPr>
              <w:jc w:val="both"/>
              <w:rPr>
                <w:lang w:eastAsia="zh-CN"/>
              </w:rPr>
            </w:pPr>
          </w:p>
        </w:tc>
        <w:tc>
          <w:tcPr>
            <w:tcW w:w="5808" w:type="dxa"/>
          </w:tcPr>
          <w:p w14:paraId="2305D918" w14:textId="77777777" w:rsidR="00332539" w:rsidRDefault="00332539">
            <w:pPr>
              <w:jc w:val="both"/>
              <w:rPr>
                <w:lang w:eastAsia="zh-CN"/>
              </w:rPr>
            </w:pPr>
          </w:p>
        </w:tc>
      </w:tr>
      <w:tr w:rsidR="00332539" w14:paraId="2305D91D" w14:textId="77777777">
        <w:tc>
          <w:tcPr>
            <w:tcW w:w="1980" w:type="dxa"/>
          </w:tcPr>
          <w:p w14:paraId="2305D91A" w14:textId="77777777" w:rsidR="00332539" w:rsidRDefault="00332539">
            <w:pPr>
              <w:jc w:val="both"/>
              <w:rPr>
                <w:rFonts w:eastAsia="Malgun Gothic"/>
                <w:lang w:eastAsia="ko-KR"/>
              </w:rPr>
            </w:pPr>
          </w:p>
        </w:tc>
        <w:tc>
          <w:tcPr>
            <w:tcW w:w="1843" w:type="dxa"/>
          </w:tcPr>
          <w:p w14:paraId="2305D91B" w14:textId="77777777" w:rsidR="00332539" w:rsidRDefault="00332539">
            <w:pPr>
              <w:jc w:val="both"/>
              <w:rPr>
                <w:rFonts w:eastAsia="Malgun Gothic"/>
                <w:lang w:eastAsia="ko-KR"/>
              </w:rPr>
            </w:pPr>
          </w:p>
        </w:tc>
        <w:tc>
          <w:tcPr>
            <w:tcW w:w="5808" w:type="dxa"/>
          </w:tcPr>
          <w:p w14:paraId="2305D91C" w14:textId="77777777" w:rsidR="00332539" w:rsidRDefault="00332539">
            <w:pPr>
              <w:jc w:val="both"/>
              <w:rPr>
                <w:rFonts w:eastAsia="Malgun Gothic"/>
                <w:lang w:eastAsia="ko-KR"/>
              </w:rPr>
            </w:pPr>
          </w:p>
        </w:tc>
      </w:tr>
      <w:tr w:rsidR="00332539" w14:paraId="2305D921" w14:textId="77777777">
        <w:tc>
          <w:tcPr>
            <w:tcW w:w="1980" w:type="dxa"/>
          </w:tcPr>
          <w:p w14:paraId="2305D91E" w14:textId="77777777" w:rsidR="00332539" w:rsidRDefault="00332539">
            <w:pPr>
              <w:jc w:val="both"/>
              <w:rPr>
                <w:rFonts w:eastAsia="Malgun Gothic"/>
                <w:lang w:eastAsia="ko-KR"/>
              </w:rPr>
            </w:pPr>
          </w:p>
        </w:tc>
        <w:tc>
          <w:tcPr>
            <w:tcW w:w="1843" w:type="dxa"/>
          </w:tcPr>
          <w:p w14:paraId="2305D91F" w14:textId="77777777" w:rsidR="00332539" w:rsidRDefault="00332539">
            <w:pPr>
              <w:jc w:val="both"/>
              <w:rPr>
                <w:rFonts w:eastAsia="Malgun Gothic"/>
                <w:lang w:eastAsia="ko-KR"/>
              </w:rPr>
            </w:pPr>
          </w:p>
        </w:tc>
        <w:tc>
          <w:tcPr>
            <w:tcW w:w="5808" w:type="dxa"/>
          </w:tcPr>
          <w:p w14:paraId="2305D920" w14:textId="77777777" w:rsidR="00332539" w:rsidRDefault="00332539">
            <w:pPr>
              <w:jc w:val="both"/>
              <w:rPr>
                <w:rFonts w:eastAsia="Malgun Gothic"/>
                <w:lang w:eastAsia="ko-KR"/>
              </w:rPr>
            </w:pPr>
          </w:p>
        </w:tc>
      </w:tr>
    </w:tbl>
    <w:p w14:paraId="2305D922" w14:textId="77777777" w:rsidR="00332539" w:rsidRDefault="00332539">
      <w:pPr>
        <w:jc w:val="both"/>
      </w:pPr>
    </w:p>
    <w:p w14:paraId="2305D923" w14:textId="77777777" w:rsidR="00332539" w:rsidRDefault="000F2FB1">
      <w:pPr>
        <w:jc w:val="both"/>
      </w:pPr>
      <w:r>
        <w:t>Assuming your answer to Q4 is greater than 0, please also share your opinion how to ensure the coordination between the nodes.</w:t>
      </w:r>
    </w:p>
    <w:tbl>
      <w:tblPr>
        <w:tblStyle w:val="TableGrid"/>
        <w:tblW w:w="9631" w:type="dxa"/>
        <w:tblLayout w:type="fixed"/>
        <w:tblLook w:val="04A0" w:firstRow="1" w:lastRow="0" w:firstColumn="1" w:lastColumn="0" w:noHBand="0" w:noVBand="1"/>
      </w:tblPr>
      <w:tblGrid>
        <w:gridCol w:w="1980"/>
        <w:gridCol w:w="7651"/>
      </w:tblGrid>
      <w:tr w:rsidR="00332539" w14:paraId="2305D925" w14:textId="77777777">
        <w:tc>
          <w:tcPr>
            <w:tcW w:w="9631" w:type="dxa"/>
            <w:gridSpan w:val="2"/>
          </w:tcPr>
          <w:p w14:paraId="2305D924" w14:textId="77777777" w:rsidR="00332539" w:rsidRDefault="000F2FB1">
            <w:pPr>
              <w:jc w:val="both"/>
              <w:rPr>
                <w:b/>
              </w:rPr>
            </w:pPr>
            <w:r>
              <w:rPr>
                <w:b/>
              </w:rPr>
              <w:t xml:space="preserve">Question 5: How the coordination between MN and SN on CPAC configuration handling is done, so that the maximum number of configurations is not exceeded? </w:t>
            </w:r>
          </w:p>
        </w:tc>
      </w:tr>
      <w:tr w:rsidR="00332539" w14:paraId="2305D928" w14:textId="77777777">
        <w:tc>
          <w:tcPr>
            <w:tcW w:w="1980" w:type="dxa"/>
          </w:tcPr>
          <w:p w14:paraId="2305D926" w14:textId="77777777" w:rsidR="00332539" w:rsidRDefault="000F2FB1">
            <w:pPr>
              <w:jc w:val="both"/>
              <w:rPr>
                <w:b/>
              </w:rPr>
            </w:pPr>
            <w:r>
              <w:rPr>
                <w:b/>
              </w:rPr>
              <w:t>Company</w:t>
            </w:r>
          </w:p>
        </w:tc>
        <w:tc>
          <w:tcPr>
            <w:tcW w:w="7651" w:type="dxa"/>
          </w:tcPr>
          <w:p w14:paraId="2305D927" w14:textId="77777777" w:rsidR="00332539" w:rsidRDefault="000F2FB1">
            <w:pPr>
              <w:jc w:val="both"/>
              <w:rPr>
                <w:b/>
              </w:rPr>
            </w:pPr>
            <w:r>
              <w:rPr>
                <w:b/>
              </w:rPr>
              <w:t>Answer</w:t>
            </w:r>
          </w:p>
        </w:tc>
      </w:tr>
      <w:tr w:rsidR="00332539" w14:paraId="2305D92B" w14:textId="77777777">
        <w:tc>
          <w:tcPr>
            <w:tcW w:w="1980" w:type="dxa"/>
          </w:tcPr>
          <w:p w14:paraId="2305D929" w14:textId="77777777" w:rsidR="00332539" w:rsidRDefault="000F2FB1">
            <w:pPr>
              <w:jc w:val="both"/>
              <w:rPr>
                <w:lang w:eastAsia="zh-CN"/>
              </w:rPr>
            </w:pPr>
            <w:r>
              <w:rPr>
                <w:rFonts w:hint="eastAsia"/>
                <w:lang w:eastAsia="zh-CN"/>
              </w:rPr>
              <w:t>CATT</w:t>
            </w:r>
          </w:p>
        </w:tc>
        <w:tc>
          <w:tcPr>
            <w:tcW w:w="7651" w:type="dxa"/>
          </w:tcPr>
          <w:p w14:paraId="2305D92A" w14:textId="77777777" w:rsidR="00332539" w:rsidRDefault="000F2FB1">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332539" w14:paraId="2305D92E" w14:textId="77777777">
        <w:tc>
          <w:tcPr>
            <w:tcW w:w="1980" w:type="dxa"/>
          </w:tcPr>
          <w:p w14:paraId="2305D92C" w14:textId="77777777" w:rsidR="00332539" w:rsidRDefault="000F2FB1">
            <w:pPr>
              <w:jc w:val="both"/>
              <w:rPr>
                <w:lang w:eastAsia="zh-CN"/>
              </w:rPr>
            </w:pPr>
            <w:r>
              <w:rPr>
                <w:lang w:eastAsia="zh-CN"/>
              </w:rPr>
              <w:t>Huawei, HiSilicon</w:t>
            </w:r>
          </w:p>
        </w:tc>
        <w:tc>
          <w:tcPr>
            <w:tcW w:w="7651" w:type="dxa"/>
          </w:tcPr>
          <w:p w14:paraId="2305D92D" w14:textId="77777777" w:rsidR="00332539" w:rsidRDefault="000F2FB1">
            <w:pPr>
              <w:jc w:val="both"/>
              <w:rPr>
                <w:lang w:eastAsia="zh-CN"/>
              </w:rPr>
            </w:pPr>
            <w:r>
              <w:rPr>
                <w:lang w:eastAsia="zh-CN"/>
              </w:rPr>
              <w:t>Same view like CATT. Supposing there is coexistence between SN-initiated Rel-17 CPC and Rel-16 CPC, no coordination is needed.</w:t>
            </w:r>
          </w:p>
        </w:tc>
      </w:tr>
      <w:tr w:rsidR="00332539" w14:paraId="2305D931" w14:textId="77777777">
        <w:tc>
          <w:tcPr>
            <w:tcW w:w="1980" w:type="dxa"/>
          </w:tcPr>
          <w:p w14:paraId="2305D92F" w14:textId="77777777" w:rsidR="00332539" w:rsidRDefault="000F2FB1">
            <w:pPr>
              <w:jc w:val="both"/>
              <w:rPr>
                <w:lang w:eastAsia="zh-CN"/>
              </w:rPr>
            </w:pPr>
            <w:r>
              <w:rPr>
                <w:rFonts w:eastAsia="Malgun Gothic" w:hint="eastAsia"/>
                <w:lang w:eastAsia="ko-KR"/>
              </w:rPr>
              <w:t>LG</w:t>
            </w:r>
          </w:p>
        </w:tc>
        <w:tc>
          <w:tcPr>
            <w:tcW w:w="7651" w:type="dxa"/>
          </w:tcPr>
          <w:p w14:paraId="2305D930" w14:textId="77777777" w:rsidR="00332539" w:rsidRDefault="000F2FB1">
            <w:pPr>
              <w:jc w:val="both"/>
              <w:rPr>
                <w:lang w:eastAsia="zh-CN"/>
              </w:rPr>
            </w:pPr>
            <w:r>
              <w:rPr>
                <w:lang w:eastAsia="zh-CN"/>
              </w:rPr>
              <w:t xml:space="preserve">We think RAN2 needs to newly define the maximum number of candidate PSCells for conditional mobility as 8 irrespective of that for PCell conditional mobility. Then, the UE supports up to 16 candidate cells for PCell/PSCell conditional mobility, where 16 candidate cells are distinguished by type of configuration, i.e., there are 8 candidate cells for CHO and 8 candidate cells for CPAC. If the maximum numbers for PCell and PSCell conditional mobility are defined independently each other, there is no need to MN-SN coordination to arbitrate the maximum numbers of candidate PCells and PSCells. </w:t>
            </w:r>
          </w:p>
        </w:tc>
      </w:tr>
      <w:tr w:rsidR="00332539" w14:paraId="2305D934" w14:textId="77777777">
        <w:tc>
          <w:tcPr>
            <w:tcW w:w="1980" w:type="dxa"/>
          </w:tcPr>
          <w:p w14:paraId="2305D932" w14:textId="77777777" w:rsidR="00332539" w:rsidRDefault="000F2FB1">
            <w:pPr>
              <w:jc w:val="both"/>
              <w:rPr>
                <w:lang w:val="en-US" w:eastAsia="zh-CN"/>
              </w:rPr>
            </w:pPr>
            <w:r>
              <w:rPr>
                <w:rFonts w:hint="eastAsia"/>
                <w:lang w:val="en-US" w:eastAsia="zh-CN"/>
              </w:rPr>
              <w:t>ZTE</w:t>
            </w:r>
          </w:p>
        </w:tc>
        <w:tc>
          <w:tcPr>
            <w:tcW w:w="7651" w:type="dxa"/>
          </w:tcPr>
          <w:p w14:paraId="2305D933" w14:textId="77777777" w:rsidR="00332539" w:rsidRDefault="000F2FB1">
            <w:pPr>
              <w:jc w:val="both"/>
              <w:rPr>
                <w:lang w:eastAsia="zh-CN"/>
              </w:rPr>
            </w:pPr>
            <w:r>
              <w:rPr>
                <w:rFonts w:hint="eastAsia"/>
                <w:lang w:val="en-US" w:eastAsia="zh-CN"/>
              </w:rPr>
              <w:t>For simplicity, the MN can directly decide the maximum number of candidate cells to be configured for SN initiated CPC and inform the SN.</w:t>
            </w:r>
          </w:p>
        </w:tc>
      </w:tr>
      <w:tr w:rsidR="00332539" w14:paraId="2305D937" w14:textId="77777777">
        <w:tc>
          <w:tcPr>
            <w:tcW w:w="1980" w:type="dxa"/>
          </w:tcPr>
          <w:p w14:paraId="2305D935" w14:textId="77777777" w:rsidR="00332539" w:rsidRDefault="00332539">
            <w:pPr>
              <w:jc w:val="both"/>
              <w:rPr>
                <w:lang w:eastAsia="zh-CN"/>
              </w:rPr>
            </w:pPr>
          </w:p>
        </w:tc>
        <w:tc>
          <w:tcPr>
            <w:tcW w:w="7651" w:type="dxa"/>
          </w:tcPr>
          <w:p w14:paraId="2305D936" w14:textId="77777777" w:rsidR="00332539" w:rsidRDefault="00332539">
            <w:pPr>
              <w:jc w:val="both"/>
              <w:rPr>
                <w:lang w:eastAsia="zh-CN"/>
              </w:rPr>
            </w:pPr>
          </w:p>
        </w:tc>
      </w:tr>
      <w:tr w:rsidR="00332539" w14:paraId="2305D93A" w14:textId="77777777">
        <w:tc>
          <w:tcPr>
            <w:tcW w:w="1980" w:type="dxa"/>
          </w:tcPr>
          <w:p w14:paraId="2305D938" w14:textId="77777777" w:rsidR="00332539" w:rsidRDefault="00332539">
            <w:pPr>
              <w:jc w:val="both"/>
              <w:rPr>
                <w:lang w:eastAsia="zh-CN"/>
              </w:rPr>
            </w:pPr>
          </w:p>
        </w:tc>
        <w:tc>
          <w:tcPr>
            <w:tcW w:w="7651" w:type="dxa"/>
          </w:tcPr>
          <w:p w14:paraId="2305D939" w14:textId="77777777" w:rsidR="00332539" w:rsidRDefault="00332539">
            <w:pPr>
              <w:jc w:val="both"/>
              <w:rPr>
                <w:lang w:eastAsia="zh-CN"/>
              </w:rPr>
            </w:pPr>
          </w:p>
        </w:tc>
      </w:tr>
      <w:tr w:rsidR="00332539" w14:paraId="2305D93D" w14:textId="77777777">
        <w:tc>
          <w:tcPr>
            <w:tcW w:w="1980" w:type="dxa"/>
          </w:tcPr>
          <w:p w14:paraId="2305D93B" w14:textId="77777777" w:rsidR="00332539" w:rsidRDefault="00332539">
            <w:pPr>
              <w:jc w:val="both"/>
              <w:rPr>
                <w:lang w:eastAsia="zh-CN"/>
              </w:rPr>
            </w:pPr>
          </w:p>
        </w:tc>
        <w:tc>
          <w:tcPr>
            <w:tcW w:w="7651" w:type="dxa"/>
          </w:tcPr>
          <w:p w14:paraId="2305D93C" w14:textId="77777777" w:rsidR="00332539" w:rsidRDefault="00332539">
            <w:pPr>
              <w:jc w:val="both"/>
              <w:rPr>
                <w:lang w:eastAsia="zh-CN"/>
              </w:rPr>
            </w:pPr>
          </w:p>
        </w:tc>
      </w:tr>
      <w:tr w:rsidR="00332539" w14:paraId="2305D940" w14:textId="77777777">
        <w:tc>
          <w:tcPr>
            <w:tcW w:w="1980" w:type="dxa"/>
          </w:tcPr>
          <w:p w14:paraId="2305D93E" w14:textId="77777777" w:rsidR="00332539" w:rsidRDefault="00332539">
            <w:pPr>
              <w:jc w:val="both"/>
              <w:rPr>
                <w:lang w:eastAsia="zh-CN"/>
              </w:rPr>
            </w:pPr>
          </w:p>
        </w:tc>
        <w:tc>
          <w:tcPr>
            <w:tcW w:w="7651" w:type="dxa"/>
          </w:tcPr>
          <w:p w14:paraId="2305D93F" w14:textId="77777777" w:rsidR="00332539" w:rsidRDefault="00332539">
            <w:pPr>
              <w:jc w:val="both"/>
              <w:rPr>
                <w:lang w:eastAsia="zh-CN"/>
              </w:rPr>
            </w:pPr>
          </w:p>
        </w:tc>
      </w:tr>
      <w:tr w:rsidR="00332539" w14:paraId="2305D943" w14:textId="77777777">
        <w:tc>
          <w:tcPr>
            <w:tcW w:w="1980" w:type="dxa"/>
          </w:tcPr>
          <w:p w14:paraId="2305D941" w14:textId="77777777" w:rsidR="00332539" w:rsidRDefault="00332539">
            <w:pPr>
              <w:jc w:val="both"/>
              <w:rPr>
                <w:lang w:eastAsia="zh-CN"/>
              </w:rPr>
            </w:pPr>
          </w:p>
        </w:tc>
        <w:tc>
          <w:tcPr>
            <w:tcW w:w="7651" w:type="dxa"/>
          </w:tcPr>
          <w:p w14:paraId="2305D942" w14:textId="77777777" w:rsidR="00332539" w:rsidRDefault="00332539">
            <w:pPr>
              <w:jc w:val="both"/>
              <w:rPr>
                <w:lang w:eastAsia="zh-CN"/>
              </w:rPr>
            </w:pPr>
          </w:p>
        </w:tc>
      </w:tr>
      <w:tr w:rsidR="00332539" w14:paraId="2305D946" w14:textId="77777777">
        <w:tc>
          <w:tcPr>
            <w:tcW w:w="1980" w:type="dxa"/>
          </w:tcPr>
          <w:p w14:paraId="2305D944" w14:textId="77777777" w:rsidR="00332539" w:rsidRDefault="00332539">
            <w:pPr>
              <w:jc w:val="both"/>
              <w:rPr>
                <w:lang w:eastAsia="zh-CN"/>
              </w:rPr>
            </w:pPr>
          </w:p>
        </w:tc>
        <w:tc>
          <w:tcPr>
            <w:tcW w:w="7651" w:type="dxa"/>
          </w:tcPr>
          <w:p w14:paraId="2305D945" w14:textId="77777777" w:rsidR="00332539" w:rsidRDefault="00332539">
            <w:pPr>
              <w:jc w:val="both"/>
              <w:rPr>
                <w:lang w:eastAsia="zh-CN"/>
              </w:rPr>
            </w:pPr>
          </w:p>
        </w:tc>
      </w:tr>
      <w:tr w:rsidR="00332539" w14:paraId="2305D949" w14:textId="77777777">
        <w:tc>
          <w:tcPr>
            <w:tcW w:w="1980" w:type="dxa"/>
          </w:tcPr>
          <w:p w14:paraId="2305D947" w14:textId="77777777" w:rsidR="00332539" w:rsidRDefault="00332539">
            <w:pPr>
              <w:jc w:val="both"/>
            </w:pPr>
          </w:p>
        </w:tc>
        <w:tc>
          <w:tcPr>
            <w:tcW w:w="7651" w:type="dxa"/>
          </w:tcPr>
          <w:p w14:paraId="2305D948" w14:textId="77777777" w:rsidR="00332539" w:rsidRDefault="00332539">
            <w:pPr>
              <w:jc w:val="both"/>
              <w:rPr>
                <w:lang w:eastAsia="zh-CN"/>
              </w:rPr>
            </w:pPr>
          </w:p>
        </w:tc>
      </w:tr>
      <w:tr w:rsidR="00332539" w14:paraId="2305D94C" w14:textId="77777777">
        <w:tc>
          <w:tcPr>
            <w:tcW w:w="1980" w:type="dxa"/>
          </w:tcPr>
          <w:p w14:paraId="2305D94A" w14:textId="77777777" w:rsidR="00332539" w:rsidRDefault="00332539">
            <w:pPr>
              <w:jc w:val="both"/>
              <w:rPr>
                <w:lang w:eastAsia="zh-CN"/>
              </w:rPr>
            </w:pPr>
          </w:p>
        </w:tc>
        <w:tc>
          <w:tcPr>
            <w:tcW w:w="7651" w:type="dxa"/>
          </w:tcPr>
          <w:p w14:paraId="2305D94B" w14:textId="77777777" w:rsidR="00332539" w:rsidRDefault="00332539">
            <w:pPr>
              <w:jc w:val="both"/>
              <w:rPr>
                <w:lang w:eastAsia="zh-CN"/>
              </w:rPr>
            </w:pPr>
          </w:p>
        </w:tc>
      </w:tr>
      <w:tr w:rsidR="00332539" w14:paraId="2305D94F" w14:textId="77777777">
        <w:tc>
          <w:tcPr>
            <w:tcW w:w="1980" w:type="dxa"/>
          </w:tcPr>
          <w:p w14:paraId="2305D94D" w14:textId="77777777" w:rsidR="00332539" w:rsidRDefault="00332539">
            <w:pPr>
              <w:jc w:val="both"/>
              <w:rPr>
                <w:lang w:eastAsia="zh-CN"/>
              </w:rPr>
            </w:pPr>
          </w:p>
        </w:tc>
        <w:tc>
          <w:tcPr>
            <w:tcW w:w="7651" w:type="dxa"/>
          </w:tcPr>
          <w:p w14:paraId="2305D94E" w14:textId="77777777" w:rsidR="00332539" w:rsidRDefault="00332539">
            <w:pPr>
              <w:jc w:val="both"/>
              <w:rPr>
                <w:lang w:eastAsia="zh-CN"/>
              </w:rPr>
            </w:pPr>
          </w:p>
        </w:tc>
      </w:tr>
      <w:tr w:rsidR="00332539" w14:paraId="2305D952" w14:textId="77777777">
        <w:tc>
          <w:tcPr>
            <w:tcW w:w="1980" w:type="dxa"/>
          </w:tcPr>
          <w:p w14:paraId="2305D950" w14:textId="77777777" w:rsidR="00332539" w:rsidRDefault="00332539">
            <w:pPr>
              <w:jc w:val="both"/>
              <w:rPr>
                <w:rFonts w:eastAsia="Malgun Gothic"/>
                <w:lang w:eastAsia="ko-KR"/>
              </w:rPr>
            </w:pPr>
          </w:p>
        </w:tc>
        <w:tc>
          <w:tcPr>
            <w:tcW w:w="7651" w:type="dxa"/>
          </w:tcPr>
          <w:p w14:paraId="2305D951" w14:textId="77777777" w:rsidR="00332539" w:rsidRDefault="00332539">
            <w:pPr>
              <w:jc w:val="both"/>
              <w:rPr>
                <w:rFonts w:eastAsia="Malgun Gothic"/>
                <w:lang w:eastAsia="ko-KR"/>
              </w:rPr>
            </w:pPr>
          </w:p>
        </w:tc>
      </w:tr>
      <w:tr w:rsidR="00332539" w14:paraId="2305D955" w14:textId="77777777">
        <w:tc>
          <w:tcPr>
            <w:tcW w:w="1980" w:type="dxa"/>
          </w:tcPr>
          <w:p w14:paraId="2305D953" w14:textId="77777777" w:rsidR="00332539" w:rsidRDefault="00332539">
            <w:pPr>
              <w:jc w:val="both"/>
              <w:rPr>
                <w:lang w:eastAsia="zh-CN"/>
              </w:rPr>
            </w:pPr>
          </w:p>
        </w:tc>
        <w:tc>
          <w:tcPr>
            <w:tcW w:w="7651" w:type="dxa"/>
          </w:tcPr>
          <w:p w14:paraId="2305D954" w14:textId="77777777" w:rsidR="00332539" w:rsidRDefault="00332539">
            <w:pPr>
              <w:jc w:val="both"/>
              <w:rPr>
                <w:lang w:eastAsia="zh-CN"/>
              </w:rPr>
            </w:pPr>
          </w:p>
        </w:tc>
      </w:tr>
      <w:tr w:rsidR="00332539" w14:paraId="2305D958" w14:textId="77777777">
        <w:tc>
          <w:tcPr>
            <w:tcW w:w="1980" w:type="dxa"/>
          </w:tcPr>
          <w:p w14:paraId="2305D956" w14:textId="77777777" w:rsidR="00332539" w:rsidRDefault="00332539">
            <w:pPr>
              <w:jc w:val="both"/>
              <w:rPr>
                <w:lang w:eastAsia="zh-CN"/>
              </w:rPr>
            </w:pPr>
          </w:p>
        </w:tc>
        <w:tc>
          <w:tcPr>
            <w:tcW w:w="7651" w:type="dxa"/>
          </w:tcPr>
          <w:p w14:paraId="2305D957" w14:textId="77777777" w:rsidR="00332539" w:rsidRDefault="00332539">
            <w:pPr>
              <w:jc w:val="both"/>
              <w:rPr>
                <w:lang w:eastAsia="zh-CN"/>
              </w:rPr>
            </w:pPr>
          </w:p>
        </w:tc>
      </w:tr>
      <w:tr w:rsidR="00332539" w14:paraId="2305D95B" w14:textId="77777777">
        <w:tc>
          <w:tcPr>
            <w:tcW w:w="1980" w:type="dxa"/>
          </w:tcPr>
          <w:p w14:paraId="2305D959" w14:textId="77777777" w:rsidR="00332539" w:rsidRDefault="00332539">
            <w:pPr>
              <w:jc w:val="both"/>
              <w:rPr>
                <w:rFonts w:eastAsia="Malgun Gothic"/>
                <w:lang w:eastAsia="ko-KR"/>
              </w:rPr>
            </w:pPr>
          </w:p>
        </w:tc>
        <w:tc>
          <w:tcPr>
            <w:tcW w:w="7651" w:type="dxa"/>
          </w:tcPr>
          <w:p w14:paraId="2305D95A" w14:textId="77777777" w:rsidR="00332539" w:rsidRDefault="00332539">
            <w:pPr>
              <w:jc w:val="both"/>
              <w:rPr>
                <w:lang w:eastAsia="zh-CN"/>
              </w:rPr>
            </w:pPr>
          </w:p>
        </w:tc>
      </w:tr>
      <w:tr w:rsidR="00332539" w14:paraId="2305D95E" w14:textId="77777777">
        <w:tc>
          <w:tcPr>
            <w:tcW w:w="1980" w:type="dxa"/>
          </w:tcPr>
          <w:p w14:paraId="2305D95C" w14:textId="77777777" w:rsidR="00332539" w:rsidRDefault="00332539">
            <w:pPr>
              <w:jc w:val="both"/>
              <w:rPr>
                <w:rFonts w:eastAsia="Malgun Gothic"/>
                <w:lang w:eastAsia="ko-KR"/>
              </w:rPr>
            </w:pPr>
          </w:p>
        </w:tc>
        <w:tc>
          <w:tcPr>
            <w:tcW w:w="7651" w:type="dxa"/>
          </w:tcPr>
          <w:p w14:paraId="2305D95D" w14:textId="77777777" w:rsidR="00332539" w:rsidRDefault="00332539">
            <w:pPr>
              <w:jc w:val="both"/>
              <w:rPr>
                <w:lang w:eastAsia="zh-CN"/>
              </w:rPr>
            </w:pPr>
          </w:p>
        </w:tc>
      </w:tr>
      <w:tr w:rsidR="00332539" w14:paraId="2305D961" w14:textId="77777777">
        <w:tc>
          <w:tcPr>
            <w:tcW w:w="1980" w:type="dxa"/>
          </w:tcPr>
          <w:p w14:paraId="2305D95F" w14:textId="77777777" w:rsidR="00332539" w:rsidRDefault="00332539">
            <w:pPr>
              <w:jc w:val="both"/>
              <w:rPr>
                <w:rFonts w:eastAsia="Malgun Gothic"/>
                <w:lang w:eastAsia="ko-KR"/>
              </w:rPr>
            </w:pPr>
          </w:p>
        </w:tc>
        <w:tc>
          <w:tcPr>
            <w:tcW w:w="7651" w:type="dxa"/>
          </w:tcPr>
          <w:p w14:paraId="2305D960" w14:textId="77777777" w:rsidR="00332539" w:rsidRDefault="00332539">
            <w:pPr>
              <w:jc w:val="both"/>
              <w:rPr>
                <w:lang w:eastAsia="zh-CN"/>
              </w:rPr>
            </w:pPr>
          </w:p>
        </w:tc>
      </w:tr>
    </w:tbl>
    <w:p w14:paraId="2305D962" w14:textId="77777777" w:rsidR="00332539" w:rsidRDefault="00332539">
      <w:pPr>
        <w:jc w:val="both"/>
      </w:pPr>
    </w:p>
    <w:p w14:paraId="2305D963" w14:textId="77777777" w:rsidR="00332539" w:rsidRDefault="000F2FB1">
      <w:pPr>
        <w:pStyle w:val="Heading1"/>
        <w:jc w:val="both"/>
      </w:pPr>
      <w:r>
        <w:t>3</w:t>
      </w:r>
      <w:r>
        <w:tab/>
        <w:t>Conclusion</w:t>
      </w:r>
    </w:p>
    <w:p w14:paraId="2305D964" w14:textId="77777777" w:rsidR="00332539" w:rsidRDefault="000F2FB1">
      <w:pPr>
        <w:jc w:val="both"/>
      </w:pPr>
      <w:r>
        <w:t>The following proposals have been made in this document:</w:t>
      </w:r>
    </w:p>
    <w:p w14:paraId="2305D965" w14:textId="77777777" w:rsidR="00332539" w:rsidRDefault="000F2FB1">
      <w:pPr>
        <w:jc w:val="both"/>
        <w:rPr>
          <w:b/>
          <w:bCs/>
          <w:u w:val="single"/>
          <w:lang w:val="en-US" w:eastAsia="zh-CN"/>
        </w:rPr>
      </w:pPr>
      <w:bookmarkStart w:id="7" w:name="_Hlk86648014"/>
      <w:r>
        <w:rPr>
          <w:b/>
          <w:bCs/>
          <w:u w:val="single"/>
          <w:lang w:val="en-US" w:eastAsia="zh-CN"/>
        </w:rPr>
        <w:t>Proposals for agreement:</w:t>
      </w:r>
    </w:p>
    <w:p w14:paraId="2305D966" w14:textId="77777777" w:rsidR="00332539" w:rsidRDefault="000F2FB1">
      <w:pPr>
        <w:jc w:val="both"/>
        <w:rPr>
          <w:b/>
          <w:bCs/>
        </w:rPr>
      </w:pPr>
      <w:r>
        <w:rPr>
          <w:b/>
          <w:bCs/>
          <w:lang w:eastAsia="zh-CN"/>
        </w:rPr>
        <w:t xml:space="preserve">Proposal y: </w:t>
      </w:r>
    </w:p>
    <w:p w14:paraId="2305D967" w14:textId="77777777" w:rsidR="00332539" w:rsidRDefault="00332539">
      <w:pPr>
        <w:jc w:val="both"/>
        <w:rPr>
          <w:lang w:eastAsia="zh-CN"/>
        </w:rPr>
      </w:pPr>
    </w:p>
    <w:p w14:paraId="2305D968" w14:textId="77777777" w:rsidR="00332539" w:rsidRDefault="000F2FB1">
      <w:pPr>
        <w:jc w:val="both"/>
        <w:rPr>
          <w:b/>
          <w:bCs/>
          <w:u w:val="single"/>
          <w:lang w:val="en-US" w:eastAsia="zh-CN"/>
        </w:rPr>
      </w:pPr>
      <w:r>
        <w:rPr>
          <w:b/>
          <w:bCs/>
          <w:u w:val="single"/>
          <w:lang w:val="en-US" w:eastAsia="zh-CN"/>
        </w:rPr>
        <w:t>Proposals for discussion:</w:t>
      </w:r>
    </w:p>
    <w:p w14:paraId="2305D969" w14:textId="77777777" w:rsidR="00332539" w:rsidRDefault="000F2FB1">
      <w:pPr>
        <w:jc w:val="both"/>
        <w:rPr>
          <w:lang w:eastAsia="zh-CN"/>
        </w:rPr>
      </w:pPr>
      <w:r>
        <w:rPr>
          <w:b/>
          <w:bCs/>
          <w:lang w:eastAsia="zh-CN"/>
        </w:rPr>
        <w:t>Proposal x</w:t>
      </w:r>
    </w:p>
    <w:bookmarkEnd w:id="7"/>
    <w:p w14:paraId="2305D96A" w14:textId="77777777" w:rsidR="00332539" w:rsidRDefault="000F2FB1">
      <w:pPr>
        <w:pStyle w:val="Heading1"/>
        <w:jc w:val="both"/>
      </w:pPr>
      <w:r>
        <w:t>References</w:t>
      </w:r>
    </w:p>
    <w:p w14:paraId="2305D96B" w14:textId="77777777" w:rsidR="00332539" w:rsidRDefault="000F2FB1">
      <w:pPr>
        <w:pStyle w:val="Doc-title"/>
        <w:numPr>
          <w:ilvl w:val="0"/>
          <w:numId w:val="4"/>
        </w:numPr>
        <w:jc w:val="both"/>
        <w:rPr>
          <w:rFonts w:ascii="Times New Roman" w:hAnsi="Times New Roman"/>
        </w:rPr>
      </w:pPr>
      <w:bookmarkStart w:id="8" w:name="_Ref96095036"/>
      <w:r>
        <w:rPr>
          <w:rFonts w:ascii="Times New Roman" w:hAnsi="Times New Roman"/>
        </w:rPr>
        <w:t>R2-</w:t>
      </w:r>
      <w:bookmarkEnd w:id="8"/>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2305D96C" w14:textId="77777777" w:rsidR="00332539" w:rsidRDefault="000F2FB1">
      <w:pPr>
        <w:pStyle w:val="Doc-title"/>
        <w:numPr>
          <w:ilvl w:val="0"/>
          <w:numId w:val="4"/>
        </w:numPr>
        <w:jc w:val="both"/>
        <w:rPr>
          <w:rFonts w:ascii="Times New Roman" w:hAnsi="Times New Roman"/>
        </w:rPr>
      </w:pPr>
      <w:bookmarkStart w:id="9"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9"/>
    </w:p>
    <w:p w14:paraId="2305D96D" w14:textId="77777777" w:rsidR="00332539" w:rsidRDefault="000F2FB1">
      <w:pPr>
        <w:pStyle w:val="Doc-title"/>
        <w:numPr>
          <w:ilvl w:val="0"/>
          <w:numId w:val="4"/>
        </w:numPr>
        <w:jc w:val="both"/>
        <w:rPr>
          <w:rFonts w:ascii="Times New Roman" w:hAnsi="Times New Roman"/>
        </w:rPr>
      </w:pPr>
      <w:bookmarkStart w:id="10"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10"/>
    </w:p>
    <w:p w14:paraId="2305D96E" w14:textId="77777777" w:rsidR="00332539" w:rsidRDefault="000F2FB1">
      <w:pPr>
        <w:pStyle w:val="Doc-title"/>
        <w:numPr>
          <w:ilvl w:val="0"/>
          <w:numId w:val="4"/>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14:paraId="2305D96F" w14:textId="77777777" w:rsidR="00332539" w:rsidRDefault="000F2FB1">
      <w:pPr>
        <w:pStyle w:val="Doc-title"/>
        <w:numPr>
          <w:ilvl w:val="0"/>
          <w:numId w:val="4"/>
        </w:numPr>
        <w:jc w:val="both"/>
        <w:rPr>
          <w:rFonts w:ascii="Times New Roman" w:hAnsi="Times New Roman"/>
        </w:rPr>
      </w:pPr>
      <w:bookmarkStart w:id="11"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1"/>
    </w:p>
    <w:p w14:paraId="2305D970" w14:textId="77777777" w:rsidR="00332539" w:rsidRDefault="000F2FB1">
      <w:pPr>
        <w:pStyle w:val="Doc-title"/>
        <w:numPr>
          <w:ilvl w:val="0"/>
          <w:numId w:val="4"/>
        </w:numPr>
        <w:jc w:val="both"/>
        <w:rPr>
          <w:rFonts w:ascii="Times New Roman" w:hAnsi="Times New Roman"/>
        </w:rPr>
      </w:pPr>
      <w:bookmarkStart w:id="12"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2"/>
    </w:p>
    <w:p w14:paraId="2305D971" w14:textId="77777777" w:rsidR="00332539" w:rsidRDefault="000F2FB1">
      <w:pPr>
        <w:pStyle w:val="Doc-title"/>
        <w:numPr>
          <w:ilvl w:val="0"/>
          <w:numId w:val="4"/>
        </w:numPr>
        <w:jc w:val="both"/>
        <w:rPr>
          <w:rFonts w:ascii="Times New Roman" w:hAnsi="Times New Roman"/>
        </w:rPr>
      </w:pPr>
      <w:bookmarkStart w:id="13"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3"/>
      <w:r>
        <w:rPr>
          <w:rFonts w:ascii="Times New Roman" w:hAnsi="Times New Roman"/>
        </w:rPr>
        <w:tab/>
      </w:r>
    </w:p>
    <w:p w14:paraId="2305D972" w14:textId="77777777" w:rsidR="00332539" w:rsidRDefault="000F2FB1">
      <w:pPr>
        <w:pStyle w:val="Doc-title"/>
        <w:numPr>
          <w:ilvl w:val="0"/>
          <w:numId w:val="4"/>
        </w:numPr>
        <w:jc w:val="both"/>
        <w:rPr>
          <w:rFonts w:ascii="Times New Roman" w:hAnsi="Times New Roman"/>
        </w:rPr>
      </w:pPr>
      <w:bookmarkStart w:id="14"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4"/>
    </w:p>
    <w:p w14:paraId="2305D973" w14:textId="77777777" w:rsidR="00332539" w:rsidRDefault="000F2FB1">
      <w:pPr>
        <w:pStyle w:val="Doc-title"/>
        <w:numPr>
          <w:ilvl w:val="0"/>
          <w:numId w:val="4"/>
        </w:numPr>
        <w:jc w:val="both"/>
        <w:rPr>
          <w:rFonts w:ascii="Times New Roman" w:hAnsi="Times New Roman"/>
        </w:rPr>
      </w:pPr>
      <w:bookmarkStart w:id="15"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5"/>
      <w:r>
        <w:rPr>
          <w:rFonts w:ascii="Times New Roman" w:hAnsi="Times New Roman"/>
        </w:rPr>
        <w:tab/>
      </w:r>
    </w:p>
    <w:p w14:paraId="2305D974" w14:textId="77777777" w:rsidR="00332539" w:rsidRDefault="000F2FB1">
      <w:pPr>
        <w:pStyle w:val="Doc-title"/>
        <w:numPr>
          <w:ilvl w:val="0"/>
          <w:numId w:val="4"/>
        </w:numPr>
        <w:jc w:val="both"/>
        <w:rPr>
          <w:rFonts w:ascii="Times New Roman" w:hAnsi="Times New Roman"/>
        </w:rPr>
      </w:pPr>
      <w:bookmarkStart w:id="16"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6"/>
      <w:r>
        <w:rPr>
          <w:rFonts w:ascii="Times New Roman" w:hAnsi="Times New Roman"/>
        </w:rPr>
        <w:t xml:space="preserve"> </w:t>
      </w:r>
    </w:p>
    <w:p w14:paraId="2305D975" w14:textId="77777777" w:rsidR="00332539" w:rsidRDefault="000F2FB1">
      <w:pPr>
        <w:pStyle w:val="Doc-title"/>
        <w:numPr>
          <w:ilvl w:val="0"/>
          <w:numId w:val="4"/>
        </w:numPr>
        <w:jc w:val="both"/>
        <w:rPr>
          <w:rFonts w:ascii="Times New Roman" w:hAnsi="Times New Roman"/>
        </w:rPr>
      </w:pPr>
      <w:bookmarkStart w:id="17"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7"/>
    </w:p>
    <w:p w14:paraId="2305D976" w14:textId="77777777" w:rsidR="00332539" w:rsidRDefault="000F2FB1">
      <w:pPr>
        <w:pStyle w:val="Doc-title"/>
        <w:numPr>
          <w:ilvl w:val="0"/>
          <w:numId w:val="4"/>
        </w:numPr>
        <w:jc w:val="both"/>
        <w:rPr>
          <w:rFonts w:ascii="Times New Roman" w:hAnsi="Times New Roman"/>
        </w:rPr>
      </w:pPr>
      <w:bookmarkStart w:id="18" w:name="_Ref96095119"/>
      <w:r>
        <w:rPr>
          <w:rFonts w:ascii="Times New Roman" w:hAnsi="Times New Roman"/>
        </w:rPr>
        <w:lastRenderedPageBreak/>
        <w:t>R2-2203433</w:t>
      </w:r>
      <w:r>
        <w:rPr>
          <w:rFonts w:ascii="Times New Roman" w:hAnsi="Times New Roman"/>
        </w:rPr>
        <w:tab/>
        <w:t>UE procedures and signalling for CPAC</w:t>
      </w:r>
      <w:r>
        <w:rPr>
          <w:rFonts w:ascii="Times New Roman" w:hAnsi="Times New Roman"/>
        </w:rPr>
        <w:tab/>
        <w:t>Ericsson</w:t>
      </w:r>
      <w:bookmarkEnd w:id="18"/>
      <w:r>
        <w:rPr>
          <w:rFonts w:ascii="Times New Roman" w:hAnsi="Times New Roman"/>
        </w:rPr>
        <w:tab/>
      </w:r>
    </w:p>
    <w:p w14:paraId="2305D977" w14:textId="77777777" w:rsidR="00332539" w:rsidRDefault="000F2FB1">
      <w:pPr>
        <w:pStyle w:val="Doc-title"/>
        <w:numPr>
          <w:ilvl w:val="0"/>
          <w:numId w:val="4"/>
        </w:numPr>
        <w:jc w:val="both"/>
        <w:rPr>
          <w:rFonts w:ascii="Times New Roman" w:hAnsi="Times New Roman"/>
        </w:rPr>
      </w:pPr>
      <w:bookmarkStart w:id="19"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9"/>
      <w:r>
        <w:rPr>
          <w:rFonts w:ascii="Times New Roman" w:hAnsi="Times New Roman"/>
        </w:rPr>
        <w:tab/>
      </w:r>
    </w:p>
    <w:sectPr w:rsidR="00332539">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CATT" w:date="2022-02-23T15:14:00Z" w:initials="">
    <w:p w14:paraId="2305D978" w14:textId="77777777" w:rsidR="00332539" w:rsidRDefault="000F2FB1">
      <w:pPr>
        <w:pStyle w:val="CommentText"/>
        <w:rPr>
          <w:lang w:eastAsia="zh-CN"/>
        </w:rPr>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ZTE" w:date="2022-02-24T11:34:00Z" w:initials="ZMJ">
    <w:p w14:paraId="2305D979" w14:textId="77777777" w:rsidR="00332539" w:rsidRDefault="000F2FB1">
      <w:pPr>
        <w:pStyle w:val="CommentText"/>
      </w:pPr>
      <w:r>
        <w:rPr>
          <w:lang w:eastAsia="zh-CN"/>
        </w:rPr>
        <w:t>A</w:t>
      </w:r>
      <w:r>
        <w:rPr>
          <w:rFonts w:hint="eastAsia"/>
          <w:lang w:eastAsia="zh-CN"/>
        </w:rPr>
        <w:t xml:space="preserve">dding </w:t>
      </w:r>
      <w:r>
        <w:rPr>
          <w:rFonts w:hint="eastAsia"/>
          <w:lang w:val="en-US" w:eastAsia="zh-CN"/>
        </w:rPr>
        <w:t>ZTE</w:t>
      </w:r>
      <w:r>
        <w:rPr>
          <w:lang w:val="en-US" w:eastAsia="zh-CN"/>
        </w:rPr>
        <w:t>’</w:t>
      </w:r>
      <w:r>
        <w:rPr>
          <w:rFonts w:hint="eastAsia"/>
          <w:lang w:val="en-US" w:eastAsia="zh-CN"/>
        </w:rPr>
        <w:t>s</w:t>
      </w:r>
      <w:r>
        <w:rPr>
          <w:rFonts w:hint="eastAsia"/>
          <w:lang w:eastAsia="zh-CN"/>
        </w:rPr>
        <w:t xml:space="preserve"> contribution, we also discussed this topic in our contribution [</w:t>
      </w:r>
      <w:r>
        <w:rPr>
          <w:rFonts w:hint="eastAsia"/>
          <w:lang w:val="en-US" w:eastAsia="zh-CN"/>
        </w:rPr>
        <w:t>7</w:t>
      </w:r>
      <w:r>
        <w:rPr>
          <w:rFonts w:hint="eastAsia"/>
          <w:lang w:eastAsia="zh-CN"/>
        </w:rPr>
        <w:t xml:space="preserve">] </w:t>
      </w:r>
      <w:r>
        <w:rPr>
          <w:rFonts w:hint="eastAsia"/>
        </w:rPr>
        <w:t>R2-2202825</w:t>
      </w:r>
      <w:r>
        <w:rPr>
          <w:rFonts w:hint="eastAsia"/>
          <w:lang w:eastAsia="zh-CN"/>
        </w:rPr>
        <w:t>.</w:t>
      </w:r>
    </w:p>
  </w:comment>
  <w:comment w:id="5" w:author="CATT" w:date="2022-02-23T15:23:00Z" w:initials="">
    <w:p w14:paraId="2305D97A" w14:textId="77777777" w:rsidR="00332539" w:rsidRDefault="000F2FB1">
      <w:pPr>
        <w:pStyle w:val="CommentText"/>
      </w:pP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305D978" w15:done="0"/>
  <w15:commentEx w15:paraId="2305D979" w15:done="0"/>
  <w15:commentEx w15:paraId="2305D9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05D978" w16cid:durableId="25C1EFD3"/>
  <w16cid:commentId w16cid:paraId="2305D979" w16cid:durableId="25C1EFD4"/>
  <w16cid:commentId w16cid:paraId="2305D97A" w16cid:durableId="25C1EF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A5BA8" w14:textId="77777777" w:rsidR="00460C5D" w:rsidRDefault="00460C5D" w:rsidP="00887E5D">
      <w:pPr>
        <w:spacing w:after="0" w:line="240" w:lineRule="auto"/>
      </w:pPr>
      <w:r>
        <w:separator/>
      </w:r>
    </w:p>
  </w:endnote>
  <w:endnote w:type="continuationSeparator" w:id="0">
    <w:p w14:paraId="5377284A" w14:textId="77777777" w:rsidR="00460C5D" w:rsidRDefault="00460C5D" w:rsidP="00887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4A911" w14:textId="77777777" w:rsidR="00460C5D" w:rsidRDefault="00460C5D" w:rsidP="00887E5D">
      <w:pPr>
        <w:spacing w:after="0" w:line="240" w:lineRule="auto"/>
      </w:pPr>
      <w:r>
        <w:separator/>
      </w:r>
    </w:p>
  </w:footnote>
  <w:footnote w:type="continuationSeparator" w:id="0">
    <w:p w14:paraId="308EE5C9" w14:textId="77777777" w:rsidR="00460C5D" w:rsidRDefault="00460C5D" w:rsidP="00887E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354C3F"/>
    <w:multiLevelType w:val="multilevel"/>
    <w:tmpl w:val="2B354C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26019"/>
    <w:multiLevelType w:val="multilevel"/>
    <w:tmpl w:val="43F26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375C11"/>
    <w:multiLevelType w:val="multilevel"/>
    <w:tmpl w:val="60375C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2E57"/>
    <w:rsid w:val="00046170"/>
    <w:rsid w:val="000560FB"/>
    <w:rsid w:val="000F2FB1"/>
    <w:rsid w:val="00277A12"/>
    <w:rsid w:val="00332539"/>
    <w:rsid w:val="003734B1"/>
    <w:rsid w:val="00381248"/>
    <w:rsid w:val="00431667"/>
    <w:rsid w:val="0043190E"/>
    <w:rsid w:val="004352C0"/>
    <w:rsid w:val="004602F1"/>
    <w:rsid w:val="00460C5D"/>
    <w:rsid w:val="00467C4E"/>
    <w:rsid w:val="00771694"/>
    <w:rsid w:val="00782F8C"/>
    <w:rsid w:val="0080566E"/>
    <w:rsid w:val="00832E57"/>
    <w:rsid w:val="00887E5D"/>
    <w:rsid w:val="008C7152"/>
    <w:rsid w:val="00967256"/>
    <w:rsid w:val="00993B80"/>
    <w:rsid w:val="00A120DC"/>
    <w:rsid w:val="00BC0BD0"/>
    <w:rsid w:val="00BC5678"/>
    <w:rsid w:val="00D04CAE"/>
    <w:rsid w:val="00D62440"/>
    <w:rsid w:val="00EF3FA2"/>
    <w:rsid w:val="00FC2784"/>
    <w:rsid w:val="0F654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5D79B"/>
  <w15:docId w15:val="{483804FD-5EFC-4E74-B2FA-B034BF2B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pPr>
      <w:ind w:left="568" w:hanging="284"/>
    </w:pPr>
  </w:style>
  <w:style w:type="paragraph" w:customStyle="1" w:styleId="EditorsNote">
    <w:name w:val="Editor's Note"/>
    <w:basedOn w:val="NO"/>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Props1.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2.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DC58ED-6B59-426F-A124-45CA28DC69B5}">
  <ds:schemaRefs>
    <ds:schemaRef ds:uri="http://schemas.openxmlformats.org/officeDocument/2006/bibliography"/>
  </ds:schemaRefs>
</ds:datastoreItem>
</file>

<file path=customXml/itemProps7.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10</Pages>
  <Words>2694</Words>
  <Characters>15359</Characters>
  <Application>Microsoft Office Word</Application>
  <DocSecurity>0</DocSecurity>
  <Lines>127</Lines>
  <Paragraphs>36</Paragraphs>
  <ScaleCrop>false</ScaleCrop>
  <Company>Nokia</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MediaTek (Felix)</cp:lastModifiedBy>
  <cp:revision>20</cp:revision>
  <dcterms:created xsi:type="dcterms:W3CDTF">2022-02-23T09:50:00Z</dcterms:created>
  <dcterms:modified xsi:type="dcterms:W3CDTF">2022-02-24T07:28:00Z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y fmtid="{D5CDD505-2E9C-101B-9397-08002B2CF9AE}" pid="9" name="KSOProductBuildVer">
    <vt:lpwstr>2052-11.8.2.9022</vt:lpwstr>
  </property>
</Properties>
</file>