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3DD" w:rsidRDefault="00B062EA">
      <w:pPr>
        <w:pStyle w:val="a8"/>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6F33DD" w:rsidRDefault="00B062EA">
      <w:pPr>
        <w:pStyle w:val="a8"/>
        <w:tabs>
          <w:tab w:val="right" w:pos="9639"/>
        </w:tabs>
        <w:rPr>
          <w:bCs/>
          <w:sz w:val="24"/>
          <w:szCs w:val="24"/>
          <w:lang w:eastAsia="zh-CN"/>
        </w:rPr>
      </w:pPr>
      <w:r>
        <w:rPr>
          <w:bCs/>
          <w:sz w:val="24"/>
          <w:szCs w:val="24"/>
          <w:lang w:eastAsia="zh-CN"/>
        </w:rPr>
        <w:t>Online, 21 February – 03 March 2022</w:t>
      </w:r>
      <w:r>
        <w:rPr>
          <w:sz w:val="24"/>
          <w:szCs w:val="24"/>
          <w:lang w:eastAsia="zh-CN"/>
        </w:rPr>
        <w:tab/>
      </w:r>
    </w:p>
    <w:p w:rsidR="006F33DD" w:rsidRDefault="006F33DD">
      <w:pPr>
        <w:pStyle w:val="a8"/>
        <w:rPr>
          <w:bCs/>
          <w:sz w:val="24"/>
        </w:rPr>
      </w:pPr>
    </w:p>
    <w:p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[AT117-e][059][NR17] FR2 CA BW Classes and CBM (Nokia)</w:t>
      </w:r>
    </w:p>
    <w:p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6F33DD" w:rsidRDefault="00B062EA">
      <w:pPr>
        <w:pStyle w:val="1"/>
      </w:pPr>
      <w:r>
        <w:t>1</w:t>
      </w:r>
      <w:r>
        <w:tab/>
        <w:t>Introduction</w:t>
      </w:r>
    </w:p>
    <w:p w:rsidR="006F33DD" w:rsidRDefault="00B062EA">
      <w:r>
        <w:t>This document is the report of the following email discussion:</w:t>
      </w:r>
    </w:p>
    <w:p w:rsidR="006F33DD" w:rsidRDefault="00B062EA">
      <w:pPr>
        <w:pStyle w:val="EmailDiscussion"/>
      </w:pPr>
      <w:r>
        <w:t>[AT117-e][059][NR17] FR2 CA BW Classes and CBM (Nokia)</w:t>
      </w:r>
    </w:p>
    <w:p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rsidR="006F33DD" w:rsidRDefault="00B062EA">
      <w:pPr>
        <w:pStyle w:val="EmailDiscussion2"/>
      </w:pPr>
      <w:r>
        <w:tab/>
        <w:t>Intended outcome: Report, Agreed CRs (CRs with certain early impl. character need to be separate CRs), Approved LS out</w:t>
      </w:r>
    </w:p>
    <w:p w:rsidR="006F33DD" w:rsidRDefault="00B062EA">
      <w:pPr>
        <w:pStyle w:val="EmailDiscussion2"/>
      </w:pPr>
      <w:r>
        <w:tab/>
        <w:t>Deadline: Schedule 1</w:t>
      </w:r>
    </w:p>
    <w:p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rsidR="006F33DD" w:rsidRDefault="00B062EA">
      <w:pPr>
        <w:pStyle w:val="Comments"/>
      </w:pPr>
      <w:r>
        <w:t>Offline</w:t>
      </w:r>
    </w:p>
    <w:p w:rsidR="006F33DD" w:rsidRDefault="00B062EA">
      <w:pPr>
        <w:pStyle w:val="EmailDiscussion"/>
      </w:pPr>
      <w:bookmarkStart w:id="0" w:name="_Hlk96306894"/>
      <w:r>
        <w:t>[AT117-e][059][NR17] FR2 CA BW Classes and CBM (Nokia)</w:t>
      </w:r>
    </w:p>
    <w:p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rsidR="006F33DD" w:rsidRDefault="00B062EA">
      <w:pPr>
        <w:pStyle w:val="EmailDiscussion2"/>
      </w:pPr>
      <w:r>
        <w:tab/>
        <w:t>Intended outcome: Report, Agreed CRs (CRs with certain early impl. character need to be separate CRs), Approved LS out</w:t>
      </w:r>
    </w:p>
    <w:p w:rsidR="006F33DD" w:rsidRDefault="00B062EA">
      <w:pPr>
        <w:pStyle w:val="EmailDiscussion2"/>
      </w:pPr>
      <w:r>
        <w:tab/>
        <w:t>Deadline: Schedule 1</w:t>
      </w:r>
    </w:p>
    <w:bookmarkEnd w:id="0"/>
    <w:p w:rsidR="006F33DD" w:rsidRDefault="006F33DD">
      <w:pPr>
        <w:pStyle w:val="EmailDiscussion2"/>
        <w:ind w:left="0" w:firstLine="0"/>
      </w:pPr>
    </w:p>
    <w:p w:rsidR="006F33DD" w:rsidRDefault="00B062EA">
      <w:pPr>
        <w:rPr>
          <w:b/>
          <w:bCs/>
          <w:lang w:eastAsia="en-GB"/>
        </w:rPr>
      </w:pPr>
      <w:r>
        <w:rPr>
          <w:b/>
          <w:bCs/>
        </w:rPr>
        <w:t>Topic 1: FR2 CA BW Classes</w:t>
      </w:r>
    </w:p>
    <w:p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t>To:RAN4</w:t>
      </w:r>
    </w:p>
    <w:p w:rsidR="006F33DD" w:rsidRDefault="00B062EA">
      <w:pPr>
        <w:pStyle w:val="Doc-title"/>
      </w:pPr>
      <w:r>
        <w:t>[2] R2-2202904</w:t>
      </w:r>
      <w:r>
        <w:tab/>
        <w:t>Consideration on the FR2 CA bandwidth classes</w:t>
      </w:r>
      <w:r>
        <w:tab/>
        <w:t>ZTE Corporation, Sanechips</w:t>
      </w:r>
      <w:r>
        <w:tab/>
        <w:t>discussion</w:t>
      </w:r>
      <w:r>
        <w:tab/>
        <w:t>Rel-17</w:t>
      </w:r>
      <w:r>
        <w:tab/>
        <w:t>NR_RF_FR2_req_enh2-Core</w:t>
      </w:r>
    </w:p>
    <w:p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rsidR="006F33DD" w:rsidRDefault="00B062EA">
      <w:pPr>
        <w:pStyle w:val="Doc-title"/>
      </w:pPr>
      <w:r>
        <w:t>[4] R2-2203024</w:t>
      </w:r>
      <w:r>
        <w:tab/>
        <w:t>Discussion on FR2 new bandwidth class</w:t>
      </w:r>
      <w:r>
        <w:tab/>
        <w:t>Huawei, HiSilicon</w:t>
      </w:r>
      <w:r>
        <w:tab/>
        <w:t>discussion</w:t>
      </w:r>
      <w:r>
        <w:tab/>
        <w:t>Rel-17</w:t>
      </w:r>
      <w:r>
        <w:tab/>
        <w:t>NR_RF_FR2_req_enh2-Core</w:t>
      </w:r>
    </w:p>
    <w:p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rsidR="006F33DD" w:rsidRDefault="00B062EA">
      <w:pPr>
        <w:pStyle w:val="Doc-title"/>
      </w:pPr>
      <w:r>
        <w:lastRenderedPageBreak/>
        <w:t>[8] 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rsidR="006F33DD" w:rsidRDefault="00B062EA">
      <w:pPr>
        <w:pStyle w:val="Doc-title"/>
      </w:pPr>
      <w:r>
        <w:t>[9] 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rsidR="006F33DD" w:rsidRDefault="00B062EA">
      <w:pPr>
        <w:pStyle w:val="Doc-title"/>
      </w:pPr>
      <w:r>
        <w:t>[12] R2-2203493</w:t>
      </w:r>
      <w:r>
        <w:tab/>
        <w:t>Introduction of new FR2 CA bandwidth classes</w:t>
      </w:r>
      <w:r>
        <w:tab/>
        <w:t>Huawei, HiSilicon</w:t>
      </w:r>
      <w:r>
        <w:tab/>
        <w:t>draftCR</w:t>
      </w:r>
      <w:r>
        <w:tab/>
        <w:t>Rel-17</w:t>
      </w:r>
      <w:r>
        <w:tab/>
        <w:t>38.331</w:t>
      </w:r>
      <w:r>
        <w:tab/>
        <w:t>16.7.0</w:t>
      </w:r>
      <w:r>
        <w:tab/>
        <w:t>B</w:t>
      </w:r>
      <w:r>
        <w:tab/>
        <w:t>NR_RF_FR2_req_enh2-Core</w:t>
      </w:r>
    </w:p>
    <w:p w:rsidR="006F33DD" w:rsidRDefault="00B062EA">
      <w:pPr>
        <w:pStyle w:val="Doc-title"/>
      </w:pPr>
      <w:r>
        <w:t>[13] R2-2203494</w:t>
      </w:r>
      <w:r>
        <w:tab/>
        <w:t>Introduction of new FR2 CA bandwidth classes</w:t>
      </w:r>
      <w:r>
        <w:tab/>
        <w:t>Huawei, HiSilicon</w:t>
      </w:r>
      <w:r>
        <w:tab/>
        <w:t>draftCR</w:t>
      </w:r>
      <w:r>
        <w:tab/>
        <w:t>Rel-17</w:t>
      </w:r>
      <w:r>
        <w:tab/>
        <w:t>38.306</w:t>
      </w:r>
      <w:r>
        <w:tab/>
        <w:t>16.7.0</w:t>
      </w:r>
      <w:r>
        <w:tab/>
        <w:t>B</w:t>
      </w:r>
      <w:r>
        <w:tab/>
        <w:t>NR_RF_FR2_req_enh2-Core</w:t>
      </w:r>
    </w:p>
    <w:p w:rsidR="006F33DD" w:rsidRDefault="00B062EA">
      <w:pPr>
        <w:rPr>
          <w:b/>
          <w:bCs/>
          <w:lang w:eastAsia="en-GB"/>
        </w:rPr>
      </w:pPr>
      <w:r>
        <w:rPr>
          <w:b/>
          <w:bCs/>
        </w:rPr>
        <w:t>Topic 2: CBM/IBM reporting</w:t>
      </w:r>
    </w:p>
    <w:p w:rsidR="006F33DD" w:rsidRDefault="00B062EA">
      <w:pPr>
        <w:pStyle w:val="Doc-title"/>
      </w:pPr>
      <w:r>
        <w:t>[5] R2-2202905</w:t>
      </w:r>
      <w:r>
        <w:tab/>
        <w:t>Consideration on the CBM/IBM reporting</w:t>
      </w:r>
      <w:r>
        <w:tab/>
        <w:t>ZTE Corporation, Sanechips</w:t>
      </w:r>
      <w:r>
        <w:tab/>
        <w:t>discussion</w:t>
      </w:r>
      <w:r>
        <w:tab/>
        <w:t>Rel-17</w:t>
      </w:r>
      <w:r>
        <w:tab/>
        <w:t>NR_RF_FR2_req_enh2-Core</w:t>
      </w:r>
    </w:p>
    <w:p w:rsidR="006F33DD" w:rsidRDefault="00B062EA">
      <w:pPr>
        <w:pStyle w:val="Doc-title"/>
      </w:pPr>
      <w:r>
        <w:t>[10] 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rsidR="006F33DD" w:rsidRDefault="00B062EA">
      <w:pPr>
        <w:pStyle w:val="Doc-title"/>
      </w:pPr>
      <w:r>
        <w:t>[11] 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rsidR="006F33DD" w:rsidRDefault="00B062EA">
      <w:pPr>
        <w:pStyle w:val="1"/>
      </w:pPr>
      <w:r>
        <w:t>2</w:t>
      </w:r>
      <w:r>
        <w:tab/>
        <w:t>Contact Points</w:t>
      </w:r>
    </w:p>
    <w:p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amaanat.ali@nokia.com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shatong3@hisilicon.com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E976B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6F33DD" w:rsidRDefault="00E976B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rsidR="006F33DD" w:rsidRDefault="00E976B3">
            <w:pPr>
              <w:pStyle w:val="TAC"/>
              <w:spacing w:before="20" w:after="20"/>
              <w:ind w:left="57" w:right="57"/>
              <w:jc w:val="left"/>
              <w:rPr>
                <w:lang w:eastAsia="zh-CN"/>
              </w:rPr>
            </w:pPr>
            <w:r>
              <w:rPr>
                <w:rFonts w:hint="eastAsia"/>
                <w:lang w:eastAsia="zh-CN"/>
              </w:rPr>
              <w:t>q</w:t>
            </w:r>
            <w:r>
              <w:rPr>
                <w:lang w:eastAsia="zh-CN"/>
              </w:rPr>
              <w:t>ianxi.lu@oppo.com</w:t>
            </w:r>
            <w:bookmarkStart w:id="1" w:name="_GoBack"/>
            <w:bookmarkEnd w:id="1"/>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pPr>
        <w:pStyle w:val="1"/>
      </w:pPr>
      <w:r>
        <w:t>3</w:t>
      </w:r>
      <w:r>
        <w:tab/>
        <w:t>Discussion</w:t>
      </w:r>
    </w:p>
    <w:p w:rsidR="006F33DD" w:rsidRDefault="00B062EA">
      <w:r>
        <w:t>The rapporteur proposes to continue the discussion from the previous meeting. To summarize the way forward from last meeting.</w:t>
      </w:r>
    </w:p>
    <w:tbl>
      <w:tblPr>
        <w:tblStyle w:val="aa"/>
        <w:tblW w:w="0" w:type="auto"/>
        <w:tblLook w:val="04A0" w:firstRow="1" w:lastRow="0" w:firstColumn="1" w:lastColumn="0" w:noHBand="0" w:noVBand="1"/>
      </w:tblPr>
      <w:tblGrid>
        <w:gridCol w:w="9631"/>
      </w:tblGrid>
      <w:tr w:rsidR="006F33DD">
        <w:tc>
          <w:tcPr>
            <w:tcW w:w="9631" w:type="dxa"/>
          </w:tcPr>
          <w:p w:rsidR="006F33DD" w:rsidRDefault="00B54EEC">
            <w:pPr>
              <w:pStyle w:val="Doc-title"/>
              <w:rPr>
                <w:lang w:eastAsia="en-US"/>
              </w:rPr>
            </w:pPr>
            <w:hyperlink r:id="rId13" w:tooltip="D:Documents3GPPtsg_ranWG2TSGR2_116bis-eDocsR2-2201928.zip" w:history="1">
              <w:r w:rsidR="00B062EA">
                <w:rPr>
                  <w:rStyle w:val="ab"/>
                  <w:lang w:eastAsia="en-US"/>
                </w:rPr>
                <w:t>R2-2201928</w:t>
              </w:r>
            </w:hyperlink>
            <w:r w:rsidR="00B062EA">
              <w:rPr>
                <w:lang w:eastAsia="en-US"/>
              </w:rPr>
              <w:tab/>
              <w:t>Offline 037 on FR2 CA BW class</w:t>
            </w:r>
            <w:r w:rsidR="00B062EA">
              <w:rPr>
                <w:lang w:eastAsia="en-US"/>
              </w:rPr>
              <w:tab/>
            </w:r>
            <w:r w:rsidR="00B062EA">
              <w:rPr>
                <w:lang w:eastAsia="en-US"/>
              </w:rPr>
              <w:tab/>
              <w:t>Nokia</w:t>
            </w:r>
          </w:p>
          <w:p w:rsidR="006F33DD" w:rsidRDefault="00B062EA">
            <w:pPr>
              <w:pStyle w:val="Agreement"/>
              <w:rPr>
                <w:lang w:eastAsia="en-US"/>
              </w:rPr>
            </w:pPr>
            <w:r>
              <w:rPr>
                <w:lang w:eastAsia="en-US"/>
              </w:rPr>
              <w:t>[037] Noted, reflected below</w:t>
            </w:r>
          </w:p>
          <w:p w:rsidR="006F33DD" w:rsidRDefault="006F33DD">
            <w:pPr>
              <w:pStyle w:val="Doc-text2"/>
              <w:rPr>
                <w:lang w:eastAsia="en-US"/>
              </w:rPr>
            </w:pPr>
          </w:p>
          <w:p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rsidR="006F33DD" w:rsidRDefault="00B062EA">
            <w:pPr>
              <w:pStyle w:val="Agreement"/>
              <w:rPr>
                <w:lang w:val="en-US"/>
              </w:rPr>
            </w:pPr>
            <w:r>
              <w:lastRenderedPageBreak/>
              <w:t>[037] FFS if RAN2 aims to harmonize solution to also include  “dual bandwidth class across FBG” which is under discussion in RAN4</w:t>
            </w:r>
          </w:p>
          <w:p w:rsidR="006F33DD" w:rsidRDefault="00B062EA">
            <w:pPr>
              <w:pStyle w:val="Agreement"/>
            </w:pPr>
            <w:r>
              <w:t>[037] Introduce CBM-only capability from Rel-17 (allowing early implementation from Rel-16) and dummify CBM enumeration from Rel-16 capability</w:t>
            </w:r>
          </w:p>
          <w:p w:rsidR="006F33DD" w:rsidRDefault="00B062EA">
            <w:pPr>
              <w:pStyle w:val="Agreement"/>
            </w:pPr>
            <w:r>
              <w:t>[037] FFS if IBM/CBM capability apply to DL and/or UL</w:t>
            </w:r>
          </w:p>
        </w:tc>
      </w:tr>
    </w:tbl>
    <w:p w:rsidR="006F33DD" w:rsidRDefault="006F33DD"/>
    <w:p w:rsidR="006F33DD" w:rsidRDefault="00B062EA">
      <w:r>
        <w:rPr>
          <w:b/>
          <w:bCs/>
          <w:highlight w:val="cyan"/>
        </w:rPr>
        <w:t>Topic 1: FR2 CA BW Classes</w:t>
      </w:r>
    </w:p>
    <w:p w:rsidR="006F33DD" w:rsidRDefault="00B062EA">
      <w:r>
        <w:t>First some views from different companies:</w:t>
      </w:r>
    </w:p>
    <w:p w:rsidR="006F33DD" w:rsidRDefault="00B062EA">
      <w:r>
        <w:t>Listing the proposals from [2]</w:t>
      </w:r>
    </w:p>
    <w:p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rsidR="006F33DD" w:rsidRDefault="00B062EA">
      <w:pPr>
        <w:rPr>
          <w:b/>
        </w:rPr>
      </w:pPr>
      <w:r>
        <w:rPr>
          <w:rFonts w:hint="eastAsia"/>
          <w:b/>
          <w:bCs/>
        </w:rPr>
        <w:t xml:space="preserve">Proposal </w:t>
      </w:r>
      <w:r>
        <w:rPr>
          <w:b/>
          <w:bCs/>
        </w:rPr>
        <w:t>3</w:t>
      </w:r>
      <w:r>
        <w:rPr>
          <w:rFonts w:hint="eastAsia"/>
          <w:b/>
          <w:bCs/>
        </w:rPr>
        <w:t xml:space="preserve">: Do not extend the </w:t>
      </w:r>
      <w:r>
        <w:rPr>
          <w:b/>
          <w:bCs/>
        </w:rPr>
        <w:t>Aggregatedbandwidth</w:t>
      </w:r>
      <w:r>
        <w:rPr>
          <w:rFonts w:hint="eastAsia"/>
          <w:b/>
          <w:bCs/>
        </w:rPr>
        <w:t xml:space="preserve"> </w:t>
      </w:r>
      <w:r>
        <w:rPr>
          <w:b/>
        </w:rPr>
        <w:t>(maxBandwidthRequestedDL/UL)</w:t>
      </w:r>
      <w:r>
        <w:rPr>
          <w:rFonts w:hint="eastAsia"/>
          <w:b/>
        </w:rPr>
        <w:t xml:space="preserve">, the network can set the </w:t>
      </w:r>
      <w:r>
        <w:rPr>
          <w:b/>
        </w:rPr>
        <w:t>maxBandwidthRequestedDL</w:t>
      </w:r>
      <w:r>
        <w:rPr>
          <w:rFonts w:hint="eastAsia"/>
          <w:b/>
        </w:rPr>
        <w:t xml:space="preserve">/UL as absent and meanwhile limit the </w:t>
      </w:r>
      <w:r>
        <w:rPr>
          <w:b/>
        </w:rPr>
        <w:t>maxCarriersRequestedDL</w:t>
      </w:r>
      <w:r>
        <w:rPr>
          <w:rFonts w:hint="eastAsia"/>
          <w:b/>
        </w:rPr>
        <w:t>/</w:t>
      </w:r>
      <w:r>
        <w:rPr>
          <w:b/>
        </w:rPr>
        <w:t xml:space="preserve"> maxCarriersRequestedUL</w:t>
      </w:r>
      <w:r>
        <w:rPr>
          <w:rFonts w:hint="eastAsia"/>
          <w:b/>
        </w:rPr>
        <w:t xml:space="preserve"> to achieve </w:t>
      </w:r>
      <w:r>
        <w:rPr>
          <w:b/>
        </w:rPr>
        <w:t>the</w:t>
      </w:r>
      <w:r>
        <w:rPr>
          <w:rFonts w:hint="eastAsia"/>
          <w:b/>
        </w:rPr>
        <w:t xml:space="preserve"> </w:t>
      </w:r>
      <w:r>
        <w:rPr>
          <w:b/>
        </w:rPr>
        <w:t>similar result.</w:t>
      </w:r>
    </w:p>
    <w:p w:rsidR="006F33DD" w:rsidRDefault="00B062EA">
      <w:r>
        <w:t>Listing the proposals from [3]</w:t>
      </w:r>
    </w:p>
    <w:p w:rsidR="006F33DD" w:rsidRDefault="00B062EA">
      <w:pPr>
        <w:rPr>
          <w:rFonts w:eastAsia="Malgun Gothic"/>
          <w:b/>
          <w:lang w:eastAsia="ko-KR"/>
        </w:rPr>
      </w:pPr>
      <w:r>
        <w:rPr>
          <w:rFonts w:cs="Arial"/>
          <w:b/>
          <w:bCs/>
        </w:rPr>
        <w:t>Proposal 1: When the UE indicates a new bandwidth class (i.e. R, S, T, U), the UE shall also indicate bandwidth class F.</w:t>
      </w:r>
    </w:p>
    <w:p w:rsidR="006F33DD" w:rsidRDefault="00B062E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rsidR="006F33DD" w:rsidRDefault="00B062EA">
      <w:pPr>
        <w:rPr>
          <w:rFonts w:cs="Arial"/>
          <w:b/>
          <w:bCs/>
        </w:rPr>
      </w:pPr>
      <w:r>
        <w:rPr>
          <w:rFonts w:cs="Arial"/>
          <w:b/>
          <w:bCs/>
        </w:rPr>
        <w:t>Proposal 3: The indication of the new bandwidth classes (i.e. R, S, T, U) is allowed for early implementation from Rel-15.</w:t>
      </w:r>
    </w:p>
    <w:p w:rsidR="006F33DD" w:rsidRDefault="00B062EA">
      <w:r>
        <w:t>Listing the proposals from [4]</w:t>
      </w:r>
    </w:p>
    <w:p w:rsidR="006F33DD" w:rsidRDefault="00B062EA">
      <w:pPr>
        <w:rPr>
          <w:rFonts w:eastAsiaTheme="minorEastAsia"/>
          <w:b/>
          <w:lang w:eastAsia="zh-CN"/>
        </w:rPr>
      </w:pPr>
      <w:r>
        <w:rPr>
          <w:rFonts w:eastAsiaTheme="minorEastAsia"/>
          <w:b/>
          <w:lang w:eastAsia="zh-CN"/>
        </w:rPr>
        <w:t>Proposal 1: To ensure backward compatibility, it is suggested to consider select one of the solution below:</w:t>
      </w:r>
    </w:p>
    <w:p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rsidR="006F33DD" w:rsidRDefault="00B062EA">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rsidR="006F33DD" w:rsidRDefault="00B062EA">
      <w:pPr>
        <w:pStyle w:val="ac"/>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rsidR="006F33DD" w:rsidRDefault="00B062EA">
      <w:pPr>
        <w:pStyle w:val="ac"/>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rsidR="006F33DD" w:rsidRDefault="00B062EA">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lastRenderedPageBreak/>
              <w:t>Answers to Question 1</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I</w:t>
            </w:r>
            <w:r>
              <w:rPr>
                <w:lang w:eastAsia="ja-JP"/>
              </w:rPr>
              <w:t>t should be clarified that the UE shall include at least as many FeatureSetDownlinkPerCC in a feature set according to the new ca-BandwidthClassDL-r17. See ZTE document in R2-2202904.</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rsidR="006F33DD" w:rsidRDefault="000D7B24">
            <w:pPr>
              <w:pStyle w:val="TAC"/>
              <w:spacing w:before="20" w:after="20"/>
              <w:ind w:left="57" w:right="57"/>
              <w:jc w:val="left"/>
              <w:rPr>
                <w:lang w:eastAsia="zh-CN"/>
              </w:rPr>
            </w:pPr>
            <w:r>
              <w:rPr>
                <w:rFonts w:hint="eastAsia"/>
                <w:lang w:eastAsia="zh-CN"/>
              </w:rPr>
              <w:t>A</w:t>
            </w:r>
            <w:r>
              <w:rPr>
                <w:lang w:eastAsia="zh-CN"/>
              </w:rPr>
              <w:t>lthough we fine with the intention to use separate field for old/new gNB who does not know / does know the new BWC.</w:t>
            </w:r>
          </w:p>
          <w:p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r w:rsidR="004D6B95">
              <w:rPr>
                <w:lang w:eastAsia="zh-CN"/>
              </w:rPr>
              <w:t>is a bit confusing</w:t>
            </w:r>
            <w:r>
              <w:rPr>
                <w:lang w:eastAsia="zh-CN"/>
              </w:rPr>
              <w:t xml:space="preserve"> “</w:t>
            </w:r>
            <w:r w:rsidR="004D6B95">
              <w:rPr>
                <w:b/>
                <w:bCs/>
                <w:i/>
                <w:iCs/>
              </w:rPr>
              <w:t xml:space="preserve">A </w:t>
            </w:r>
            <w:r w:rsidR="004D6B95">
              <w:rPr>
                <w:rFonts w:cs="Arial"/>
                <w:b/>
                <w:bCs/>
                <w:i/>
                <w:iCs/>
              </w:rPr>
              <w:t xml:space="preserve">UE that indicates a new bandwidth class (i.e.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rsidR="004D6B95" w:rsidRDefault="004D6B95" w:rsidP="004D6B95">
            <w:pPr>
              <w:pStyle w:val="TAC"/>
              <w:numPr>
                <w:ilvl w:val="0"/>
                <w:numId w:val="6"/>
              </w:numPr>
              <w:spacing w:before="20" w:after="20"/>
              <w:ind w:right="57"/>
              <w:jc w:val="left"/>
              <w:rPr>
                <w:lang w:eastAsia="zh-CN"/>
              </w:rPr>
            </w:pPr>
            <w:r>
              <w:rPr>
                <w:lang w:eastAsia="zh-CN"/>
              </w:rPr>
              <w:t>If UE support a BC of band x and band y, e.g., xU-yU, the UE must support the BC of xF-yF</w:t>
            </w:r>
          </w:p>
          <w:p w:rsidR="004D6B95" w:rsidRDefault="004D6B95" w:rsidP="004D6B95">
            <w:pPr>
              <w:pStyle w:val="TAC"/>
              <w:numPr>
                <w:ilvl w:val="0"/>
                <w:numId w:val="6"/>
              </w:numPr>
              <w:spacing w:before="20" w:after="20"/>
              <w:ind w:right="57"/>
              <w:jc w:val="left"/>
              <w:rPr>
                <w:lang w:eastAsia="zh-CN"/>
              </w:rPr>
            </w:pPr>
            <w:r>
              <w:rPr>
                <w:lang w:eastAsia="zh-CN"/>
              </w:rPr>
              <w:t>If UE support a BC of band x and band y, e.g., xU-yU, and if BC of xF-yF is a fallback BC of xU-yU, UE report the old BWC of F</w:t>
            </w:r>
          </w:p>
          <w:p w:rsidR="004D6B95" w:rsidRDefault="004D6B95" w:rsidP="004D6B95">
            <w:pPr>
              <w:pStyle w:val="TAC"/>
              <w:spacing w:before="20" w:after="20"/>
              <w:ind w:left="57" w:right="57"/>
              <w:jc w:val="left"/>
              <w:rPr>
                <w:lang w:eastAsia="zh-CN"/>
              </w:rPr>
            </w:pPr>
            <w:r>
              <w:rPr>
                <w:lang w:eastAsia="zh-CN"/>
              </w:rPr>
              <w:t>There is a difference between 1 and 2 since currently UE does not necessarily support 1 (R2 previously discussed this, i.e., we understand a BC with lower BWC does not necessarily to be a fallback of a BC with higher BWC)</w:t>
            </w:r>
            <w:r>
              <w:rPr>
                <w:rFonts w:hint="eastAsia"/>
                <w:lang w:eastAsia="zh-CN"/>
              </w:rPr>
              <w:t>.</w:t>
            </w:r>
            <w:r>
              <w:rPr>
                <w:lang w:eastAsia="zh-CN"/>
              </w:rPr>
              <w:t xml:space="preserve"> So the Q1 is only fine if the interpretation-2 is the thinking behind.</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1</w:t>
      </w:r>
      <w:r>
        <w:t>: TBD.</w:t>
      </w:r>
    </w:p>
    <w:p w:rsidR="006F33DD" w:rsidRDefault="00B062EA">
      <w:r>
        <w:rPr>
          <w:b/>
          <w:bCs/>
        </w:rPr>
        <w:t>Proposal 1</w:t>
      </w:r>
      <w:r>
        <w:t>: TBD.</w:t>
      </w:r>
    </w:p>
    <w:p w:rsidR="006F33DD" w:rsidRDefault="00B062EA">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rsidR="006F33DD" w:rsidRDefault="00B062EA">
      <w:pPr>
        <w:rPr>
          <w:b/>
          <w:bCs/>
        </w:rPr>
      </w:pPr>
      <w:r>
        <w:rPr>
          <w:b/>
          <w:bCs/>
        </w:rPr>
        <w:t>Question 2: From a network perspective is it sufficient to just use the maxCarriersRequestedDL/ maxCarriersRequestedUL to enable UE to report the new bandwidth class (i.e. no further updates to Aggregatedbandwidth (maxBandwidthRequestedDL/UL))?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r>
              <w:rPr>
                <w:b/>
                <w:bCs/>
                <w:i/>
                <w:iCs/>
              </w:rPr>
              <w:t xml:space="preserve">Aggregatedbandwidth </w:t>
            </w:r>
            <w:r>
              <w:t xml:space="preserve">part of the filter as this is one possible network implementation and we would propose not to rule this out. </w:t>
            </w:r>
          </w:p>
          <w:p w:rsidR="006F33DD" w:rsidRDefault="00B062EA">
            <w:pPr>
              <w:pStyle w:val="TAC"/>
              <w:numPr>
                <w:ilvl w:val="1"/>
                <w:numId w:val="3"/>
              </w:numPr>
              <w:spacing w:before="20" w:after="20"/>
              <w:ind w:right="57"/>
              <w:jc w:val="left"/>
            </w:pPr>
            <w:r>
              <w:t>So we request RAN2 to update the maximum bandwidth in accordance to the RAN4 table so as to support the new bandwidth classes.</w:t>
            </w:r>
          </w:p>
          <w:p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AggregatedBandwidth filter should be extended to support the new bandwidth classes, and how to use the filter is up to network.  </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 xml:space="preserve">maxCarriersRequestedDL/UL has the benefit that it is comprehensible by legacy UE. </w:t>
            </w:r>
          </w:p>
          <w:p w:rsidR="006F33DD" w:rsidRDefault="00B062EA">
            <w:pPr>
              <w:pStyle w:val="TAC"/>
              <w:spacing w:before="20" w:after="20"/>
              <w:ind w:left="57" w:right="57"/>
              <w:jc w:val="left"/>
              <w:rPr>
                <w:lang w:eastAsia="zh-CN"/>
              </w:rPr>
            </w:pPr>
            <w:r>
              <w:rPr>
                <w:lang w:eastAsia="zh-CN"/>
              </w:rPr>
              <w:t>Extension of Aggregatedbandwidth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We think the key issue is whether we need to extend the Aggregatedbandwidth in the UE capability filter or just use the maxCarriersRequestedDL/ maxCarriersRequestedUL to achieve the similar result. </w:t>
            </w:r>
          </w:p>
          <w:p w:rsidR="006F33DD" w:rsidRDefault="006F33DD">
            <w:pPr>
              <w:pStyle w:val="Doc-text2"/>
              <w:ind w:left="0" w:firstLine="0"/>
              <w:rPr>
                <w:rFonts w:eastAsia="宋体"/>
                <w:color w:val="0070C0"/>
                <w:lang w:val="en-US" w:eastAsia="zh-CN"/>
              </w:rPr>
            </w:pPr>
          </w:p>
          <w:p w:rsidR="006F33DD" w:rsidRDefault="00B062EA">
            <w:pPr>
              <w:pStyle w:val="Doc-text2"/>
              <w:ind w:left="0" w:firstLine="0"/>
              <w:rPr>
                <w:rFonts w:eastAsia="宋体"/>
                <w:color w:val="0070C0"/>
                <w:lang w:val="en-US" w:eastAsia="zh-CN"/>
              </w:rPr>
            </w:pPr>
            <w:r>
              <w:rPr>
                <w:rFonts w:eastAsia="宋体" w:hint="eastAsia"/>
                <w:color w:val="0070C0"/>
                <w:lang w:val="en-US" w:eastAsia="zh-CN"/>
              </w:rPr>
              <w:t>In the last meeting, we raised the question about whether to extend the Aggregatedbandwidth in the UE capability filter for that the legacy maximum Aggregatedbandwidth is 800M (and absence of Aggregatedbandwidth  means 1200M ) , while the Aggregatedbandwidth  of  R/S/T/U are larger than it (e.g. 1000M/1200M/1400M/1600M). However after further thinking, we also find that there are several issues  to be solved if we extend the Aggregatedbandwidth in the UE capability filter:</w:t>
            </w:r>
          </w:p>
          <w:p w:rsidR="006F33DD" w:rsidRDefault="006F33DD">
            <w:pPr>
              <w:pStyle w:val="Doc-text2"/>
              <w:ind w:left="0" w:firstLine="0"/>
              <w:rPr>
                <w:rFonts w:eastAsia="宋体"/>
                <w:color w:val="0070C0"/>
                <w:lang w:val="en-US" w:eastAsia="zh-CN"/>
              </w:rPr>
            </w:pPr>
          </w:p>
          <w:p w:rsidR="006F33DD" w:rsidRDefault="006F33DD">
            <w:pPr>
              <w:pStyle w:val="Doc-text2"/>
              <w:ind w:left="0" w:firstLine="0"/>
              <w:rPr>
                <w:color w:val="0070C0"/>
              </w:rPr>
            </w:pPr>
          </w:p>
          <w:p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Modification to the UE capability reporting procedure to include newly added aggregated bandwidth</w:t>
            </w:r>
          </w:p>
          <w:p w:rsidR="006F33DD" w:rsidRDefault="006F33DD">
            <w:pPr>
              <w:pStyle w:val="Doc-text2"/>
              <w:ind w:left="0" w:firstLine="0"/>
              <w:rPr>
                <w:rFonts w:eastAsia="宋体"/>
                <w:color w:val="0070C0"/>
                <w:lang w:val="en-US" w:eastAsia="zh-CN"/>
              </w:rPr>
            </w:pPr>
          </w:p>
          <w:p w:rsidR="006F33DD" w:rsidRDefault="00B062EA">
            <w:pPr>
              <w:pStyle w:val="Doc-text2"/>
              <w:numPr>
                <w:ilvl w:val="0"/>
                <w:numId w:val="4"/>
              </w:numPr>
              <w:rPr>
                <w:rFonts w:eastAsia="宋体"/>
                <w:color w:val="FF0000"/>
                <w:lang w:val="en-US" w:eastAsia="zh-CN"/>
              </w:rPr>
            </w:pPr>
            <w:r>
              <w:rPr>
                <w:rFonts w:eastAsia="宋体" w:hint="eastAsia"/>
                <w:color w:val="0070C0"/>
                <w:lang w:val="en-US" w:eastAsia="zh-CN"/>
              </w:rPr>
              <w:t>For the legacy filter, absent means the UE can report 1200Mhz, then we need to clarify</w:t>
            </w:r>
            <w:r>
              <w:rPr>
                <w:rFonts w:eastAsia="宋体" w:hint="eastAsia"/>
                <w:color w:val="FF0000"/>
                <w:lang w:val="en-US" w:eastAsia="zh-CN"/>
              </w:rPr>
              <w:t xml:space="preserve"> how to set the legacy field when the the newly extended </w:t>
            </w:r>
            <w:r>
              <w:rPr>
                <w:rFonts w:eastAsia="宋体" w:hint="eastAsia"/>
                <w:color w:val="FF0000"/>
                <w:lang w:val="en-US"/>
              </w:rPr>
              <w:t xml:space="preserve">AggregatedBandwidth-r17 </w:t>
            </w:r>
            <w:r>
              <w:rPr>
                <w:rFonts w:eastAsia="宋体" w:hint="eastAsia"/>
                <w:color w:val="FF0000"/>
                <w:lang w:val="en-US" w:eastAsia="zh-CN"/>
              </w:rPr>
              <w:t>was set to 1000Mhz.</w:t>
            </w:r>
          </w:p>
          <w:p w:rsidR="006F33DD" w:rsidRDefault="006F33DD">
            <w:pPr>
              <w:pStyle w:val="Doc-text2"/>
              <w:ind w:left="0" w:firstLine="0"/>
              <w:rPr>
                <w:rFonts w:eastAsia="宋体"/>
                <w:color w:val="0070C0"/>
                <w:lang w:val="en-US" w:eastAsia="zh-CN"/>
              </w:rPr>
            </w:pPr>
          </w:p>
          <w:p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1: Set the legacy field to be 800mhz</w:t>
            </w:r>
            <w:r>
              <w:rPr>
                <w:rFonts w:eastAsia="宋体" w:hint="eastAsia"/>
                <w:color w:val="0070C0"/>
                <w:lang w:val="en-US" w:eastAsia="zh-CN"/>
              </w:rPr>
              <w:t>, then the problem is that when handover to the old gNB,  the old gNB will take it as 800M (Though the UE has also reported the bandwidth that support 1000M)  Maybe this option can work for that 1000M was not supported in the Rel15/16</w:t>
            </w:r>
          </w:p>
          <w:p w:rsidR="006F33DD" w:rsidRDefault="006F33DD">
            <w:pPr>
              <w:pStyle w:val="Doc-text2"/>
              <w:ind w:left="0" w:firstLine="0"/>
              <w:rPr>
                <w:rFonts w:eastAsia="宋体"/>
                <w:color w:val="0070C0"/>
                <w:lang w:val="en-US" w:eastAsia="zh-CN"/>
              </w:rPr>
            </w:pPr>
          </w:p>
          <w:p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2: Set the legacy field to be absent-</w:t>
            </w:r>
            <w:r>
              <w:rPr>
                <w:rFonts w:eastAsia="宋体" w:hint="eastAsia"/>
                <w:color w:val="0070C0"/>
                <w:lang w:val="en-US" w:eastAsia="zh-CN"/>
              </w:rPr>
              <w:t xml:space="preserve">&gt; then the problem is that When handover to old gNB, the old gNB will take it as 1200Mhz (which is the maximum aggregated bandwidth in Rel-15), however the UE that support RSTU may not report the BC with aggregated bandwidth 1200M for that the </w:t>
            </w:r>
            <w:r>
              <w:rPr>
                <w:rFonts w:eastAsia="宋体" w:hint="eastAsia"/>
                <w:color w:val="FF0000"/>
                <w:lang w:val="en-US"/>
              </w:rPr>
              <w:t xml:space="preserve">AggregatedBandwidth-r17 </w:t>
            </w:r>
            <w:r>
              <w:rPr>
                <w:rFonts w:eastAsia="宋体" w:hint="eastAsia"/>
                <w:color w:val="FF0000"/>
                <w:lang w:val="en-US" w:eastAsia="zh-CN"/>
              </w:rPr>
              <w:t>was set to 1000Mhz</w:t>
            </w:r>
          </w:p>
          <w:p w:rsidR="006F33DD" w:rsidRDefault="006F33DD">
            <w:pPr>
              <w:pStyle w:val="Doc-text2"/>
              <w:ind w:left="0" w:firstLine="0"/>
              <w:rPr>
                <w:rFonts w:eastAsia="宋体"/>
                <w:color w:val="0070C0"/>
                <w:lang w:val="en-US" w:eastAsia="zh-CN"/>
              </w:rPr>
            </w:pPr>
          </w:p>
          <w:p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The extend aggregated bandwidth shall also be included in the UE capability information as the legacy FreqBandlist (as below) has done</w:t>
            </w:r>
          </w:p>
          <w:p w:rsidR="006F33DD" w:rsidRDefault="00B062EA">
            <w:pPr>
              <w:pStyle w:val="Doc-text2"/>
              <w:ind w:left="0" w:firstLine="0"/>
              <w:rPr>
                <w:color w:val="0070C0"/>
              </w:rPr>
            </w:pPr>
            <w:r>
              <w:rPr>
                <w:color w:val="0070C0"/>
              </w:rPr>
              <w:t>appliedFreqBandListFilter              FreqBandList     OPTIONAL,</w:t>
            </w:r>
          </w:p>
          <w:p w:rsidR="006F33DD" w:rsidRDefault="006F33DD">
            <w:pPr>
              <w:pStyle w:val="Doc-text2"/>
              <w:ind w:left="0" w:firstLine="0"/>
              <w:rPr>
                <w:rFonts w:eastAsia="宋体"/>
                <w:color w:val="0070C0"/>
                <w:lang w:val="en-US" w:eastAsia="zh-CN"/>
              </w:rPr>
            </w:pPr>
          </w:p>
          <w:p w:rsidR="006F33DD" w:rsidRDefault="006F33DD">
            <w:pPr>
              <w:pStyle w:val="Doc-text2"/>
              <w:ind w:left="0" w:firstLine="0"/>
              <w:rPr>
                <w:rFonts w:eastAsia="宋体"/>
                <w:color w:val="0070C0"/>
                <w:lang w:val="en-US" w:eastAsia="zh-CN"/>
              </w:rPr>
            </w:pPr>
          </w:p>
          <w:p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Based on the above 3 issues, and also considering that </w:t>
            </w:r>
            <w:r>
              <w:rPr>
                <w:color w:val="0070C0"/>
              </w:rPr>
              <w:t>maxCarriersRequestedDL</w:t>
            </w:r>
            <w:r>
              <w:rPr>
                <w:rFonts w:hint="eastAsia"/>
                <w:color w:val="0070C0"/>
              </w:rPr>
              <w:t>/</w:t>
            </w:r>
            <w:r>
              <w:rPr>
                <w:color w:val="0070C0"/>
              </w:rPr>
              <w:t xml:space="preserve"> maxCarriersRequestedUL</w:t>
            </w:r>
            <w:r>
              <w:rPr>
                <w:rFonts w:hint="eastAsia"/>
                <w:color w:val="0070C0"/>
              </w:rPr>
              <w:t xml:space="preserve"> </w:t>
            </w:r>
            <w:r>
              <w:rPr>
                <w:rFonts w:eastAsia="宋体" w:hint="eastAsia"/>
                <w:color w:val="0070C0"/>
                <w:lang w:val="en-US" w:eastAsia="zh-CN"/>
              </w:rPr>
              <w:t>can be used to achieve the similar result ( as analyzed in [2] that when the aggregated bandwidth was increased, the number of carriers are also increased), we prefer not to extend the legacy aggregated bandwidth.</w:t>
            </w:r>
          </w:p>
          <w:p w:rsidR="006F33DD" w:rsidRDefault="006F33DD">
            <w:pPr>
              <w:pStyle w:val="Doc-text2"/>
              <w:ind w:left="0" w:firstLine="0"/>
              <w:rPr>
                <w:rFonts w:eastAsia="宋体"/>
                <w:color w:val="0070C0"/>
                <w:lang w:val="en-US" w:eastAsia="zh-CN"/>
              </w:rPr>
            </w:pPr>
          </w:p>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Extension of Aggregatedbandwidth from legacy UE should be clear if this approach is used.</w:t>
            </w:r>
          </w:p>
          <w:p w:rsidR="002F7235" w:rsidRPr="008D3A29" w:rsidRDefault="002F7235">
            <w:pPr>
              <w:pStyle w:val="TAC"/>
              <w:spacing w:before="20" w:after="20"/>
              <w:ind w:left="57" w:right="57"/>
              <w:jc w:val="left"/>
              <w:rPr>
                <w:rFonts w:eastAsia="Malgun Gothic"/>
                <w:lang w:eastAsia="ko-KR"/>
              </w:rPr>
            </w:pPr>
            <w:r>
              <w:rPr>
                <w:lang w:eastAsia="zh-CN"/>
              </w:rPr>
              <w:t>If this is not clear enough in the specification, the approach of maxCarriersRequestedDL/UL method is better than Extension of Aggregatedbandwidt</w:t>
            </w:r>
            <w:r w:rsidR="00B062EA">
              <w:rPr>
                <w:lang w:eastAsia="zh-CN"/>
              </w:rPr>
              <w:t>h</w:t>
            </w:r>
            <w:r>
              <w:rPr>
                <w:lang w:eastAsia="zh-CN"/>
              </w:rPr>
              <w: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Pr="00B062EA"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2</w:t>
      </w:r>
      <w:r>
        <w:t>: TBD.</w:t>
      </w:r>
    </w:p>
    <w:p w:rsidR="006F33DD" w:rsidRDefault="00B062EA">
      <w:r>
        <w:rPr>
          <w:b/>
          <w:bCs/>
        </w:rPr>
        <w:t>Proposal 2</w:t>
      </w:r>
      <w:r>
        <w:t>: TBD.</w:t>
      </w:r>
    </w:p>
    <w:p w:rsidR="006F33DD" w:rsidRDefault="00B062EA">
      <w:pPr>
        <w:rPr>
          <w:b/>
          <w:bCs/>
        </w:rPr>
      </w:pPr>
      <w:r>
        <w:rPr>
          <w:b/>
          <w:bCs/>
          <w:highlight w:val="cyan"/>
        </w:rPr>
        <w:t>Topic 2: CBM/IBM reporting</w:t>
      </w:r>
    </w:p>
    <w:p w:rsidR="006F33DD" w:rsidRDefault="00B062EA">
      <w:r>
        <w:t xml:space="preserve">There was single FFS from last meeting. </w:t>
      </w:r>
    </w:p>
    <w:p w:rsidR="006F33DD" w:rsidRDefault="00B062EA">
      <w:pPr>
        <w:pStyle w:val="ac"/>
        <w:numPr>
          <w:ilvl w:val="0"/>
          <w:numId w:val="3"/>
        </w:numPr>
      </w:pPr>
      <w:r>
        <w:rPr>
          <w:rFonts w:eastAsiaTheme="minorEastAsia"/>
          <w:kern w:val="2"/>
          <w:sz w:val="21"/>
          <w:lang w:val="en-US" w:eastAsia="zh-CN"/>
        </w:rPr>
        <w:t>FFS if IBM/CBM capability apply to DL and/or UL</w:t>
      </w:r>
    </w:p>
    <w:p w:rsidR="006F33DD" w:rsidRDefault="00B062EA">
      <w:r>
        <w:t>Based on the contributions in [5] and the rapporteur company’s understanding as well there seems to be no need to distinguish DL from UL and also CRs in [10], [11] and [14], [15] implement the decision from the last meeting.</w:t>
      </w:r>
    </w:p>
    <w:p w:rsidR="006F33DD" w:rsidRDefault="00B062EA">
      <w:pPr>
        <w:pStyle w:val="ac"/>
        <w:numPr>
          <w:ilvl w:val="0"/>
          <w:numId w:val="3"/>
        </w:numPr>
      </w:pPr>
      <w:r>
        <w:t>Introduce CBM-only capability from Rel-17 (allowing early implementation from Rel-16) and dummify CBM enumeration from Rel-16 capability</w:t>
      </w:r>
    </w:p>
    <w:p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lastRenderedPageBreak/>
              <w:t>Answers to Question 3</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rPr>
                <w:lang w:val="en-US" w:eastAsia="zh-CN"/>
              </w:rPr>
            </w:pPr>
            <w:r>
              <w:rPr>
                <w:rFonts w:hint="eastAsia"/>
                <w:lang w:val="en-US" w:eastAsia="zh-CN"/>
              </w:rPr>
              <w:t xml:space="preserve">After internal discussion, our understanding is that </w:t>
            </w:r>
            <w:r>
              <w:rPr>
                <w:rFonts w:hint="eastAsia"/>
              </w:rPr>
              <w:t>the network determine the DL/UL CBM/IBM supporting based on the beam correspondence</w:t>
            </w:r>
            <w:r>
              <w:rPr>
                <w:rFonts w:hint="eastAsia"/>
                <w:lang w:val="en-US" w:eastAsia="zh-CN"/>
              </w:rPr>
              <w:t xml:space="preserve"> as defined below</w:t>
            </w:r>
          </w:p>
          <w:tbl>
            <w:tblPr>
              <w:tblStyle w:val="aa"/>
              <w:tblW w:w="0" w:type="auto"/>
              <w:tblLayout w:type="fixed"/>
              <w:tblLook w:val="04A0" w:firstRow="1" w:lastRow="0" w:firstColumn="1" w:lastColumn="0" w:noHBand="0" w:noVBand="1"/>
            </w:tblPr>
            <w:tblGrid>
              <w:gridCol w:w="9997"/>
            </w:tblGrid>
            <w:tr w:rsidR="006F33DD">
              <w:tc>
                <w:tcPr>
                  <w:tcW w:w="9997" w:type="dxa"/>
                </w:tcPr>
                <w:p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rsidR="006F33DD" w:rsidRDefault="00B062EA">
            <w:r>
              <w:rPr>
                <w:rFonts w:hint="eastAsia"/>
              </w:rPr>
              <w:t>According to the RAN4</w:t>
            </w:r>
            <w:r>
              <w:t>’</w:t>
            </w:r>
            <w:r>
              <w:rPr>
                <w:rFonts w:hint="eastAsia"/>
              </w:rPr>
              <w:t>s discussion, in Rel-17 the beam correspondence can be simply summarized as below:</w:t>
            </w:r>
          </w:p>
          <w:tbl>
            <w:tblPr>
              <w:tblStyle w:val="aa"/>
              <w:tblW w:w="0" w:type="auto"/>
              <w:tblLayout w:type="fixed"/>
              <w:tblLook w:val="04A0" w:firstRow="1" w:lastRow="0" w:firstColumn="1" w:lastColumn="0" w:noHBand="0" w:noVBand="1"/>
            </w:tblPr>
            <w:tblGrid>
              <w:gridCol w:w="9997"/>
            </w:tblGrid>
            <w:tr w:rsidR="006F33DD">
              <w:tc>
                <w:tcPr>
                  <w:tcW w:w="9997" w:type="dxa"/>
                </w:tcPr>
                <w:p w:rsidR="006F33DD" w:rsidRDefault="00B062EA">
                  <w:r>
                    <w:rPr>
                      <w:rFonts w:hint="eastAsia"/>
                    </w:rPr>
                    <w:t>DL: CBM ---&gt;UL: only support single carrier</w:t>
                  </w:r>
                </w:p>
                <w:p w:rsidR="006F33DD" w:rsidRDefault="00B062EA">
                  <w:r>
                    <w:rPr>
                      <w:rFonts w:hint="eastAsia"/>
                    </w:rPr>
                    <w:t>DL: IBM ----&gt; UL: IBM for the CA or single carrier</w:t>
                  </w:r>
                </w:p>
              </w:tc>
            </w:tr>
          </w:tbl>
          <w:p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rsidR="006F33DD" w:rsidRDefault="006F33DD">
            <w:pPr>
              <w:pStyle w:val="TAC"/>
              <w:spacing w:before="20" w:after="20"/>
              <w:ind w:left="57" w:right="57"/>
              <w:jc w:val="left"/>
              <w:rPr>
                <w:lang w:val="en-US"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6F33DD" w:rsidRDefault="004D6B95">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rsidR="004D6B95" w:rsidRDefault="004D6B95" w:rsidP="004D6B95">
            <w:pPr>
              <w:pStyle w:val="TAC"/>
              <w:spacing w:before="20" w:after="20"/>
              <w:ind w:left="57" w:right="57"/>
              <w:jc w:val="left"/>
              <w:rPr>
                <w:lang w:eastAsia="zh-CN"/>
              </w:rPr>
            </w:pPr>
            <w:r>
              <w:rPr>
                <w:rFonts w:hint="eastAsia"/>
                <w:lang w:eastAsia="zh-CN"/>
              </w:rPr>
              <w:t>Y</w:t>
            </w:r>
            <w:r>
              <w:rPr>
                <w:lang w:eastAsia="zh-CN"/>
              </w:rPr>
              <w:t>et we need to clarify that there is still difference between UL and DL, e.g,, it can be that DL supports CBM, but UL does not support. The only point is that by limited to 2-band case, R4 further ruled out the combination of IBM for DL and CBM for UL (or vice versa), so a single indiation is sufficient, but does not mean that this single indication always applies to both DL and UL.</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3</w:t>
      </w:r>
      <w:r>
        <w:t>: TBD.</w:t>
      </w:r>
    </w:p>
    <w:p w:rsidR="006F33DD" w:rsidRDefault="00B062EA">
      <w:r>
        <w:rPr>
          <w:b/>
          <w:bCs/>
        </w:rPr>
        <w:t>Proposal 3</w:t>
      </w:r>
      <w:r>
        <w:t>: TBD.</w:t>
      </w:r>
    </w:p>
    <w:p w:rsidR="006F33DD" w:rsidRDefault="00B062EA">
      <w:pPr>
        <w:pStyle w:val="1"/>
      </w:pPr>
      <w:r>
        <w:t>4</w:t>
      </w:r>
      <w:r>
        <w:tab/>
        <w:t>Conclusion</w:t>
      </w:r>
    </w:p>
    <w:p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EEC" w:rsidRDefault="00B54EEC" w:rsidP="000D7B24">
      <w:pPr>
        <w:spacing w:after="0" w:line="240" w:lineRule="auto"/>
      </w:pPr>
      <w:r>
        <w:separator/>
      </w:r>
    </w:p>
  </w:endnote>
  <w:endnote w:type="continuationSeparator" w:id="0">
    <w:p w:rsidR="00B54EEC" w:rsidRDefault="00B54EEC"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EEC" w:rsidRDefault="00B54EEC" w:rsidP="000D7B24">
      <w:pPr>
        <w:spacing w:after="0" w:line="240" w:lineRule="auto"/>
      </w:pPr>
      <w:r>
        <w:separator/>
      </w:r>
    </w:p>
  </w:footnote>
  <w:footnote w:type="continuationSeparator" w:id="0">
    <w:p w:rsidR="00B54EEC" w:rsidRDefault="00B54EEC" w:rsidP="000D7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54EEC"/>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976B3"/>
    <w:rsid w:val="00EA4E7F"/>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0E65A"/>
  <w15:docId w15:val="{FAB84819-01FB-4783-99B6-D33928E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bis-e\Docs\R2-2201928.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2</cp:revision>
  <cp:lastPrinted>2022-02-23T07:01:00Z</cp:lastPrinted>
  <dcterms:created xsi:type="dcterms:W3CDTF">2022-02-23T07:57:00Z</dcterms:created>
  <dcterms:modified xsi:type="dcterms:W3CDTF">2022-02-23T07:57:00Z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10" name="KSOProductBuildVer">
    <vt:lpwstr>2052-11.8.2.9022</vt:lpwstr>
  </property>
</Properties>
</file>