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DF134ED"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 xml:space="preserve">[AT117-e][043][MBS]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 xml:space="preserve">[AT117-e][043][MBS]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F50B3B">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t>To:RAN2</w:t>
      </w:r>
    </w:p>
    <w:p w14:paraId="42936E32" w14:textId="77777777" w:rsidR="00234E9B" w:rsidRDefault="00F50B3B">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F50B3B">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F50B3B">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t>To:RAN3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F50B3B">
            <w:pPr>
              <w:rPr>
                <w:rFonts w:cs="Arial"/>
                <w:lang w:eastAsia="ko-KR"/>
              </w:rPr>
            </w:pPr>
            <w:hyperlink r:id="rId18" w:history="1">
              <w:r w:rsidR="00D02940">
                <w:rPr>
                  <w:rStyle w:val="Hyperlink"/>
                  <w:rFonts w:cs="Arial" w:hint="eastAsia"/>
                  <w:lang w:eastAsia="ko-KR"/>
                </w:rPr>
                <w:t>sj1</w:t>
              </w:r>
              <w:r w:rsidR="00D02940">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F50B3B">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F50B3B">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ListParagraph"/>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w:t>
            </w:r>
            <w:proofErr w:type="spellStart"/>
            <w:r>
              <w:rPr>
                <w:rFonts w:cs="Arial" w:hint="eastAsia"/>
                <w:lang w:val="en-US" w:eastAsia="zh-CN"/>
              </w:rPr>
              <w:t>config</w:t>
            </w:r>
            <w:proofErr w:type="spellEnd"/>
            <w:r>
              <w:rPr>
                <w:rFonts w:cs="Arial" w:hint="eastAsia"/>
                <w:lang w:val="en-US" w:eastAsia="zh-CN"/>
              </w:rPr>
              <w:t xml:space="preserve">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(3)</w:t>
            </w:r>
            <w:r w:rsidR="007A561B">
              <w:rPr>
                <w:rFonts w:cs="Arial" w:hint="eastAsia"/>
                <w:lang w:val="en-US" w:eastAsia="zh-CN"/>
              </w:rPr>
              <w:t>HARQ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ListParagraph"/>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ListParagraph"/>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bl>
    <w:p w14:paraId="43458D0E" w14:textId="77777777" w:rsidR="00234E9B" w:rsidRDefault="00234E9B"/>
    <w:p w14:paraId="5E413BF5" w14:textId="77777777" w:rsidR="00234E9B" w:rsidRDefault="00D02940">
      <w:pPr>
        <w:rPr>
          <w:lang w:eastAsia="en-GB"/>
        </w:rPr>
      </w:pPr>
      <w:r>
        <w:rPr>
          <w:lang w:eastAsia="en-GB"/>
        </w:rPr>
        <w:t xml:space="preserve">Benefits of common configuration are especially valid in case of start of MBS session i.e. multiple UEs start the session reception same time and MBS session modification case when multiple UEs need to be updated </w:t>
      </w:r>
      <w:r>
        <w:rPr>
          <w:lang w:eastAsia="en-GB"/>
        </w:rPr>
        <w:lastRenderedPageBreak/>
        <w:t>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r>
              <w:rPr>
                <w:rFonts w:cs="Arial" w:hint="eastAsia"/>
                <w:lang w:val="en-US" w:eastAsia="zh-CN"/>
              </w:rPr>
              <w:t>wont</w:t>
            </w:r>
            <w:proofErr w:type="spell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proofErr w:type="spellStart"/>
            <w:r w:rsidR="002C590E" w:rsidRPr="00BB3BC5">
              <w:rPr>
                <w:rFonts w:cs="Arial"/>
                <w:lang w:val="en-US" w:eastAsia="zh-CN"/>
              </w:rPr>
              <w:t>RRC</w:t>
            </w:r>
            <w:bookmarkEnd w:id="2"/>
            <w:r w:rsidR="002C590E" w:rsidRPr="00BB3BC5">
              <w:rPr>
                <w:rFonts w:cs="Arial"/>
                <w:lang w:val="en-US" w:eastAsia="zh-CN"/>
              </w:rPr>
              <w:t>Reconfiguration</w:t>
            </w:r>
            <w:bookmarkStart w:id="3" w:name="_Hlk95311815"/>
            <w:proofErr w:type="spellEnd"/>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limited.(No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245" w:type="dxa"/>
          </w:tcPr>
          <w:p w14:paraId="6C52C17A" w14:textId="4EAA7587" w:rsidR="00A23AEC" w:rsidRDefault="00A23AEC" w:rsidP="00A23AEC">
            <w:pPr>
              <w:rPr>
                <w:rFonts w:cs="Arial"/>
                <w:lang w:eastAsia="zh-CN"/>
              </w:rPr>
            </w:pPr>
            <w:r>
              <w:rPr>
                <w:rFonts w:cs="Arial"/>
                <w:lang w:eastAsia="zh-CN"/>
              </w:rPr>
              <w:t>Firstly, our understanding is that with the RAN3 proposal the RRC message would be  encoded in the CU, but looking at comments from other companies, it seems this is not so clear. I</w:t>
            </w:r>
            <w:r>
              <w:rPr>
                <w:rFonts w:cs="Arial"/>
                <w:lang w:eastAsia="zh-CN"/>
              </w:rPr>
              <w:t>f we still follow the existing rule that RRC is encoded in CU, then the message will include both common part and UE specific part, which means the common part only decreases the overhead in DU to CU direction</w:t>
            </w:r>
            <w:r>
              <w:rPr>
                <w:rFonts w:cs="Arial"/>
                <w:lang w:eastAsia="zh-CN"/>
              </w:rPr>
              <w:t>.</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w:t>
            </w:r>
            <w:r>
              <w:rPr>
                <w:rFonts w:cs="Arial"/>
                <w:lang w:eastAsia="zh-CN"/>
              </w:rPr>
              <w:lastRenderedPageBreak/>
              <w:t xml:space="preserve">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ListParagraph"/>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TableGrid"/>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on  </w:t>
            </w:r>
            <w:r w:rsidRPr="002C590E">
              <w:rPr>
                <w:rFonts w:cs="Arial"/>
                <w:lang w:val="en-US" w:eastAsia="zh-CN"/>
              </w:rPr>
              <w:t>reassembl</w:t>
            </w:r>
            <w:r>
              <w:rPr>
                <w:rFonts w:cs="Arial" w:hint="eastAsia"/>
                <w:lang w:val="en-US" w:eastAsia="zh-CN"/>
              </w:rPr>
              <w:t xml:space="preserve">ing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However the benefit is questionable as the RRC message generated by the </w:t>
            </w:r>
            <w:proofErr w:type="spellStart"/>
            <w:r w:rsidR="001707D8">
              <w:rPr>
                <w:rFonts w:cs="Arial"/>
                <w:lang w:val="en-US" w:eastAsia="zh-CN"/>
              </w:rPr>
              <w:t>gNB</w:t>
            </w:r>
            <w:proofErr w:type="spellEnd"/>
            <w:r w:rsidR="001707D8">
              <w:rPr>
                <w:rFonts w:cs="Arial"/>
                <w:lang w:val="en-US" w:eastAsia="zh-CN"/>
              </w:rPr>
              <w:t>-CU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ListParagraph"/>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ListParagraph"/>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ListParagraph"/>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ListParagraph"/>
              <w:numPr>
                <w:ilvl w:val="0"/>
                <w:numId w:val="8"/>
              </w:numPr>
              <w:rPr>
                <w:rFonts w:cs="Arial"/>
                <w:lang w:eastAsia="zh-CN"/>
              </w:rPr>
            </w:pPr>
            <w:r>
              <w:rPr>
                <w:rFonts w:cs="Arial"/>
                <w:lang w:eastAsia="zh-CN"/>
              </w:rPr>
              <w:t xml:space="preserve">CU send the </w:t>
            </w:r>
            <w:r w:rsidR="00011566">
              <w:rPr>
                <w:rFonts w:cs="Arial"/>
                <w:lang w:eastAsia="zh-CN"/>
              </w:rPr>
              <w:t>UE-specific</w:t>
            </w:r>
            <w:bookmarkStart w:id="5" w:name="_GoBack"/>
            <w:bookmarkEnd w:id="5"/>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ListParagraph"/>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ListParagraph"/>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ListParagraph"/>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So does the CU always wait for the UE-specific part from DU before sending the configuration to the UE? Or are there situations </w:t>
            </w:r>
            <w:r>
              <w:rPr>
                <w:rFonts w:cs="Arial"/>
                <w:lang w:eastAsia="zh-CN"/>
              </w:rPr>
              <w:lastRenderedPageBreak/>
              <w:t xml:space="preserve">where there is only common configuration part and it should be sent to some UEs right-away (how can the </w:t>
            </w:r>
            <w:proofErr w:type="spellStart"/>
            <w:r>
              <w:rPr>
                <w:rFonts w:cs="Arial"/>
                <w:lang w:eastAsia="zh-CN"/>
              </w:rPr>
              <w:t>gNB</w:t>
            </w:r>
            <w:proofErr w:type="spellEnd"/>
            <w:r>
              <w:rPr>
                <w:rFonts w:cs="Arial"/>
                <w:lang w:eastAsia="zh-CN"/>
              </w:rPr>
              <w:t>-CU know about this?).</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4: Other aspects ?</w:t>
      </w:r>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885B7" w14:textId="77777777" w:rsidR="00F50B3B" w:rsidRDefault="00F50B3B">
      <w:pPr>
        <w:spacing w:after="0" w:line="240" w:lineRule="auto"/>
      </w:pPr>
      <w:r>
        <w:separator/>
      </w:r>
    </w:p>
  </w:endnote>
  <w:endnote w:type="continuationSeparator" w:id="0">
    <w:p w14:paraId="11F13E08" w14:textId="77777777" w:rsidR="00F50B3B" w:rsidRDefault="00F5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11370" w14:textId="77777777" w:rsidR="00F50B3B" w:rsidRDefault="00F50B3B">
      <w:pPr>
        <w:spacing w:after="0" w:line="240" w:lineRule="auto"/>
      </w:pPr>
      <w:r>
        <w:separator/>
      </w:r>
    </w:p>
  </w:footnote>
  <w:footnote w:type="continuationSeparator" w:id="0">
    <w:p w14:paraId="13BE3579" w14:textId="77777777" w:rsidR="00F50B3B" w:rsidRDefault="00F50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201A0419-5AA9-44D4-B4E2-D3961C17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107</TotalTime>
  <Pages>8</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 (Dawid)</cp:lastModifiedBy>
  <cp:revision>24</cp:revision>
  <cp:lastPrinted>2016-01-11T02:35:00Z</cp:lastPrinted>
  <dcterms:created xsi:type="dcterms:W3CDTF">2022-02-28T06:30:00Z</dcterms:created>
  <dcterms:modified xsi:type="dcterms:W3CDTF">2022-02-28T10:32:00Z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