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ＭＳ 明朝" w:hAnsi="Arial" w:cs="Arial"/>
          <w:sz w:val="24"/>
          <w:lang w:eastAsia="ja-JP"/>
        </w:rPr>
      </w:pPr>
      <w:r>
        <w:rPr>
          <w:rFonts w:ascii="Arial" w:eastAsia="ＭＳ 明朝" w:hAnsi="Arial" w:cs="Arial"/>
          <w:b/>
          <w:sz w:val="24"/>
        </w:rPr>
        <w:t>Agenda item:</w:t>
      </w:r>
      <w:r>
        <w:rPr>
          <w:rFonts w:ascii="Arial" w:eastAsia="ＭＳ 明朝" w:hAnsi="Arial" w:cs="Arial"/>
          <w:sz w:val="24"/>
        </w:rPr>
        <w:tab/>
        <w:t>5.4.1</w:t>
      </w:r>
      <w:r>
        <w:rPr>
          <w:rFonts w:ascii="Arial" w:eastAsia="ＭＳ 明朝" w:hAnsi="Arial" w:cs="Arial"/>
          <w:sz w:val="24"/>
        </w:rPr>
        <w:tab/>
        <w:t>NR RRC</w:t>
      </w:r>
    </w:p>
    <w:p w14:paraId="68DB3376" w14:textId="77777777" w:rsidR="009F5651" w:rsidRDefault="00955EA8">
      <w:pPr>
        <w:keepNext/>
        <w:keepLines/>
        <w:tabs>
          <w:tab w:val="left" w:pos="1985"/>
        </w:tabs>
        <w:rPr>
          <w:rFonts w:ascii="Arial" w:eastAsia="ＭＳ 明朝" w:hAnsi="Arial" w:cs="Arial"/>
          <w:sz w:val="24"/>
          <w:lang w:eastAsia="ja-JP"/>
        </w:rPr>
      </w:pPr>
      <w:r>
        <w:rPr>
          <w:rFonts w:ascii="Arial" w:eastAsia="ＭＳ 明朝" w:hAnsi="Arial" w:cs="Arial"/>
          <w:b/>
          <w:sz w:val="24"/>
        </w:rPr>
        <w:t xml:space="preserve">Source: </w:t>
      </w:r>
      <w:r>
        <w:rPr>
          <w:rFonts w:ascii="Arial" w:eastAsia="ＭＳ 明朝" w:hAnsi="Arial" w:cs="Arial"/>
          <w:b/>
          <w:sz w:val="24"/>
        </w:rPr>
        <w:tab/>
      </w:r>
      <w:r>
        <w:rPr>
          <w:rFonts w:ascii="Arial" w:eastAsia="ＭＳ 明朝" w:hAnsi="Arial" w:cs="Arial"/>
          <w:sz w:val="24"/>
        </w:rPr>
        <w:t>Intel Corporation (Rapporteur)</w:t>
      </w:r>
    </w:p>
    <w:p w14:paraId="3C5234F2" w14:textId="77777777" w:rsidR="009F5651" w:rsidRDefault="00955EA8">
      <w:pPr>
        <w:keepNext/>
        <w:keepLines/>
        <w:tabs>
          <w:tab w:val="left" w:pos="1985"/>
        </w:tabs>
        <w:ind w:left="1980" w:hanging="1980"/>
        <w:rPr>
          <w:rFonts w:ascii="Arial" w:eastAsia="ＭＳ 明朝" w:hAnsi="Arial" w:cs="Arial"/>
          <w:sz w:val="24"/>
        </w:rPr>
      </w:pPr>
      <w:r>
        <w:rPr>
          <w:rFonts w:ascii="Arial" w:eastAsia="ＭＳ 明朝" w:hAnsi="Arial" w:cs="Arial"/>
          <w:b/>
          <w:sz w:val="24"/>
        </w:rPr>
        <w:t>Title:</w:t>
      </w:r>
      <w:r>
        <w:rPr>
          <w:rFonts w:ascii="Arial" w:eastAsia="ＭＳ 明朝" w:hAnsi="Arial" w:cs="Arial"/>
          <w:sz w:val="24"/>
        </w:rPr>
        <w:t xml:space="preserve"> </w:t>
      </w:r>
      <w:r>
        <w:rPr>
          <w:rFonts w:ascii="Arial" w:eastAsia="ＭＳ 明朝" w:hAnsi="Arial" w:cs="Arial"/>
          <w:sz w:val="24"/>
        </w:rPr>
        <w:tab/>
        <w:t xml:space="preserve">[AT117-e][028][NR15] RRC </w:t>
      </w:r>
      <w:proofErr w:type="spellStart"/>
      <w:r>
        <w:rPr>
          <w:rFonts w:ascii="Arial" w:eastAsia="ＭＳ 明朝" w:hAnsi="Arial" w:cs="Arial"/>
          <w:sz w:val="24"/>
        </w:rPr>
        <w:t>misc</w:t>
      </w:r>
      <w:proofErr w:type="spellEnd"/>
      <w:r>
        <w:rPr>
          <w:rFonts w:ascii="Arial" w:eastAsia="ＭＳ 明朝"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ＭＳ 明朝" w:hAnsi="Arial" w:cs="Arial"/>
          <w:b/>
          <w:sz w:val="24"/>
        </w:rPr>
        <w:t>Document for:</w:t>
      </w:r>
      <w:r>
        <w:rPr>
          <w:rFonts w:ascii="Arial" w:eastAsia="ＭＳ 明朝" w:hAnsi="Arial" w:cs="Arial"/>
          <w:sz w:val="24"/>
        </w:rPr>
        <w:tab/>
      </w:r>
      <w:bookmarkStart w:id="0" w:name="DocumentFor"/>
      <w:bookmarkEnd w:id="0"/>
      <w:r>
        <w:rPr>
          <w:rFonts w:ascii="Arial" w:eastAsia="ＭＳ 明朝" w:hAnsi="Arial" w:cs="Arial"/>
          <w:sz w:val="24"/>
        </w:rPr>
        <w:tab/>
        <w:t>Report</w:t>
      </w:r>
    </w:p>
    <w:p w14:paraId="1F9A16A6" w14:textId="77777777" w:rsidR="009F5651" w:rsidRDefault="00955EA8">
      <w:pPr>
        <w:pStyle w:val="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 xml:space="preserve">[AT117-e][028][NR15]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aa"/>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proofErr w:type="spellStart"/>
            <w:r>
              <w:rPr>
                <w:lang w:val="en-US" w:eastAsia="ja-JP"/>
              </w:rPr>
              <w:t>Mouaffac</w:t>
            </w:r>
            <w:proofErr w:type="spellEnd"/>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6E164D">
            <w:pPr>
              <w:spacing w:after="0" w:line="240" w:lineRule="auto"/>
              <w:rPr>
                <w:lang w:val="en-US" w:eastAsia="ja-JP"/>
              </w:rPr>
            </w:pPr>
            <w:hyperlink r:id="rId11" w:history="1">
              <w:r w:rsidR="00955EA8">
                <w:rPr>
                  <w:rStyle w:val="ac"/>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Sudeep Palat</w:t>
            </w:r>
          </w:p>
        </w:tc>
        <w:tc>
          <w:tcPr>
            <w:tcW w:w="4748" w:type="dxa"/>
          </w:tcPr>
          <w:p w14:paraId="4DDB0964" w14:textId="77777777" w:rsidR="009F5651" w:rsidRDefault="00955EA8">
            <w:pPr>
              <w:spacing w:after="0" w:line="240" w:lineRule="auto"/>
              <w:rPr>
                <w:lang w:val="en-US" w:eastAsia="zh-CN"/>
              </w:rPr>
            </w:pPr>
            <w:proofErr w:type="spellStart"/>
            <w:r>
              <w:rPr>
                <w:lang w:val="en-US" w:eastAsia="zh-CN"/>
              </w:rPr>
              <w:t>Sudeep.k.palat@intelcom</w:t>
            </w:r>
            <w:proofErr w:type="spellEnd"/>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4563DA7B" w:rsidR="00C02D62" w:rsidRPr="003D0CA4" w:rsidRDefault="003D0CA4" w:rsidP="00C02D62">
            <w:pPr>
              <w:spacing w:after="0" w:line="240" w:lineRule="auto"/>
              <w:rPr>
                <w:rFonts w:eastAsia="ＭＳ 明朝"/>
                <w:lang w:val="en-US" w:eastAsia="ja-JP"/>
              </w:rPr>
            </w:pPr>
            <w:r>
              <w:rPr>
                <w:rFonts w:eastAsia="ＭＳ 明朝" w:hint="eastAsia"/>
                <w:lang w:val="en-US" w:eastAsia="ja-JP"/>
              </w:rPr>
              <w:t>M</w:t>
            </w:r>
            <w:r>
              <w:rPr>
                <w:rFonts w:eastAsia="ＭＳ 明朝"/>
                <w:lang w:val="en-US" w:eastAsia="ja-JP"/>
              </w:rPr>
              <w:t>ediaTek</w:t>
            </w:r>
          </w:p>
        </w:tc>
        <w:tc>
          <w:tcPr>
            <w:tcW w:w="2555" w:type="dxa"/>
          </w:tcPr>
          <w:p w14:paraId="32CA2569" w14:textId="797C7639" w:rsidR="00C02D62" w:rsidRPr="003D0CA4" w:rsidRDefault="003D0CA4" w:rsidP="00C02D62">
            <w:pPr>
              <w:spacing w:after="0" w:line="240" w:lineRule="auto"/>
              <w:rPr>
                <w:rFonts w:eastAsia="ＭＳ 明朝"/>
                <w:lang w:val="en-US" w:eastAsia="ja-JP"/>
              </w:rPr>
            </w:pPr>
            <w:r>
              <w:rPr>
                <w:rFonts w:eastAsia="ＭＳ 明朝" w:hint="eastAsia"/>
                <w:lang w:val="en-US" w:eastAsia="ja-JP"/>
              </w:rPr>
              <w:t>F</w:t>
            </w:r>
            <w:r>
              <w:rPr>
                <w:rFonts w:eastAsia="ＭＳ 明朝"/>
                <w:lang w:val="en-US" w:eastAsia="ja-JP"/>
              </w:rPr>
              <w:t>elix Tsai</w:t>
            </w:r>
          </w:p>
        </w:tc>
        <w:tc>
          <w:tcPr>
            <w:tcW w:w="4748" w:type="dxa"/>
          </w:tcPr>
          <w:p w14:paraId="1009FD52" w14:textId="1C7DE5A7" w:rsidR="00C02D62" w:rsidRPr="003D0CA4" w:rsidRDefault="003D0CA4" w:rsidP="00C02D62">
            <w:pPr>
              <w:spacing w:after="0" w:line="240" w:lineRule="auto"/>
              <w:rPr>
                <w:rFonts w:eastAsia="ＭＳ 明朝"/>
                <w:lang w:val="en-US" w:eastAsia="ja-JP"/>
              </w:rPr>
            </w:pPr>
            <w:r>
              <w:rPr>
                <w:rFonts w:eastAsia="ＭＳ 明朝"/>
                <w:lang w:val="en-US" w:eastAsia="ja-JP"/>
              </w:rPr>
              <w:t>chun-fan.tsai@mediatek.com</w:t>
            </w:r>
          </w:p>
        </w:tc>
      </w:tr>
      <w:tr w:rsidR="00C02D62" w14:paraId="5385C55F" w14:textId="77777777" w:rsidTr="00C02D62">
        <w:tc>
          <w:tcPr>
            <w:tcW w:w="1713" w:type="dxa"/>
          </w:tcPr>
          <w:p w14:paraId="6564B8D6" w14:textId="5B7AC01F" w:rsidR="00C02D62" w:rsidRDefault="004D4887" w:rsidP="00C02D62">
            <w:pPr>
              <w:spacing w:after="0" w:line="240" w:lineRule="auto"/>
              <w:rPr>
                <w:lang w:val="en-US" w:eastAsia="ja-JP"/>
              </w:rPr>
            </w:pPr>
            <w:r>
              <w:rPr>
                <w:lang w:val="en-US" w:eastAsia="ja-JP"/>
              </w:rPr>
              <w:t>Docomo</w:t>
            </w:r>
          </w:p>
        </w:tc>
        <w:tc>
          <w:tcPr>
            <w:tcW w:w="2555" w:type="dxa"/>
          </w:tcPr>
          <w:p w14:paraId="6413D45D" w14:textId="42C3CE05" w:rsidR="00C02D62" w:rsidRDefault="004D4887" w:rsidP="00C02D62">
            <w:pPr>
              <w:spacing w:after="0" w:line="240" w:lineRule="auto"/>
              <w:rPr>
                <w:lang w:val="en-US" w:eastAsia="ja-JP"/>
              </w:rPr>
            </w:pPr>
            <w:r>
              <w:rPr>
                <w:lang w:val="en-US" w:eastAsia="ja-JP"/>
              </w:rPr>
              <w:t>Masato Taniguchi</w:t>
            </w:r>
          </w:p>
        </w:tc>
        <w:tc>
          <w:tcPr>
            <w:tcW w:w="4748" w:type="dxa"/>
          </w:tcPr>
          <w:p w14:paraId="67C6DFD4" w14:textId="78C41568" w:rsidR="00C02D62" w:rsidRDefault="004D4887" w:rsidP="00C02D62">
            <w:pPr>
              <w:spacing w:after="0" w:line="240" w:lineRule="auto"/>
              <w:rPr>
                <w:lang w:val="en-US" w:eastAsia="ja-JP"/>
              </w:rPr>
            </w:pPr>
            <w:r>
              <w:rPr>
                <w:lang w:val="en-US" w:eastAsia="ja-JP"/>
              </w:rPr>
              <w:t>masato.taniguchi.mf@nttdocomo.com</w:t>
            </w:r>
          </w:p>
        </w:tc>
      </w:tr>
      <w:tr w:rsidR="00C02D62" w14:paraId="0B3B5466" w14:textId="77777777" w:rsidTr="00C02D62">
        <w:tc>
          <w:tcPr>
            <w:tcW w:w="1713" w:type="dxa"/>
          </w:tcPr>
          <w:p w14:paraId="4DF1A2EE" w14:textId="77777777" w:rsidR="00C02D62" w:rsidRDefault="00C02D62" w:rsidP="00C02D62">
            <w:pPr>
              <w:spacing w:after="0" w:line="240" w:lineRule="auto"/>
              <w:rPr>
                <w:lang w:val="en-US" w:eastAsia="ja-JP"/>
              </w:rPr>
            </w:pPr>
          </w:p>
        </w:tc>
        <w:tc>
          <w:tcPr>
            <w:tcW w:w="2555" w:type="dxa"/>
          </w:tcPr>
          <w:p w14:paraId="4A0460FF" w14:textId="77777777" w:rsidR="00C02D62" w:rsidRDefault="00C02D62" w:rsidP="00C02D62">
            <w:pPr>
              <w:spacing w:after="0" w:line="240" w:lineRule="auto"/>
              <w:rPr>
                <w:lang w:val="en-US" w:eastAsia="ja-JP"/>
              </w:rPr>
            </w:pPr>
          </w:p>
        </w:tc>
        <w:tc>
          <w:tcPr>
            <w:tcW w:w="4748" w:type="dxa"/>
          </w:tcPr>
          <w:p w14:paraId="2509FCFE" w14:textId="77777777" w:rsidR="00C02D62" w:rsidRDefault="00C02D62" w:rsidP="00C02D62">
            <w:pPr>
              <w:spacing w:after="0" w:line="240" w:lineRule="auto"/>
              <w:rPr>
                <w:lang w:val="en-US" w:eastAsia="ja-JP"/>
              </w:rPr>
            </w:pPr>
          </w:p>
        </w:tc>
      </w:tr>
    </w:tbl>
    <w:p w14:paraId="7E218266" w14:textId="77777777" w:rsidR="009F5651" w:rsidRDefault="009F5651">
      <w:pPr>
        <w:rPr>
          <w:lang w:val="en-US"/>
        </w:rPr>
      </w:pPr>
    </w:p>
    <w:p w14:paraId="66948FD8" w14:textId="77777777" w:rsidR="009F5651" w:rsidRDefault="00955EA8">
      <w:pPr>
        <w:pStyle w:val="1"/>
        <w:rPr>
          <w:lang w:val="en-US"/>
        </w:rPr>
      </w:pPr>
      <w:r>
        <w:rPr>
          <w:lang w:val="en-US"/>
        </w:rPr>
        <w:t>Discussion</w:t>
      </w:r>
    </w:p>
    <w:p w14:paraId="6C5F36FF" w14:textId="77777777" w:rsidR="009F5651" w:rsidRDefault="00955EA8">
      <w:pPr>
        <w:pStyle w:val="2"/>
      </w:pPr>
      <w:r>
        <w:t>NCC handling for re-establishment and Resume</w:t>
      </w:r>
    </w:p>
    <w:p w14:paraId="1BCDB333" w14:textId="77777777" w:rsidR="009F5651" w:rsidRDefault="00955EA8">
      <w:pPr>
        <w:pStyle w:val="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 xml:space="preserve">Issues with use of NCC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Default="00955EA8">
      <w:pPr>
        <w:pStyle w:val="CRCoverPage"/>
        <w:numPr>
          <w:ilvl w:val="0"/>
          <w:numId w:val="3"/>
        </w:numPr>
        <w:spacing w:after="0"/>
        <w:rPr>
          <w:lang w:val="fr-FR"/>
        </w:rPr>
      </w:pPr>
      <w:r>
        <w:rPr>
          <w:lang w:val="fr-FR"/>
        </w:rPr>
        <w:t>The storage of NCC is moved to after key generation in the procedural text [for re-establishment]</w:t>
      </w:r>
    </w:p>
    <w:p w14:paraId="405E5C49" w14:textId="77777777" w:rsidR="009F5651" w:rsidRDefault="00955EA8">
      <w:pPr>
        <w:pStyle w:val="CRCoverPage"/>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aa"/>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Agree with QCOM.</w:t>
            </w:r>
          </w:p>
        </w:tc>
      </w:tr>
      <w:tr w:rsidR="00FF4B9E" w14:paraId="588C9A70" w14:textId="77777777">
        <w:tc>
          <w:tcPr>
            <w:tcW w:w="1555" w:type="dxa"/>
          </w:tcPr>
          <w:p w14:paraId="23EC9D12" w14:textId="135693C5" w:rsidR="00FF4B9E" w:rsidRDefault="00FF4B9E" w:rsidP="00C02D62">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7527F29" w14:textId="67970E77" w:rsidR="00FF4B9E" w:rsidRDefault="00FF4B9E" w:rsidP="00C02D62">
            <w:pPr>
              <w:spacing w:after="0" w:line="240" w:lineRule="auto"/>
            </w:pPr>
            <w:r>
              <w:t>Useful</w:t>
            </w:r>
          </w:p>
        </w:tc>
        <w:tc>
          <w:tcPr>
            <w:tcW w:w="1985" w:type="dxa"/>
          </w:tcPr>
          <w:p w14:paraId="42E53241" w14:textId="7ABD0849" w:rsidR="00FF4B9E" w:rsidRDefault="00FF4B9E" w:rsidP="00C02D62">
            <w:pPr>
              <w:spacing w:after="0" w:line="240" w:lineRule="auto"/>
            </w:pPr>
            <w:r>
              <w:t>Useful</w:t>
            </w:r>
          </w:p>
        </w:tc>
        <w:tc>
          <w:tcPr>
            <w:tcW w:w="3492" w:type="dxa"/>
          </w:tcPr>
          <w:p w14:paraId="6DC5CE6A" w14:textId="1275B2F6" w:rsidR="00FF4B9E" w:rsidRDefault="00FF4B9E" w:rsidP="00C02D62">
            <w:pPr>
              <w:spacing w:after="0" w:line="240" w:lineRule="auto"/>
              <w:rPr>
                <w:lang w:eastAsia="zh-CN"/>
              </w:rPr>
            </w:pPr>
            <w:r>
              <w:rPr>
                <w:rFonts w:hint="eastAsia"/>
                <w:lang w:eastAsia="zh-CN"/>
              </w:rPr>
              <w:t>W</w:t>
            </w:r>
            <w:r>
              <w:rPr>
                <w:lang w:eastAsia="zh-CN"/>
              </w:rPr>
              <w:t xml:space="preserve">e assume that current UE implementation already aligned with the proposals. </w:t>
            </w:r>
            <w:r w:rsidR="001B1AA7">
              <w:rPr>
                <w:lang w:eastAsia="zh-CN"/>
              </w:rPr>
              <w:t>But it would be good to make SPEC clear.</w:t>
            </w:r>
          </w:p>
        </w:tc>
      </w:tr>
      <w:tr w:rsidR="004D4887" w14:paraId="3681C951" w14:textId="77777777">
        <w:tc>
          <w:tcPr>
            <w:tcW w:w="1555" w:type="dxa"/>
          </w:tcPr>
          <w:p w14:paraId="157ABCC6" w14:textId="0F9CEF4B" w:rsidR="004D4887" w:rsidRDefault="004D4887" w:rsidP="00C02D62">
            <w:pPr>
              <w:spacing w:after="0" w:line="240" w:lineRule="auto"/>
              <w:rPr>
                <w:rFonts w:hint="eastAsia"/>
                <w:color w:val="000000" w:themeColor="text1"/>
                <w:lang w:val="en-US" w:eastAsia="zh-CN"/>
              </w:rPr>
            </w:pPr>
            <w:r>
              <w:rPr>
                <w:color w:val="000000" w:themeColor="text1"/>
                <w:lang w:val="en-US" w:eastAsia="zh-CN"/>
              </w:rPr>
              <w:t>Docomo</w:t>
            </w:r>
          </w:p>
        </w:tc>
        <w:tc>
          <w:tcPr>
            <w:tcW w:w="1984" w:type="dxa"/>
          </w:tcPr>
          <w:p w14:paraId="20A8B30D" w14:textId="71C20E91" w:rsidR="004D4887" w:rsidRDefault="004D4887" w:rsidP="00C02D62">
            <w:pPr>
              <w:spacing w:after="0" w:line="240" w:lineRule="auto"/>
            </w:pPr>
            <w:r>
              <w:t>Needed</w:t>
            </w:r>
          </w:p>
        </w:tc>
        <w:tc>
          <w:tcPr>
            <w:tcW w:w="1985" w:type="dxa"/>
          </w:tcPr>
          <w:p w14:paraId="02E9B944" w14:textId="36E965F6" w:rsidR="004D4887" w:rsidRDefault="004D4887" w:rsidP="00C02D62">
            <w:pPr>
              <w:spacing w:after="0" w:line="240" w:lineRule="auto"/>
            </w:pPr>
            <w:r>
              <w:t>Needed</w:t>
            </w:r>
          </w:p>
        </w:tc>
        <w:tc>
          <w:tcPr>
            <w:tcW w:w="3492" w:type="dxa"/>
          </w:tcPr>
          <w:p w14:paraId="7C9DDB77" w14:textId="711BE7F8" w:rsidR="004D4887" w:rsidRDefault="004D4887" w:rsidP="00C02D62">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14:paraId="5B751A60" w14:textId="5CB3E67B" w:rsidR="004D4887" w:rsidRDefault="004D4887" w:rsidP="00C02D62">
            <w:pPr>
              <w:spacing w:after="0" w:line="240" w:lineRule="auto"/>
              <w:rPr>
                <w:rFonts w:hint="eastAsia"/>
                <w:lang w:eastAsia="zh-CN"/>
              </w:rPr>
            </w:pPr>
            <w:r>
              <w:rPr>
                <w:lang w:eastAsia="zh-CN"/>
              </w:rPr>
              <w:t xml:space="preserve">We are ok to have “no interoperability issue” text as Nokia mentioned, </w:t>
            </w:r>
            <w:proofErr w:type="gramStart"/>
            <w:r>
              <w:rPr>
                <w:lang w:eastAsia="zh-CN"/>
              </w:rPr>
              <w:t>as long as</w:t>
            </w:r>
            <w:proofErr w:type="gramEnd"/>
            <w:r>
              <w:rPr>
                <w:lang w:eastAsia="zh-CN"/>
              </w:rPr>
              <w:t xml:space="preserve"> all the UE vendors confirm it.</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aa"/>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any,  on the technical details of the corrections </w:t>
            </w:r>
          </w:p>
        </w:tc>
      </w:tr>
      <w:tr w:rsidR="009F5651" w14:paraId="51E1BD2B" w14:textId="77777777">
        <w:tc>
          <w:tcPr>
            <w:tcW w:w="1838" w:type="dxa"/>
          </w:tcPr>
          <w:p w14:paraId="334F8DA8" w14:textId="20DBC098" w:rsidR="009F5651" w:rsidRDefault="009263EB">
            <w:pPr>
              <w:spacing w:after="0" w:line="240" w:lineRule="auto"/>
            </w:pPr>
            <w:r>
              <w:rPr>
                <w:rFonts w:hint="eastAsia"/>
              </w:rPr>
              <w:t>M</w:t>
            </w:r>
            <w:r>
              <w:t>ediaTek</w:t>
            </w:r>
          </w:p>
        </w:tc>
        <w:tc>
          <w:tcPr>
            <w:tcW w:w="7229" w:type="dxa"/>
          </w:tcPr>
          <w:p w14:paraId="2806FB8C" w14:textId="1B710642" w:rsidR="00FF4B9E" w:rsidRDefault="00FF4B9E" w:rsidP="009263EB">
            <w:pPr>
              <w:spacing w:after="0" w:line="240" w:lineRule="auto"/>
            </w:pPr>
            <w:r>
              <w:rPr>
                <w:rFonts w:hint="eastAsia"/>
              </w:rPr>
              <w:t>F</w:t>
            </w:r>
            <w:r>
              <w:t>urther comment on Resume case (with Reject)</w:t>
            </w:r>
          </w:p>
          <w:p w14:paraId="4E26B2C1" w14:textId="77777777" w:rsidR="00FF4B9E" w:rsidRPr="00FF4B9E" w:rsidRDefault="00FF4B9E" w:rsidP="009263EB">
            <w:pPr>
              <w:spacing w:after="0" w:line="240" w:lineRule="auto"/>
            </w:pPr>
          </w:p>
          <w:p w14:paraId="40F22CD2" w14:textId="00189A95" w:rsidR="00FF4B9E" w:rsidRDefault="009263EB" w:rsidP="009263EB">
            <w:pPr>
              <w:spacing w:after="0" w:line="240" w:lineRule="auto"/>
            </w:pPr>
            <w:r>
              <w:t xml:space="preserve">If the NCC received in </w:t>
            </w:r>
            <w:proofErr w:type="spellStart"/>
            <w:r>
              <w:t>suspendConfig</w:t>
            </w:r>
            <w:proofErr w:type="spellEnd"/>
            <w:r>
              <w:t xml:space="preserve"> is different from the current NCC, the UE will perform vertical key derivation when it sends </w:t>
            </w:r>
            <w:proofErr w:type="spellStart"/>
            <w:r>
              <w:t>RRCResumeRequest</w:t>
            </w:r>
            <w:proofErr w:type="spellEnd"/>
            <w:r>
              <w:t>. It means the UE will derive NH.</w:t>
            </w:r>
          </w:p>
          <w:p w14:paraId="1BC07B66" w14:textId="08A51A64" w:rsidR="009263EB" w:rsidRDefault="009263EB" w:rsidP="009263EB">
            <w:pPr>
              <w:spacing w:after="0" w:line="240" w:lineRule="auto"/>
            </w:pPr>
            <w:r>
              <w:t xml:space="preserve">Also NH is a parameter which UE needs to keep stored for the next key derivation purposes. This means that chapter 5.3.15.2 (Reception of </w:t>
            </w:r>
            <w:proofErr w:type="spellStart"/>
            <w:r>
              <w:t>RRCReject</w:t>
            </w:r>
            <w:proofErr w:type="spellEnd"/>
            <w:r>
              <w:t xml:space="preserve">) should also mention discard of NH, as it might have been derived due to 5.3.13.3. Otherwise, the spec is still unclear whether the UE should keep the NH or not. </w:t>
            </w:r>
          </w:p>
          <w:p w14:paraId="0DFA2ECA" w14:textId="1B6B90F7" w:rsidR="009F5651" w:rsidRDefault="009F5651" w:rsidP="009263EB">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2"/>
      </w:pPr>
      <w:r>
        <w:t xml:space="preserve">Correction on Full Configuration regarding </w:t>
      </w:r>
      <w:proofErr w:type="spellStart"/>
      <w:r>
        <w:t>reconfigWithSync</w:t>
      </w:r>
      <w:proofErr w:type="spellEnd"/>
    </w:p>
    <w:p w14:paraId="744ED02B" w14:textId="77777777" w:rsidR="009F5651" w:rsidRDefault="00955EA8">
      <w:pPr>
        <w:pStyle w:val="3"/>
        <w:numPr>
          <w:ilvl w:val="0"/>
          <w:numId w:val="0"/>
        </w:numPr>
      </w:pPr>
      <w:r>
        <w:t>Scope: Treat R2-2203327, R2-2203328</w:t>
      </w:r>
    </w:p>
    <w:p w14:paraId="0E94E4E8" w14:textId="77777777" w:rsidR="009F5651" w:rsidRDefault="009F5651"/>
    <w:p w14:paraId="011E3F53" w14:textId="77777777" w:rsidR="009F5651" w:rsidRDefault="00955EA8">
      <w:pPr>
        <w:pStyle w:val="Doc-title"/>
      </w:pPr>
      <w:r>
        <w:lastRenderedPageBreak/>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p>
    <w:p w14:paraId="0F5EA325" w14:textId="77777777" w:rsidR="009F5651" w:rsidRDefault="00955EA8">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aa"/>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This change is not essential. If majority wants to go for it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D5BC72F" w14:textId="77777777" w:rsidR="009F5651" w:rsidRDefault="00955EA8">
            <w:pPr>
              <w:spacing w:after="0" w:line="240" w:lineRule="auto"/>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9F5651" w14:paraId="79910DA5" w14:textId="77777777">
        <w:tc>
          <w:tcPr>
            <w:tcW w:w="1980" w:type="dxa"/>
          </w:tcPr>
          <w:p w14:paraId="6F07E0FC" w14:textId="77777777" w:rsidR="009F5651" w:rsidRDefault="00955EA8">
            <w:pPr>
              <w:spacing w:after="0" w:line="240" w:lineRule="auto"/>
            </w:pPr>
            <w:r>
              <w:rPr>
                <w:lang w:eastAsia="zh-CN"/>
              </w:rPr>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 xml:space="preserve">We agree with the case described here and would support this as the i.e., seems to indeed exclude other use cases. Usually anything in parentheses is </w:t>
            </w:r>
            <w:r>
              <w:lastRenderedPageBreak/>
              <w:t>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 editorial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lastRenderedPageBreak/>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proofErr w:type="gramStart"/>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r>
              <w:rPr>
                <w:rFonts w:ascii="Arial" w:eastAsia="SimSun"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r w:rsidR="003D0CA4" w14:paraId="24C0CC8B" w14:textId="77777777">
        <w:tc>
          <w:tcPr>
            <w:tcW w:w="1980" w:type="dxa"/>
          </w:tcPr>
          <w:p w14:paraId="58480848" w14:textId="5051C049" w:rsidR="003D0CA4" w:rsidRDefault="003D0CA4" w:rsidP="00C02D62">
            <w:pPr>
              <w:spacing w:after="0" w:line="240" w:lineRule="auto"/>
              <w:rPr>
                <w:lang w:val="en-US" w:eastAsia="zh-CN"/>
              </w:rPr>
            </w:pPr>
            <w:r>
              <w:rPr>
                <w:rFonts w:hint="eastAsia"/>
                <w:lang w:val="en-US" w:eastAsia="zh-CN"/>
              </w:rPr>
              <w:t>M</w:t>
            </w:r>
            <w:r>
              <w:rPr>
                <w:lang w:val="en-US" w:eastAsia="zh-CN"/>
              </w:rPr>
              <w:t>ediaTek</w:t>
            </w:r>
          </w:p>
        </w:tc>
        <w:tc>
          <w:tcPr>
            <w:tcW w:w="2126" w:type="dxa"/>
          </w:tcPr>
          <w:p w14:paraId="5E728C5E" w14:textId="25C1BC10" w:rsidR="003D0CA4" w:rsidRDefault="003D0CA4" w:rsidP="00C02D62">
            <w:pPr>
              <w:spacing w:after="0" w:line="240" w:lineRule="auto"/>
            </w:pPr>
            <w:r>
              <w:t>Not essential</w:t>
            </w:r>
          </w:p>
        </w:tc>
        <w:tc>
          <w:tcPr>
            <w:tcW w:w="4910" w:type="dxa"/>
          </w:tcPr>
          <w:p w14:paraId="6B7FE6A9" w14:textId="24258A24" w:rsidR="003D0CA4" w:rsidRDefault="003D0CA4" w:rsidP="00C02D62">
            <w:pPr>
              <w:spacing w:after="0" w:line="240" w:lineRule="auto"/>
              <w:rPr>
                <w:lang w:val="en-US" w:eastAsia="zh-CN"/>
              </w:rPr>
            </w:pPr>
            <w:r>
              <w:rPr>
                <w:rFonts w:hint="eastAsia"/>
                <w:lang w:val="en-US" w:eastAsia="zh-CN"/>
              </w:rPr>
              <w:t>W</w:t>
            </w:r>
            <w:r>
              <w:rPr>
                <w:lang w:val="en-US" w:eastAsia="zh-CN"/>
              </w:rPr>
              <w:t xml:space="preserve">e don’t really </w:t>
            </w:r>
            <w:r w:rsidR="003F0B6F">
              <w:rPr>
                <w:lang w:val="en-US" w:eastAsia="zh-CN"/>
              </w:rPr>
              <w:t>the CR</w:t>
            </w:r>
            <w:r>
              <w:rPr>
                <w:lang w:val="en-US" w:eastAsia="zh-CN"/>
              </w:rPr>
              <w:t xml:space="preserve"> change anything. But if majority prefer, we can </w:t>
            </w:r>
            <w:r w:rsidR="003F0B6F">
              <w:rPr>
                <w:lang w:val="en-US" w:eastAsia="zh-CN"/>
              </w:rPr>
              <w:t>accept</w:t>
            </w:r>
            <w:r>
              <w:rPr>
                <w:lang w:val="en-US" w:eastAsia="zh-CN"/>
              </w:rPr>
              <w:t xml:space="preserve"> it in rapporteur’s CR.</w:t>
            </w:r>
          </w:p>
        </w:tc>
      </w:tr>
      <w:tr w:rsidR="004D4887" w14:paraId="07878870" w14:textId="77777777">
        <w:tc>
          <w:tcPr>
            <w:tcW w:w="1980" w:type="dxa"/>
          </w:tcPr>
          <w:p w14:paraId="3D82FB86" w14:textId="7DB97672" w:rsidR="004D4887" w:rsidRDefault="004D4887" w:rsidP="00C02D62">
            <w:pPr>
              <w:spacing w:after="0" w:line="240" w:lineRule="auto"/>
              <w:rPr>
                <w:rFonts w:hint="eastAsia"/>
                <w:lang w:val="en-US" w:eastAsia="zh-CN"/>
              </w:rPr>
            </w:pPr>
            <w:r>
              <w:rPr>
                <w:lang w:val="en-US" w:eastAsia="zh-CN"/>
              </w:rPr>
              <w:t>Docomo</w:t>
            </w:r>
          </w:p>
        </w:tc>
        <w:tc>
          <w:tcPr>
            <w:tcW w:w="2126" w:type="dxa"/>
          </w:tcPr>
          <w:p w14:paraId="64F81068" w14:textId="54B8BAE3" w:rsidR="004D4887" w:rsidRDefault="004D4887" w:rsidP="00C02D62">
            <w:pPr>
              <w:spacing w:after="0" w:line="240" w:lineRule="auto"/>
            </w:pPr>
            <w:r>
              <w:t>Useful</w:t>
            </w:r>
          </w:p>
        </w:tc>
        <w:tc>
          <w:tcPr>
            <w:tcW w:w="4910" w:type="dxa"/>
          </w:tcPr>
          <w:p w14:paraId="1B9A3F9F" w14:textId="2C8561DA" w:rsidR="004D4887" w:rsidRDefault="004D4887" w:rsidP="00C02D62">
            <w:pPr>
              <w:spacing w:after="0" w:line="240" w:lineRule="auto"/>
              <w:rPr>
                <w:rFonts w:hint="eastAsia"/>
                <w:lang w:val="en-US" w:eastAsia="zh-CN"/>
              </w:rPr>
            </w:pPr>
            <w:r>
              <w:rPr>
                <w:lang w:val="en-US" w:eastAsia="zh-CN"/>
              </w:rPr>
              <w:t>Fine to have it in the Rapp’s CR.</w:t>
            </w:r>
          </w:p>
        </w:tc>
      </w:tr>
    </w:tbl>
    <w:p w14:paraId="502C9D1E" w14:textId="77777777" w:rsidR="009F5651" w:rsidRPr="003F0B6F" w:rsidRDefault="009F5651"/>
    <w:p w14:paraId="5A9473DE" w14:textId="77777777" w:rsidR="009F5651" w:rsidRDefault="00955EA8">
      <w:pPr>
        <w:rPr>
          <w:b/>
          <w:bCs/>
        </w:rPr>
      </w:pPr>
      <w:r>
        <w:rPr>
          <w:b/>
          <w:bCs/>
        </w:rPr>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aa"/>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any,  on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C08C" w14:textId="77777777" w:rsidR="006E164D" w:rsidRDefault="006E164D" w:rsidP="003D0CA4">
      <w:pPr>
        <w:spacing w:after="0" w:line="240" w:lineRule="auto"/>
      </w:pPr>
      <w:r>
        <w:separator/>
      </w:r>
    </w:p>
  </w:endnote>
  <w:endnote w:type="continuationSeparator" w:id="0">
    <w:p w14:paraId="2347932D" w14:textId="77777777" w:rsidR="006E164D" w:rsidRDefault="006E164D" w:rsidP="003D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2007" w14:textId="77777777" w:rsidR="006E164D" w:rsidRDefault="006E164D" w:rsidP="003D0CA4">
      <w:pPr>
        <w:spacing w:after="0" w:line="240" w:lineRule="auto"/>
      </w:pPr>
      <w:r>
        <w:separator/>
      </w:r>
    </w:p>
  </w:footnote>
  <w:footnote w:type="continuationSeparator" w:id="0">
    <w:p w14:paraId="55B5E079" w14:textId="77777777" w:rsidR="006E164D" w:rsidRDefault="006E164D" w:rsidP="003D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1AA7"/>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0CA4"/>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B6F"/>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887"/>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64D"/>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2BB9"/>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3EB"/>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033"/>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4B9E"/>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List"/>
    <w:basedOn w:val="a"/>
    <w:uiPriority w:val="99"/>
    <w:semiHidden/>
    <w:unhideWhenUsed/>
    <w:qFormat/>
    <w:pPr>
      <w:ind w:left="283" w:hanging="283"/>
      <w:contextualSpacing/>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Pr>
      <w:color w:val="954F72" w:themeColor="followedHyperlink"/>
      <w:u w:val="single"/>
    </w:rPr>
  </w:style>
  <w:style w:type="character" w:styleId="ac">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ＭＳ 明朝" w:hAnsi="Arial" w:cs="Times New Roman"/>
      <w:sz w:val="20"/>
      <w:szCs w:val="24"/>
      <w:lang w:eastAsia="en-GB"/>
    </w:rPr>
  </w:style>
  <w:style w:type="character" w:customStyle="1" w:styleId="Doc-titleChar">
    <w:name w:val="Doc-title Char"/>
    <w:link w:val="Doc-title"/>
    <w:qFormat/>
    <w:rPr>
      <w:rFonts w:ascii="Arial" w:eastAsia="ＭＳ 明朝"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9"/>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0">
    <w:name w:val="見出し 1 (文字)"/>
    <w:basedOn w:val="a0"/>
    <w:link w:val="1"/>
    <w:qFormat/>
    <w:rPr>
      <w:rFonts w:ascii="Arial" w:eastAsia="SimSun"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ＭＳ 明朝"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ＭＳ 明朝" w:hAnsi="Arial" w:cs="Times New Roman"/>
      <w:sz w:val="20"/>
      <w:szCs w:val="24"/>
      <w:lang w:eastAsia="en-GB"/>
    </w:rPr>
  </w:style>
  <w:style w:type="character" w:customStyle="1" w:styleId="EmailDiscussionChar">
    <w:name w:val="EmailDiscussion Char"/>
    <w:link w:val="EmailDiscussion"/>
    <w:qFormat/>
    <w:rPr>
      <w:rFonts w:ascii="Arial" w:eastAsia="ＭＳ 明朝" w:hAnsi="Arial" w:cs="Times New Roman"/>
      <w:b/>
      <w:sz w:val="20"/>
      <w:szCs w:val="24"/>
      <w:lang w:eastAsia="en-GB"/>
    </w:rPr>
  </w:style>
  <w:style w:type="character" w:customStyle="1" w:styleId="20">
    <w:name w:val="見出し 2 (文字)"/>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0">
    <w:name w:val="見出し 5 (文字)"/>
    <w:basedOn w:val="a0"/>
    <w:link w:val="5"/>
    <w:uiPriority w:val="9"/>
    <w:semiHidden/>
    <w:qFormat/>
    <w:rPr>
      <w:rFonts w:asciiTheme="majorHAnsi" w:eastAsiaTheme="majorEastAsia" w:hAnsiTheme="majorHAnsi" w:cstheme="majorBidi"/>
      <w:color w:val="2F5496" w:themeColor="accent1" w:themeShade="BF"/>
    </w:rPr>
  </w:style>
  <w:style w:type="character" w:customStyle="1" w:styleId="60">
    <w:name w:val="見出し 6 (文字)"/>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ヘッダー (文字)"/>
    <w:basedOn w:val="a0"/>
    <w:link w:val="a7"/>
    <w:uiPriority w:val="99"/>
    <w:qFormat/>
  </w:style>
  <w:style w:type="character" w:customStyle="1" w:styleId="a6">
    <w:name w:val="フッター (文字)"/>
    <w:basedOn w:val="a0"/>
    <w:link w:val="a5"/>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4">
    <w:name w:val="吹き出し (文字)"/>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1652</Words>
  <Characters>9423</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Docomo (Masato)</cp:lastModifiedBy>
  <cp:revision>6</cp:revision>
  <dcterms:created xsi:type="dcterms:W3CDTF">2022-02-23T02:16:00Z</dcterms:created>
  <dcterms:modified xsi:type="dcterms:W3CDTF">2022-02-23T08:48:00Z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y fmtid="{D5CDD505-2E9C-101B-9397-08002B2CF9AE}" pid="10" name="KSOProductBuildVer">
    <vt:lpwstr>2052-11.8.2.9022</vt:lpwstr>
  </property>
</Properties>
</file>