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 xml:space="preserve">Pavan </w:t>
            </w:r>
            <w:proofErr w:type="spellStart"/>
            <w:r>
              <w:rPr>
                <w:rFonts w:ascii="Calibri" w:hAnsi="Calibri" w:cs="Calibri"/>
                <w:sz w:val="22"/>
                <w:szCs w:val="22"/>
                <w:lang w:val="it-IT"/>
              </w:rPr>
              <w:t>Nuggehali</w:t>
            </w:r>
            <w:proofErr w:type="spellEnd"/>
            <w:r>
              <w:rPr>
                <w:rFonts w:ascii="Calibri" w:hAnsi="Calibri" w:cs="Calibri"/>
                <w:sz w:val="22"/>
                <w:szCs w:val="22"/>
                <w:lang w:val="it-IT"/>
              </w:rPr>
              <w:t xml:space="preserve">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DengXian"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DengXian"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4F996192" w:rsidR="002326C2" w:rsidRDefault="002326C2">
            <w:pPr>
              <w:rPr>
                <w:rFonts w:eastAsia="DengXian"/>
              </w:rPr>
            </w:pPr>
          </w:p>
        </w:tc>
        <w:tc>
          <w:tcPr>
            <w:tcW w:w="2126" w:type="dxa"/>
            <w:shd w:val="clear" w:color="auto" w:fill="auto"/>
          </w:tcPr>
          <w:p w14:paraId="7A256626" w14:textId="174BBCDE" w:rsidR="002326C2" w:rsidRDefault="002326C2">
            <w:pPr>
              <w:jc w:val="left"/>
              <w:rPr>
                <w:rFonts w:eastAsia="DengXian"/>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326C2" w14:paraId="7A25662C" w14:textId="77777777" w:rsidTr="00146E4C">
        <w:tc>
          <w:tcPr>
            <w:tcW w:w="1413" w:type="dxa"/>
            <w:shd w:val="clear" w:color="auto" w:fill="auto"/>
          </w:tcPr>
          <w:p w14:paraId="7A256629" w14:textId="3A6F3908" w:rsidR="002326C2" w:rsidRDefault="002326C2">
            <w:pPr>
              <w:rPr>
                <w:rFonts w:eastAsia="DengXian"/>
              </w:rPr>
            </w:pPr>
          </w:p>
        </w:tc>
        <w:tc>
          <w:tcPr>
            <w:tcW w:w="2126" w:type="dxa"/>
            <w:shd w:val="clear" w:color="auto" w:fill="auto"/>
          </w:tcPr>
          <w:p w14:paraId="7A25662A" w14:textId="4A40FE79" w:rsidR="002326C2" w:rsidRDefault="002326C2">
            <w:pPr>
              <w:jc w:val="left"/>
              <w:rPr>
                <w:rFonts w:eastAsia="DengXian"/>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 xml:space="preserve">Option 3: </w:t>
            </w:r>
            <w:proofErr w:type="spellStart"/>
            <w:r>
              <w:rPr>
                <w:rFonts w:eastAsia="DengXian"/>
              </w:rPr>
              <w:t>eMTC</w:t>
            </w:r>
            <w:proofErr w:type="spellEnd"/>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77777777" w:rsidR="00146E4C" w:rsidRDefault="00146E4C" w:rsidP="007F7189">
            <w:pPr>
              <w:rPr>
                <w:rFonts w:eastAsia="DengXian"/>
              </w:rPr>
            </w:pPr>
          </w:p>
        </w:tc>
        <w:tc>
          <w:tcPr>
            <w:tcW w:w="2126" w:type="dxa"/>
            <w:shd w:val="clear" w:color="auto" w:fill="auto"/>
          </w:tcPr>
          <w:p w14:paraId="77E0CAEF" w14:textId="77777777" w:rsidR="00146E4C" w:rsidRDefault="00146E4C" w:rsidP="007F7189">
            <w:pPr>
              <w:jc w:val="left"/>
              <w:rPr>
                <w:rFonts w:eastAsia="DengXian"/>
              </w:rPr>
            </w:pP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146E4C" w14:paraId="284D5F44" w14:textId="77777777" w:rsidTr="007F7189">
        <w:tc>
          <w:tcPr>
            <w:tcW w:w="1413" w:type="dxa"/>
            <w:shd w:val="clear" w:color="auto" w:fill="auto"/>
          </w:tcPr>
          <w:p w14:paraId="14ADEC73" w14:textId="77777777" w:rsidR="00146E4C" w:rsidRDefault="00146E4C" w:rsidP="007F7189">
            <w:pPr>
              <w:rPr>
                <w:rFonts w:eastAsia="DengXian"/>
              </w:rPr>
            </w:pPr>
          </w:p>
        </w:tc>
        <w:tc>
          <w:tcPr>
            <w:tcW w:w="2126" w:type="dxa"/>
            <w:shd w:val="clear" w:color="auto" w:fill="auto"/>
          </w:tcPr>
          <w:p w14:paraId="6F54BEE2" w14:textId="77777777" w:rsidR="00146E4C" w:rsidRDefault="00146E4C" w:rsidP="007F7189">
            <w:pPr>
              <w:jc w:val="left"/>
              <w:rPr>
                <w:rFonts w:eastAsia="DengXian"/>
              </w:rPr>
            </w:pPr>
          </w:p>
        </w:tc>
        <w:tc>
          <w:tcPr>
            <w:tcW w:w="6095" w:type="dxa"/>
            <w:shd w:val="clear" w:color="auto" w:fill="auto"/>
          </w:tcPr>
          <w:p w14:paraId="212BCC67" w14:textId="77777777" w:rsidR="00146E4C" w:rsidRDefault="00146E4C" w:rsidP="007F7189">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lastRenderedPageBreak/>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5C5E507B" w:rsidR="002326C2" w:rsidRDefault="002326C2">
            <w:pPr>
              <w:rPr>
                <w:rFonts w:eastAsia="DengXian"/>
              </w:rPr>
            </w:pPr>
          </w:p>
        </w:tc>
        <w:tc>
          <w:tcPr>
            <w:tcW w:w="1815" w:type="dxa"/>
            <w:shd w:val="clear" w:color="auto" w:fill="auto"/>
          </w:tcPr>
          <w:p w14:paraId="7A25675D" w14:textId="76880CC1" w:rsidR="002326C2" w:rsidRDefault="002326C2">
            <w:pPr>
              <w:jc w:val="left"/>
              <w:rPr>
                <w:rFonts w:eastAsia="DengXian"/>
              </w:rPr>
            </w:pP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326C2" w14:paraId="7A256763" w14:textId="77777777" w:rsidTr="00B37B82">
        <w:tc>
          <w:tcPr>
            <w:tcW w:w="1413" w:type="dxa"/>
            <w:shd w:val="clear" w:color="auto" w:fill="auto"/>
          </w:tcPr>
          <w:p w14:paraId="7A256760" w14:textId="74A9378D" w:rsidR="002326C2" w:rsidRDefault="002326C2">
            <w:pPr>
              <w:rPr>
                <w:rFonts w:eastAsia="DengXian"/>
              </w:rPr>
            </w:pPr>
          </w:p>
        </w:tc>
        <w:tc>
          <w:tcPr>
            <w:tcW w:w="1815" w:type="dxa"/>
            <w:shd w:val="clear" w:color="auto" w:fill="auto"/>
          </w:tcPr>
          <w:p w14:paraId="7A256761" w14:textId="29426F01" w:rsidR="002326C2" w:rsidRDefault="002326C2">
            <w:pPr>
              <w:jc w:val="left"/>
              <w:rPr>
                <w:rFonts w:eastAsia="DengXian"/>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B02549" w14:paraId="2D7768E7" w14:textId="77777777" w:rsidTr="007F7189">
        <w:tc>
          <w:tcPr>
            <w:tcW w:w="1413" w:type="dxa"/>
            <w:shd w:val="clear" w:color="auto" w:fill="auto"/>
          </w:tcPr>
          <w:p w14:paraId="597E7C6D" w14:textId="77777777" w:rsidR="00B02549" w:rsidRDefault="00B02549" w:rsidP="00B02549">
            <w:pPr>
              <w:rPr>
                <w:rFonts w:eastAsia="DengXian"/>
              </w:rPr>
            </w:pPr>
          </w:p>
        </w:tc>
        <w:tc>
          <w:tcPr>
            <w:tcW w:w="1815" w:type="dxa"/>
            <w:shd w:val="clear" w:color="auto" w:fill="auto"/>
          </w:tcPr>
          <w:p w14:paraId="647851FD" w14:textId="77777777" w:rsidR="00B02549" w:rsidRDefault="00B02549" w:rsidP="00B02549">
            <w:pPr>
              <w:jc w:val="left"/>
              <w:rPr>
                <w:rFonts w:eastAsia="DengXian"/>
              </w:rPr>
            </w:pPr>
          </w:p>
        </w:tc>
        <w:tc>
          <w:tcPr>
            <w:tcW w:w="6406" w:type="dxa"/>
            <w:shd w:val="clear" w:color="auto" w:fill="auto"/>
          </w:tcPr>
          <w:p w14:paraId="76EE426E" w14:textId="77777777" w:rsidR="00B02549" w:rsidRDefault="00B02549" w:rsidP="00B02549">
            <w:pPr>
              <w:overflowPunct/>
              <w:autoSpaceDE/>
              <w:autoSpaceDN/>
              <w:adjustRightInd/>
              <w:spacing w:after="180"/>
              <w:jc w:val="left"/>
              <w:textAlignment w:val="auto"/>
              <w:rPr>
                <w:rFonts w:eastAsia="DengXian"/>
              </w:rPr>
            </w:pPr>
          </w:p>
        </w:tc>
      </w:tr>
      <w:tr w:rsidR="00B02549" w14:paraId="0B0A6529" w14:textId="77777777" w:rsidTr="007F7189">
        <w:tc>
          <w:tcPr>
            <w:tcW w:w="1413" w:type="dxa"/>
            <w:shd w:val="clear" w:color="auto" w:fill="auto"/>
          </w:tcPr>
          <w:p w14:paraId="590031F8" w14:textId="77777777" w:rsidR="00B02549" w:rsidRDefault="00B02549" w:rsidP="00B02549">
            <w:pPr>
              <w:rPr>
                <w:rFonts w:eastAsia="DengXian"/>
              </w:rPr>
            </w:pPr>
          </w:p>
        </w:tc>
        <w:tc>
          <w:tcPr>
            <w:tcW w:w="1815" w:type="dxa"/>
            <w:shd w:val="clear" w:color="auto" w:fill="auto"/>
          </w:tcPr>
          <w:p w14:paraId="7789DEF1" w14:textId="77777777" w:rsidR="00B02549" w:rsidRDefault="00B02549" w:rsidP="00B02549">
            <w:pPr>
              <w:jc w:val="left"/>
              <w:rPr>
                <w:rFonts w:eastAsia="DengXian"/>
              </w:rPr>
            </w:pPr>
          </w:p>
        </w:tc>
        <w:tc>
          <w:tcPr>
            <w:tcW w:w="6406" w:type="dxa"/>
            <w:shd w:val="clear" w:color="auto" w:fill="auto"/>
          </w:tcPr>
          <w:p w14:paraId="7F3ABA4F" w14:textId="77777777" w:rsidR="00B02549" w:rsidRDefault="00B02549" w:rsidP="00B02549">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 xml:space="preserve">(TA reporting controlled by </w:t>
            </w:r>
            <w:r w:rsidRPr="00FE7F34">
              <w:rPr>
                <w:color w:val="FF0000"/>
              </w:rPr>
              <w:lastRenderedPageBreak/>
              <w:t>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B02549" w14:paraId="1D803416" w14:textId="77777777" w:rsidTr="007F7189">
        <w:tc>
          <w:tcPr>
            <w:tcW w:w="1413" w:type="dxa"/>
            <w:shd w:val="clear" w:color="auto" w:fill="auto"/>
          </w:tcPr>
          <w:p w14:paraId="0968262E" w14:textId="77777777" w:rsidR="00B02549" w:rsidRDefault="00B02549" w:rsidP="00B02549">
            <w:pPr>
              <w:rPr>
                <w:rFonts w:eastAsia="DengXian"/>
              </w:rPr>
            </w:pPr>
          </w:p>
        </w:tc>
        <w:tc>
          <w:tcPr>
            <w:tcW w:w="1815" w:type="dxa"/>
            <w:shd w:val="clear" w:color="auto" w:fill="auto"/>
          </w:tcPr>
          <w:p w14:paraId="7B8D5E64" w14:textId="77777777" w:rsidR="00B02549" w:rsidRDefault="00B02549" w:rsidP="00B02549">
            <w:pPr>
              <w:jc w:val="left"/>
              <w:rPr>
                <w:rFonts w:eastAsia="DengXian"/>
              </w:rPr>
            </w:pPr>
          </w:p>
        </w:tc>
        <w:tc>
          <w:tcPr>
            <w:tcW w:w="6406" w:type="dxa"/>
            <w:shd w:val="clear" w:color="auto" w:fill="auto"/>
          </w:tcPr>
          <w:p w14:paraId="796B1E8E" w14:textId="77777777" w:rsidR="00B02549" w:rsidRDefault="00B02549" w:rsidP="00B02549">
            <w:pPr>
              <w:overflowPunct/>
              <w:autoSpaceDE/>
              <w:autoSpaceDN/>
              <w:adjustRightInd/>
              <w:spacing w:after="180"/>
              <w:jc w:val="left"/>
              <w:textAlignment w:val="auto"/>
              <w:rPr>
                <w:rFonts w:eastAsia="DengXian"/>
              </w:rPr>
            </w:pPr>
          </w:p>
        </w:tc>
      </w:tr>
      <w:tr w:rsidR="00B02549" w14:paraId="06B8F1E4" w14:textId="77777777" w:rsidTr="007F7189">
        <w:tc>
          <w:tcPr>
            <w:tcW w:w="1413" w:type="dxa"/>
            <w:shd w:val="clear" w:color="auto" w:fill="auto"/>
          </w:tcPr>
          <w:p w14:paraId="5A5AE544" w14:textId="77777777" w:rsidR="00B02549" w:rsidRDefault="00B02549" w:rsidP="00B02549">
            <w:pPr>
              <w:rPr>
                <w:rFonts w:eastAsia="DengXian"/>
              </w:rPr>
            </w:pPr>
          </w:p>
        </w:tc>
        <w:tc>
          <w:tcPr>
            <w:tcW w:w="1815" w:type="dxa"/>
            <w:shd w:val="clear" w:color="auto" w:fill="auto"/>
          </w:tcPr>
          <w:p w14:paraId="6C1A4129" w14:textId="77777777" w:rsidR="00B02549" w:rsidRDefault="00B02549" w:rsidP="00B02549">
            <w:pPr>
              <w:jc w:val="left"/>
              <w:rPr>
                <w:rFonts w:eastAsia="DengXian"/>
              </w:rPr>
            </w:pPr>
          </w:p>
        </w:tc>
        <w:tc>
          <w:tcPr>
            <w:tcW w:w="6406" w:type="dxa"/>
            <w:shd w:val="clear" w:color="auto" w:fill="auto"/>
          </w:tcPr>
          <w:p w14:paraId="4642AB78" w14:textId="77777777" w:rsidR="00B02549" w:rsidRDefault="00B02549" w:rsidP="00B02549">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lastRenderedPageBreak/>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B02549" w14:paraId="07105FC1" w14:textId="77777777" w:rsidTr="007F7189">
        <w:tc>
          <w:tcPr>
            <w:tcW w:w="1413" w:type="dxa"/>
            <w:shd w:val="clear" w:color="auto" w:fill="auto"/>
          </w:tcPr>
          <w:p w14:paraId="279E755A" w14:textId="77777777" w:rsidR="00B02549" w:rsidRDefault="00B02549" w:rsidP="00B02549">
            <w:pPr>
              <w:rPr>
                <w:rFonts w:eastAsia="DengXian"/>
              </w:rPr>
            </w:pPr>
          </w:p>
        </w:tc>
        <w:tc>
          <w:tcPr>
            <w:tcW w:w="1815" w:type="dxa"/>
            <w:shd w:val="clear" w:color="auto" w:fill="auto"/>
          </w:tcPr>
          <w:p w14:paraId="0508B5BF" w14:textId="77777777" w:rsidR="00B02549" w:rsidRDefault="00B02549" w:rsidP="00B02549">
            <w:pPr>
              <w:jc w:val="left"/>
              <w:rPr>
                <w:rFonts w:eastAsia="DengXian"/>
              </w:rPr>
            </w:pPr>
          </w:p>
        </w:tc>
        <w:tc>
          <w:tcPr>
            <w:tcW w:w="6406" w:type="dxa"/>
            <w:shd w:val="clear" w:color="auto" w:fill="auto"/>
          </w:tcPr>
          <w:p w14:paraId="3A310EC5" w14:textId="77777777" w:rsidR="00B02549" w:rsidRDefault="00B02549" w:rsidP="00B02549">
            <w:pPr>
              <w:overflowPunct/>
              <w:autoSpaceDE/>
              <w:autoSpaceDN/>
              <w:adjustRightInd/>
              <w:spacing w:after="180"/>
              <w:jc w:val="left"/>
              <w:textAlignment w:val="auto"/>
              <w:rPr>
                <w:rFonts w:eastAsia="DengXian"/>
              </w:rPr>
            </w:pPr>
          </w:p>
        </w:tc>
      </w:tr>
      <w:tr w:rsidR="00B02549" w14:paraId="296DDEF7" w14:textId="77777777" w:rsidTr="007F7189">
        <w:tc>
          <w:tcPr>
            <w:tcW w:w="1413" w:type="dxa"/>
            <w:shd w:val="clear" w:color="auto" w:fill="auto"/>
          </w:tcPr>
          <w:p w14:paraId="1A362DD5" w14:textId="77777777" w:rsidR="00B02549" w:rsidRDefault="00B02549" w:rsidP="00B02549">
            <w:pPr>
              <w:rPr>
                <w:rFonts w:eastAsia="DengXian"/>
              </w:rPr>
            </w:pPr>
          </w:p>
        </w:tc>
        <w:tc>
          <w:tcPr>
            <w:tcW w:w="1815" w:type="dxa"/>
            <w:shd w:val="clear" w:color="auto" w:fill="auto"/>
          </w:tcPr>
          <w:p w14:paraId="2B88F921" w14:textId="77777777" w:rsidR="00B02549" w:rsidRDefault="00B02549" w:rsidP="00B02549">
            <w:pPr>
              <w:jc w:val="left"/>
              <w:rPr>
                <w:rFonts w:eastAsia="DengXian"/>
              </w:rPr>
            </w:pPr>
          </w:p>
        </w:tc>
        <w:tc>
          <w:tcPr>
            <w:tcW w:w="6406" w:type="dxa"/>
            <w:shd w:val="clear" w:color="auto" w:fill="auto"/>
          </w:tcPr>
          <w:p w14:paraId="40CA3C08" w14:textId="77777777" w:rsidR="00B02549" w:rsidRDefault="00B02549" w:rsidP="00B02549">
            <w:pPr>
              <w:overflowPunct/>
              <w:autoSpaceDE/>
              <w:autoSpaceDN/>
              <w:adjustRightInd/>
              <w:spacing w:after="180"/>
              <w:jc w:val="left"/>
              <w:textAlignment w:val="auto"/>
              <w:rPr>
                <w:rFonts w:eastAsia="DengXian"/>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lastRenderedPageBreak/>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713A70" w14:paraId="71D9441B" w14:textId="77777777" w:rsidTr="002A6BA0">
        <w:tc>
          <w:tcPr>
            <w:tcW w:w="1413" w:type="dxa"/>
            <w:shd w:val="clear" w:color="auto" w:fill="auto"/>
          </w:tcPr>
          <w:p w14:paraId="7BAC6C25" w14:textId="77777777" w:rsidR="00713A70" w:rsidRDefault="00713A70" w:rsidP="007F7189">
            <w:pPr>
              <w:rPr>
                <w:rFonts w:eastAsia="DengXian"/>
              </w:rPr>
            </w:pPr>
          </w:p>
        </w:tc>
        <w:tc>
          <w:tcPr>
            <w:tcW w:w="2835" w:type="dxa"/>
            <w:shd w:val="clear" w:color="auto" w:fill="auto"/>
          </w:tcPr>
          <w:p w14:paraId="20BDC925" w14:textId="77777777" w:rsidR="00713A70" w:rsidRDefault="00713A70" w:rsidP="007F7189">
            <w:pPr>
              <w:jc w:val="left"/>
              <w:rPr>
                <w:rFonts w:eastAsia="DengXian"/>
              </w:rPr>
            </w:pPr>
          </w:p>
        </w:tc>
        <w:tc>
          <w:tcPr>
            <w:tcW w:w="5386" w:type="dxa"/>
            <w:shd w:val="clear" w:color="auto" w:fill="auto"/>
          </w:tcPr>
          <w:p w14:paraId="2BDA541A" w14:textId="77777777" w:rsidR="00713A70" w:rsidRDefault="00713A70" w:rsidP="007F7189">
            <w:pPr>
              <w:overflowPunct/>
              <w:autoSpaceDE/>
              <w:autoSpaceDN/>
              <w:adjustRightInd/>
              <w:spacing w:after="180"/>
              <w:jc w:val="left"/>
              <w:textAlignment w:val="auto"/>
              <w:rPr>
                <w:rFonts w:eastAsia="DengXian"/>
              </w:rPr>
            </w:pPr>
          </w:p>
        </w:tc>
      </w:tr>
      <w:tr w:rsidR="00713A70" w14:paraId="1996473F" w14:textId="77777777" w:rsidTr="002A6BA0">
        <w:tc>
          <w:tcPr>
            <w:tcW w:w="1413" w:type="dxa"/>
            <w:shd w:val="clear" w:color="auto" w:fill="auto"/>
          </w:tcPr>
          <w:p w14:paraId="3716B7C5" w14:textId="77777777" w:rsidR="00713A70" w:rsidRDefault="00713A70" w:rsidP="007F7189">
            <w:pPr>
              <w:rPr>
                <w:rFonts w:eastAsia="DengXian"/>
              </w:rPr>
            </w:pPr>
          </w:p>
        </w:tc>
        <w:tc>
          <w:tcPr>
            <w:tcW w:w="2835" w:type="dxa"/>
            <w:shd w:val="clear" w:color="auto" w:fill="auto"/>
          </w:tcPr>
          <w:p w14:paraId="7D94D30F" w14:textId="77777777" w:rsidR="00713A70" w:rsidRDefault="00713A70" w:rsidP="007F7189">
            <w:pPr>
              <w:jc w:val="left"/>
              <w:rPr>
                <w:rFonts w:eastAsia="DengXian"/>
              </w:rPr>
            </w:pPr>
          </w:p>
        </w:tc>
        <w:tc>
          <w:tcPr>
            <w:tcW w:w="5386" w:type="dxa"/>
            <w:shd w:val="clear" w:color="auto" w:fill="auto"/>
          </w:tcPr>
          <w:p w14:paraId="5171E620" w14:textId="77777777" w:rsidR="00713A70" w:rsidRDefault="00713A70" w:rsidP="007F7189">
            <w:pPr>
              <w:overflowPunct/>
              <w:autoSpaceDE/>
              <w:autoSpaceDN/>
              <w:adjustRightInd/>
              <w:spacing w:after="180"/>
              <w:jc w:val="left"/>
              <w:textAlignment w:val="auto"/>
              <w:rPr>
                <w:rFonts w:eastAsia="DengXian"/>
              </w:rPr>
            </w:pPr>
          </w:p>
        </w:tc>
      </w:tr>
    </w:tbl>
    <w:p w14:paraId="2987C3CB" w14:textId="77777777"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77777777" w:rsidR="00B02549" w:rsidRDefault="00B02549" w:rsidP="00B02549">
            <w:pPr>
              <w:rPr>
                <w:rFonts w:eastAsia="DengXian"/>
              </w:rPr>
            </w:pPr>
          </w:p>
        </w:tc>
        <w:tc>
          <w:tcPr>
            <w:tcW w:w="1815" w:type="dxa"/>
            <w:shd w:val="clear" w:color="auto" w:fill="auto"/>
          </w:tcPr>
          <w:p w14:paraId="30D32707" w14:textId="77777777" w:rsidR="00B02549" w:rsidRDefault="00B02549" w:rsidP="00B02549">
            <w:pPr>
              <w:jc w:val="left"/>
              <w:rPr>
                <w:rFonts w:eastAsia="DengXian"/>
              </w:rPr>
            </w:pP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B02549" w14:paraId="578241DB" w14:textId="77777777" w:rsidTr="007F7189">
        <w:tc>
          <w:tcPr>
            <w:tcW w:w="1413" w:type="dxa"/>
            <w:shd w:val="clear" w:color="auto" w:fill="auto"/>
          </w:tcPr>
          <w:p w14:paraId="395E561E" w14:textId="77777777" w:rsidR="00B02549" w:rsidRDefault="00B02549" w:rsidP="00B02549">
            <w:pPr>
              <w:rPr>
                <w:rFonts w:eastAsia="DengXian"/>
              </w:rPr>
            </w:pPr>
          </w:p>
        </w:tc>
        <w:tc>
          <w:tcPr>
            <w:tcW w:w="1815" w:type="dxa"/>
            <w:shd w:val="clear" w:color="auto" w:fill="auto"/>
          </w:tcPr>
          <w:p w14:paraId="731A9B3B" w14:textId="77777777" w:rsidR="00B02549" w:rsidRDefault="00B02549" w:rsidP="00B02549">
            <w:pPr>
              <w:jc w:val="left"/>
              <w:rPr>
                <w:rFonts w:eastAsia="DengXian"/>
              </w:rPr>
            </w:pPr>
          </w:p>
        </w:tc>
        <w:tc>
          <w:tcPr>
            <w:tcW w:w="6406" w:type="dxa"/>
            <w:shd w:val="clear" w:color="auto" w:fill="auto"/>
          </w:tcPr>
          <w:p w14:paraId="5EC21A92" w14:textId="77777777" w:rsidR="00B02549" w:rsidRDefault="00B02549" w:rsidP="00B02549">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lastRenderedPageBreak/>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B02549" w14:paraId="7D2361DA" w14:textId="77777777" w:rsidTr="007F7189">
        <w:tc>
          <w:tcPr>
            <w:tcW w:w="1413" w:type="dxa"/>
            <w:shd w:val="clear" w:color="auto" w:fill="auto"/>
          </w:tcPr>
          <w:p w14:paraId="0E064BD9" w14:textId="77777777" w:rsidR="00B02549" w:rsidRDefault="00B02549" w:rsidP="00B02549">
            <w:pPr>
              <w:rPr>
                <w:rFonts w:eastAsia="DengXian"/>
              </w:rPr>
            </w:pPr>
          </w:p>
        </w:tc>
        <w:tc>
          <w:tcPr>
            <w:tcW w:w="1815" w:type="dxa"/>
            <w:shd w:val="clear" w:color="auto" w:fill="auto"/>
          </w:tcPr>
          <w:p w14:paraId="22987549" w14:textId="77777777" w:rsidR="00B02549" w:rsidRDefault="00B02549" w:rsidP="00B02549">
            <w:pPr>
              <w:jc w:val="left"/>
              <w:rPr>
                <w:rFonts w:eastAsia="DengXian"/>
              </w:rPr>
            </w:pPr>
          </w:p>
        </w:tc>
        <w:tc>
          <w:tcPr>
            <w:tcW w:w="6406" w:type="dxa"/>
            <w:shd w:val="clear" w:color="auto" w:fill="auto"/>
          </w:tcPr>
          <w:p w14:paraId="4DD846DD" w14:textId="77777777" w:rsidR="00B02549" w:rsidRDefault="00B02549" w:rsidP="00B02549">
            <w:pPr>
              <w:overflowPunct/>
              <w:autoSpaceDE/>
              <w:autoSpaceDN/>
              <w:adjustRightInd/>
              <w:spacing w:after="180"/>
              <w:jc w:val="left"/>
              <w:textAlignment w:val="auto"/>
              <w:rPr>
                <w:rFonts w:eastAsia="DengXian"/>
              </w:rPr>
            </w:pPr>
          </w:p>
        </w:tc>
      </w:tr>
      <w:tr w:rsidR="00B02549" w14:paraId="50C804AE" w14:textId="77777777" w:rsidTr="007F7189">
        <w:tc>
          <w:tcPr>
            <w:tcW w:w="1413" w:type="dxa"/>
            <w:shd w:val="clear" w:color="auto" w:fill="auto"/>
          </w:tcPr>
          <w:p w14:paraId="516DD2AB" w14:textId="77777777" w:rsidR="00B02549" w:rsidRDefault="00B02549" w:rsidP="00B02549">
            <w:pPr>
              <w:rPr>
                <w:rFonts w:eastAsia="DengXian"/>
              </w:rPr>
            </w:pPr>
          </w:p>
        </w:tc>
        <w:tc>
          <w:tcPr>
            <w:tcW w:w="1815" w:type="dxa"/>
            <w:shd w:val="clear" w:color="auto" w:fill="auto"/>
          </w:tcPr>
          <w:p w14:paraId="7D37C84D" w14:textId="77777777" w:rsidR="00B02549" w:rsidRDefault="00B02549" w:rsidP="00B02549">
            <w:pPr>
              <w:jc w:val="left"/>
              <w:rPr>
                <w:rFonts w:eastAsia="DengXian"/>
              </w:rPr>
            </w:pPr>
          </w:p>
        </w:tc>
        <w:tc>
          <w:tcPr>
            <w:tcW w:w="6406" w:type="dxa"/>
            <w:shd w:val="clear" w:color="auto" w:fill="auto"/>
          </w:tcPr>
          <w:p w14:paraId="600C3E89" w14:textId="77777777" w:rsidR="00B02549" w:rsidRDefault="00B02549" w:rsidP="00B02549">
            <w:pPr>
              <w:overflowPunct/>
              <w:autoSpaceDE/>
              <w:autoSpaceDN/>
              <w:adjustRightInd/>
              <w:spacing w:after="180"/>
              <w:jc w:val="left"/>
              <w:textAlignment w:val="auto"/>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proofErr w:type="spellStart"/>
            <w:r w:rsidRPr="0012669B">
              <w:rPr>
                <w:rFonts w:eastAsia="DengXian"/>
              </w:rPr>
              <w:t>sr-ProhibitTimer</w:t>
            </w:r>
            <w:proofErr w:type="spellEnd"/>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proofErr w:type="spellStart"/>
            <w:r w:rsidRPr="0012669B">
              <w:rPr>
                <w:rFonts w:eastAsia="DengXian"/>
              </w:rPr>
              <w:t>sr-ProhibitTimer</w:t>
            </w:r>
            <w:proofErr w:type="spellEnd"/>
            <w:r w:rsidRPr="0012669B">
              <w:rPr>
                <w:rFonts w:eastAsia="DengXian"/>
              </w:rPr>
              <w:t xml:space="preserve">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think it is more straightforward to extend the timer by UE-</w:t>
            </w:r>
            <w:proofErr w:type="spellStart"/>
            <w:r w:rsidR="0012669B">
              <w:rPr>
                <w:rFonts w:eastAsia="DengXian"/>
              </w:rPr>
              <w:t>eNB</w:t>
            </w:r>
            <w:proofErr w:type="spellEnd"/>
            <w:r w:rsidR="0012669B">
              <w:rPr>
                <w:rFonts w:eastAsia="DengXian"/>
              </w:rPr>
              <w:t xml:space="preserve"> RTT, where UE-</w:t>
            </w:r>
            <w:proofErr w:type="spellStart"/>
            <w:r w:rsidR="0012669B">
              <w:rPr>
                <w:rFonts w:eastAsia="DengXian"/>
              </w:rPr>
              <w:t>eNB</w:t>
            </w:r>
            <w:proofErr w:type="spellEnd"/>
            <w:r w:rsidR="0012669B">
              <w:rPr>
                <w:rFonts w:eastAsia="DengXian"/>
              </w:rPr>
              <w:t xml:space="preserve">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944E39" w14:paraId="0E507E58" w14:textId="77777777" w:rsidTr="007F7189">
        <w:tc>
          <w:tcPr>
            <w:tcW w:w="1413" w:type="dxa"/>
            <w:shd w:val="clear" w:color="auto" w:fill="auto"/>
          </w:tcPr>
          <w:p w14:paraId="4D480F38" w14:textId="77777777" w:rsidR="00944E39" w:rsidRDefault="00944E39" w:rsidP="007F7189">
            <w:pPr>
              <w:rPr>
                <w:rFonts w:eastAsia="DengXian"/>
              </w:rPr>
            </w:pPr>
          </w:p>
        </w:tc>
        <w:tc>
          <w:tcPr>
            <w:tcW w:w="1815" w:type="dxa"/>
            <w:shd w:val="clear" w:color="auto" w:fill="auto"/>
          </w:tcPr>
          <w:p w14:paraId="607CB647" w14:textId="77777777" w:rsidR="00944E39" w:rsidRDefault="00944E39" w:rsidP="007F7189">
            <w:pPr>
              <w:jc w:val="left"/>
              <w:rPr>
                <w:rFonts w:eastAsia="DengXian"/>
              </w:rPr>
            </w:pPr>
          </w:p>
        </w:tc>
        <w:tc>
          <w:tcPr>
            <w:tcW w:w="6406" w:type="dxa"/>
            <w:shd w:val="clear" w:color="auto" w:fill="auto"/>
          </w:tcPr>
          <w:p w14:paraId="2B69A0F4" w14:textId="77777777" w:rsidR="00944E39" w:rsidRDefault="00944E39" w:rsidP="007F7189">
            <w:pPr>
              <w:overflowPunct/>
              <w:autoSpaceDE/>
              <w:autoSpaceDN/>
              <w:adjustRightInd/>
              <w:spacing w:after="180"/>
              <w:jc w:val="left"/>
              <w:textAlignment w:val="auto"/>
              <w:rPr>
                <w:rFonts w:eastAsia="DengXian"/>
              </w:rPr>
            </w:pPr>
          </w:p>
        </w:tc>
      </w:tr>
      <w:tr w:rsidR="00944E39" w14:paraId="1AE4907E" w14:textId="77777777" w:rsidTr="007F7189">
        <w:tc>
          <w:tcPr>
            <w:tcW w:w="1413" w:type="dxa"/>
            <w:shd w:val="clear" w:color="auto" w:fill="auto"/>
          </w:tcPr>
          <w:p w14:paraId="410BB74E" w14:textId="77777777" w:rsidR="00944E39" w:rsidRDefault="00944E39" w:rsidP="007F7189">
            <w:pPr>
              <w:rPr>
                <w:rFonts w:eastAsia="DengXian"/>
              </w:rPr>
            </w:pPr>
          </w:p>
        </w:tc>
        <w:tc>
          <w:tcPr>
            <w:tcW w:w="1815" w:type="dxa"/>
            <w:shd w:val="clear" w:color="auto" w:fill="auto"/>
          </w:tcPr>
          <w:p w14:paraId="79841428" w14:textId="77777777" w:rsidR="00944E39" w:rsidRDefault="00944E39" w:rsidP="007F7189">
            <w:pPr>
              <w:jc w:val="left"/>
              <w:rPr>
                <w:rFonts w:eastAsia="DengXian"/>
              </w:rPr>
            </w:pPr>
          </w:p>
        </w:tc>
        <w:tc>
          <w:tcPr>
            <w:tcW w:w="6406" w:type="dxa"/>
            <w:shd w:val="clear" w:color="auto" w:fill="auto"/>
          </w:tcPr>
          <w:p w14:paraId="5B064727" w14:textId="77777777" w:rsidR="00944E39" w:rsidRDefault="00944E39" w:rsidP="007F7189">
            <w:pPr>
              <w:overflowPunct/>
              <w:autoSpaceDE/>
              <w:autoSpaceDN/>
              <w:adjustRightInd/>
              <w:spacing w:after="180"/>
              <w:jc w:val="left"/>
              <w:textAlignment w:val="auto"/>
              <w:rPr>
                <w:rFonts w:eastAsia="DengXian"/>
              </w:rPr>
            </w:pPr>
          </w:p>
        </w:tc>
      </w:tr>
      <w:tr w:rsidR="00944E39" w14:paraId="0FC4E746" w14:textId="77777777" w:rsidTr="007F7189">
        <w:tc>
          <w:tcPr>
            <w:tcW w:w="1413" w:type="dxa"/>
            <w:shd w:val="clear" w:color="auto" w:fill="auto"/>
          </w:tcPr>
          <w:p w14:paraId="4D87E5C6" w14:textId="77777777" w:rsidR="00944E39" w:rsidRDefault="00944E39" w:rsidP="007F7189">
            <w:pPr>
              <w:rPr>
                <w:rFonts w:eastAsia="DengXian"/>
              </w:rPr>
            </w:pPr>
          </w:p>
        </w:tc>
        <w:tc>
          <w:tcPr>
            <w:tcW w:w="1815" w:type="dxa"/>
            <w:shd w:val="clear" w:color="auto" w:fill="auto"/>
          </w:tcPr>
          <w:p w14:paraId="7186B904" w14:textId="77777777" w:rsidR="00944E39" w:rsidRDefault="00944E39" w:rsidP="007F7189">
            <w:pPr>
              <w:jc w:val="left"/>
              <w:rPr>
                <w:rFonts w:eastAsia="DengXian"/>
              </w:rPr>
            </w:pPr>
          </w:p>
        </w:tc>
        <w:tc>
          <w:tcPr>
            <w:tcW w:w="6406" w:type="dxa"/>
            <w:shd w:val="clear" w:color="auto" w:fill="auto"/>
          </w:tcPr>
          <w:p w14:paraId="5874B15B" w14:textId="77777777" w:rsidR="00944E39" w:rsidRDefault="00944E39" w:rsidP="007F7189">
            <w:pPr>
              <w:overflowPunct/>
              <w:autoSpaceDE/>
              <w:autoSpaceDN/>
              <w:adjustRightInd/>
              <w:spacing w:after="180"/>
              <w:jc w:val="left"/>
              <w:textAlignment w:val="auto"/>
              <w:rPr>
                <w:rFonts w:eastAsia="DengXian"/>
              </w:rPr>
            </w:pP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B02549" w14:paraId="06233922" w14:textId="77777777" w:rsidTr="007F7189">
        <w:tc>
          <w:tcPr>
            <w:tcW w:w="1413" w:type="dxa"/>
            <w:shd w:val="clear" w:color="auto" w:fill="auto"/>
          </w:tcPr>
          <w:p w14:paraId="3E723CD4" w14:textId="77777777" w:rsidR="00B02549" w:rsidRDefault="00B02549" w:rsidP="00B02549">
            <w:pPr>
              <w:rPr>
                <w:rFonts w:eastAsia="DengXian"/>
              </w:rPr>
            </w:pPr>
          </w:p>
        </w:tc>
        <w:tc>
          <w:tcPr>
            <w:tcW w:w="1815" w:type="dxa"/>
            <w:shd w:val="clear" w:color="auto" w:fill="auto"/>
          </w:tcPr>
          <w:p w14:paraId="3F94605D" w14:textId="77777777" w:rsidR="00B02549" w:rsidRDefault="00B02549" w:rsidP="00B02549">
            <w:pPr>
              <w:jc w:val="left"/>
              <w:rPr>
                <w:rFonts w:eastAsia="DengXian"/>
              </w:rPr>
            </w:pPr>
          </w:p>
        </w:tc>
        <w:tc>
          <w:tcPr>
            <w:tcW w:w="6406" w:type="dxa"/>
            <w:shd w:val="clear" w:color="auto" w:fill="auto"/>
          </w:tcPr>
          <w:p w14:paraId="3A41B756" w14:textId="77777777" w:rsidR="00B02549" w:rsidRDefault="00B02549" w:rsidP="00B02549">
            <w:pPr>
              <w:overflowPunct/>
              <w:autoSpaceDE/>
              <w:autoSpaceDN/>
              <w:adjustRightInd/>
              <w:spacing w:after="180"/>
              <w:jc w:val="left"/>
              <w:textAlignment w:val="auto"/>
              <w:rPr>
                <w:rFonts w:eastAsia="DengXian"/>
              </w:rPr>
            </w:pPr>
          </w:p>
        </w:tc>
      </w:tr>
      <w:tr w:rsidR="00B02549" w14:paraId="30915229" w14:textId="77777777" w:rsidTr="007F7189">
        <w:tc>
          <w:tcPr>
            <w:tcW w:w="1413" w:type="dxa"/>
            <w:shd w:val="clear" w:color="auto" w:fill="auto"/>
          </w:tcPr>
          <w:p w14:paraId="10538D7E" w14:textId="77777777" w:rsidR="00B02549" w:rsidRDefault="00B02549" w:rsidP="00B02549">
            <w:pPr>
              <w:rPr>
                <w:rFonts w:eastAsia="DengXian"/>
              </w:rPr>
            </w:pPr>
          </w:p>
        </w:tc>
        <w:tc>
          <w:tcPr>
            <w:tcW w:w="1815" w:type="dxa"/>
            <w:shd w:val="clear" w:color="auto" w:fill="auto"/>
          </w:tcPr>
          <w:p w14:paraId="7067E0D4" w14:textId="77777777" w:rsidR="00B02549" w:rsidRDefault="00B02549" w:rsidP="00B02549">
            <w:pPr>
              <w:jc w:val="left"/>
              <w:rPr>
                <w:rFonts w:eastAsia="DengXian"/>
              </w:rPr>
            </w:pPr>
          </w:p>
        </w:tc>
        <w:tc>
          <w:tcPr>
            <w:tcW w:w="6406" w:type="dxa"/>
            <w:shd w:val="clear" w:color="auto" w:fill="auto"/>
          </w:tcPr>
          <w:p w14:paraId="5C291ED9" w14:textId="77777777" w:rsidR="00B02549" w:rsidRDefault="00B02549" w:rsidP="00B02549">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4D0317" w14:paraId="018D7479" w14:textId="77777777" w:rsidTr="007F7189">
        <w:tc>
          <w:tcPr>
            <w:tcW w:w="1413" w:type="dxa"/>
            <w:shd w:val="clear" w:color="auto" w:fill="auto"/>
          </w:tcPr>
          <w:p w14:paraId="231D2480" w14:textId="77777777" w:rsidR="004D0317" w:rsidRDefault="004D0317" w:rsidP="004D0317">
            <w:pPr>
              <w:rPr>
                <w:rFonts w:eastAsia="DengXian"/>
              </w:rPr>
            </w:pPr>
          </w:p>
        </w:tc>
        <w:tc>
          <w:tcPr>
            <w:tcW w:w="1815" w:type="dxa"/>
            <w:shd w:val="clear" w:color="auto" w:fill="auto"/>
          </w:tcPr>
          <w:p w14:paraId="300E0796" w14:textId="77777777" w:rsidR="004D0317" w:rsidRDefault="004D0317" w:rsidP="004D0317">
            <w:pPr>
              <w:jc w:val="left"/>
              <w:rPr>
                <w:rFonts w:eastAsia="DengXian"/>
              </w:rPr>
            </w:pPr>
          </w:p>
        </w:tc>
        <w:tc>
          <w:tcPr>
            <w:tcW w:w="6406" w:type="dxa"/>
            <w:shd w:val="clear" w:color="auto" w:fill="auto"/>
          </w:tcPr>
          <w:p w14:paraId="2545CB1A" w14:textId="77777777" w:rsidR="004D0317" w:rsidRDefault="004D0317" w:rsidP="004D0317">
            <w:pPr>
              <w:overflowPunct/>
              <w:autoSpaceDE/>
              <w:autoSpaceDN/>
              <w:adjustRightInd/>
              <w:spacing w:after="180"/>
              <w:jc w:val="left"/>
              <w:textAlignment w:val="auto"/>
              <w:rPr>
                <w:rFonts w:eastAsia="DengXian"/>
              </w:rPr>
            </w:pPr>
          </w:p>
        </w:tc>
      </w:tr>
      <w:tr w:rsidR="004D0317" w14:paraId="35B2CE25" w14:textId="77777777" w:rsidTr="007F7189">
        <w:tc>
          <w:tcPr>
            <w:tcW w:w="1413" w:type="dxa"/>
            <w:shd w:val="clear" w:color="auto" w:fill="auto"/>
          </w:tcPr>
          <w:p w14:paraId="2AB9F922" w14:textId="77777777" w:rsidR="004D0317" w:rsidRDefault="004D0317" w:rsidP="004D0317">
            <w:pPr>
              <w:rPr>
                <w:rFonts w:eastAsia="DengXian"/>
              </w:rPr>
            </w:pPr>
          </w:p>
        </w:tc>
        <w:tc>
          <w:tcPr>
            <w:tcW w:w="1815" w:type="dxa"/>
            <w:shd w:val="clear" w:color="auto" w:fill="auto"/>
          </w:tcPr>
          <w:p w14:paraId="3B976984" w14:textId="77777777" w:rsidR="004D0317" w:rsidRDefault="004D0317" w:rsidP="004D0317">
            <w:pPr>
              <w:jc w:val="left"/>
              <w:rPr>
                <w:rFonts w:eastAsia="DengXian"/>
              </w:rPr>
            </w:pPr>
          </w:p>
        </w:tc>
        <w:tc>
          <w:tcPr>
            <w:tcW w:w="6406" w:type="dxa"/>
            <w:shd w:val="clear" w:color="auto" w:fill="auto"/>
          </w:tcPr>
          <w:p w14:paraId="3AB7BBF7" w14:textId="77777777" w:rsidR="004D0317" w:rsidRDefault="004D0317" w:rsidP="004D0317">
            <w:pPr>
              <w:overflowPunct/>
              <w:autoSpaceDE/>
              <w:autoSpaceDN/>
              <w:adjustRightInd/>
              <w:spacing w:after="180"/>
              <w:jc w:val="left"/>
              <w:textAlignment w:val="auto"/>
              <w:rPr>
                <w:rFonts w:eastAsia="DengXian"/>
              </w:rPr>
            </w:pPr>
          </w:p>
        </w:tc>
      </w:tr>
      <w:tr w:rsidR="004D0317" w14:paraId="7E0DBAA3" w14:textId="77777777" w:rsidTr="007F7189">
        <w:tc>
          <w:tcPr>
            <w:tcW w:w="1413" w:type="dxa"/>
            <w:shd w:val="clear" w:color="auto" w:fill="auto"/>
          </w:tcPr>
          <w:p w14:paraId="279B2BFF" w14:textId="77777777" w:rsidR="004D0317" w:rsidRDefault="004D0317" w:rsidP="004D0317">
            <w:pPr>
              <w:rPr>
                <w:rFonts w:eastAsia="DengXian"/>
              </w:rPr>
            </w:pPr>
          </w:p>
        </w:tc>
        <w:tc>
          <w:tcPr>
            <w:tcW w:w="1815" w:type="dxa"/>
            <w:shd w:val="clear" w:color="auto" w:fill="auto"/>
          </w:tcPr>
          <w:p w14:paraId="06F3A537" w14:textId="77777777" w:rsidR="004D0317" w:rsidRDefault="004D0317" w:rsidP="004D0317">
            <w:pPr>
              <w:jc w:val="left"/>
              <w:rPr>
                <w:rFonts w:eastAsia="DengXian"/>
              </w:rPr>
            </w:pPr>
          </w:p>
        </w:tc>
        <w:tc>
          <w:tcPr>
            <w:tcW w:w="6406" w:type="dxa"/>
            <w:shd w:val="clear" w:color="auto" w:fill="auto"/>
          </w:tcPr>
          <w:p w14:paraId="4C15DEB6" w14:textId="77777777" w:rsidR="004D0317" w:rsidRDefault="004D0317" w:rsidP="004D0317">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B02549" w14:paraId="1F4AB27F" w14:textId="77777777" w:rsidTr="007F7189">
        <w:tc>
          <w:tcPr>
            <w:tcW w:w="1413" w:type="dxa"/>
            <w:shd w:val="clear" w:color="auto" w:fill="auto"/>
          </w:tcPr>
          <w:p w14:paraId="5D6270DE" w14:textId="77777777" w:rsidR="00B02549" w:rsidRDefault="00B02549" w:rsidP="00B02549">
            <w:pPr>
              <w:rPr>
                <w:rFonts w:eastAsia="DengXian"/>
              </w:rPr>
            </w:pPr>
          </w:p>
        </w:tc>
        <w:tc>
          <w:tcPr>
            <w:tcW w:w="1815" w:type="dxa"/>
            <w:shd w:val="clear" w:color="auto" w:fill="auto"/>
          </w:tcPr>
          <w:p w14:paraId="2490D921" w14:textId="77777777" w:rsidR="00B02549" w:rsidRDefault="00B02549" w:rsidP="00B02549">
            <w:pPr>
              <w:jc w:val="left"/>
              <w:rPr>
                <w:rFonts w:eastAsia="DengXian"/>
              </w:rPr>
            </w:pPr>
          </w:p>
        </w:tc>
        <w:tc>
          <w:tcPr>
            <w:tcW w:w="6406" w:type="dxa"/>
            <w:shd w:val="clear" w:color="auto" w:fill="auto"/>
          </w:tcPr>
          <w:p w14:paraId="63E690B7" w14:textId="77777777" w:rsidR="00B02549" w:rsidRDefault="00B02549" w:rsidP="00B02549">
            <w:pPr>
              <w:overflowPunct/>
              <w:autoSpaceDE/>
              <w:autoSpaceDN/>
              <w:adjustRightInd/>
              <w:spacing w:after="180"/>
              <w:jc w:val="left"/>
              <w:textAlignment w:val="auto"/>
              <w:rPr>
                <w:rFonts w:eastAsia="DengXian"/>
              </w:rPr>
            </w:pPr>
          </w:p>
        </w:tc>
      </w:tr>
      <w:tr w:rsidR="00B02549" w14:paraId="0E305864" w14:textId="77777777" w:rsidTr="007F7189">
        <w:tc>
          <w:tcPr>
            <w:tcW w:w="1413" w:type="dxa"/>
            <w:shd w:val="clear" w:color="auto" w:fill="auto"/>
          </w:tcPr>
          <w:p w14:paraId="0FAE68D6" w14:textId="77777777" w:rsidR="00B02549" w:rsidRDefault="00B02549" w:rsidP="00B02549">
            <w:pPr>
              <w:rPr>
                <w:rFonts w:eastAsia="DengXian"/>
              </w:rPr>
            </w:pPr>
          </w:p>
        </w:tc>
        <w:tc>
          <w:tcPr>
            <w:tcW w:w="1815" w:type="dxa"/>
            <w:shd w:val="clear" w:color="auto" w:fill="auto"/>
          </w:tcPr>
          <w:p w14:paraId="30F8A426" w14:textId="77777777" w:rsidR="00B02549" w:rsidRDefault="00B02549" w:rsidP="00B02549">
            <w:pPr>
              <w:jc w:val="left"/>
              <w:rPr>
                <w:rFonts w:eastAsia="DengXian"/>
              </w:rPr>
            </w:pPr>
          </w:p>
        </w:tc>
        <w:tc>
          <w:tcPr>
            <w:tcW w:w="6406" w:type="dxa"/>
            <w:shd w:val="clear" w:color="auto" w:fill="auto"/>
          </w:tcPr>
          <w:p w14:paraId="4DBE0771" w14:textId="77777777" w:rsidR="00B02549" w:rsidRDefault="00B02549" w:rsidP="00B02549">
            <w:pPr>
              <w:overflowPunct/>
              <w:autoSpaceDE/>
              <w:autoSpaceDN/>
              <w:adjustRightInd/>
              <w:spacing w:after="180"/>
              <w:jc w:val="left"/>
              <w:textAlignment w:val="auto"/>
              <w:rPr>
                <w:rFonts w:eastAsia="DengXian"/>
              </w:rPr>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F77B" w14:textId="77777777" w:rsidR="00A6729B" w:rsidRDefault="00A6729B">
      <w:pPr>
        <w:spacing w:after="0" w:line="240" w:lineRule="auto"/>
      </w:pPr>
      <w:r>
        <w:separator/>
      </w:r>
    </w:p>
  </w:endnote>
  <w:endnote w:type="continuationSeparator" w:id="0">
    <w:p w14:paraId="1125524E" w14:textId="77777777" w:rsidR="00A6729B" w:rsidRDefault="00A6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7F7189" w:rsidRDefault="007F71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643D">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643D">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B89A" w14:textId="77777777" w:rsidR="00A6729B" w:rsidRDefault="00A6729B">
      <w:pPr>
        <w:spacing w:after="0" w:line="240" w:lineRule="auto"/>
      </w:pPr>
      <w:r>
        <w:separator/>
      </w:r>
    </w:p>
  </w:footnote>
  <w:footnote w:type="continuationSeparator" w:id="0">
    <w:p w14:paraId="51394DBC" w14:textId="77777777" w:rsidR="00A6729B" w:rsidRDefault="00A67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8"/>
  </w:num>
  <w:num w:numId="5">
    <w:abstractNumId w:val="24"/>
  </w:num>
  <w:num w:numId="6">
    <w:abstractNumId w:val="19"/>
  </w:num>
  <w:num w:numId="7">
    <w:abstractNumId w:val="20"/>
  </w:num>
  <w:num w:numId="8">
    <w:abstractNumId w:val="11"/>
  </w:num>
  <w:num w:numId="9">
    <w:abstractNumId w:val="22"/>
  </w:num>
  <w:num w:numId="10">
    <w:abstractNumId w:val="21"/>
  </w:num>
  <w:num w:numId="11">
    <w:abstractNumId w:val="7"/>
  </w:num>
  <w:num w:numId="12">
    <w:abstractNumId w:val="4"/>
  </w:num>
  <w:num w:numId="13">
    <w:abstractNumId w:val="16"/>
  </w:num>
  <w:num w:numId="14">
    <w:abstractNumId w:val="3"/>
  </w:num>
  <w:num w:numId="15">
    <w:abstractNumId w:val="1"/>
  </w:num>
  <w:num w:numId="16">
    <w:abstractNumId w:val="10"/>
  </w:num>
  <w:num w:numId="17">
    <w:abstractNumId w:val="17"/>
  </w:num>
  <w:num w:numId="18">
    <w:abstractNumId w:val="18"/>
  </w:num>
  <w:num w:numId="19">
    <w:abstractNumId w:val="23"/>
  </w:num>
  <w:num w:numId="20">
    <w:abstractNumId w:val="13"/>
  </w:num>
  <w:num w:numId="21">
    <w:abstractNumId w:val="9"/>
  </w:num>
  <w:num w:numId="22">
    <w:abstractNumId w:val="14"/>
  </w:num>
  <w:num w:numId="23">
    <w:abstractNumId w:val="15"/>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16C18-4C26-4924-98CB-14BEFD40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9</TotalTime>
  <Pages>16</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Pavan Nuggehalli</cp:lastModifiedBy>
  <cp:revision>3</cp:revision>
  <cp:lastPrinted>2008-01-31T00:09:00Z</cp:lastPrinted>
  <dcterms:created xsi:type="dcterms:W3CDTF">2022-02-23T18:16:00Z</dcterms:created>
  <dcterms:modified xsi:type="dcterms:W3CDTF">2022-02-23T18:24:00Z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