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963089" w14:paraId="6C1DE39A" w14:textId="77777777">
        <w:tc>
          <w:tcPr>
            <w:tcW w:w="1507" w:type="pct"/>
          </w:tcPr>
          <w:p w14:paraId="166E4838" w14:textId="4D586163" w:rsidR="00963089" w:rsidRDefault="00963089">
            <w:pPr>
              <w:jc w:val="both"/>
              <w:rPr>
                <w:rFonts w:ascii="Arial" w:eastAsiaTheme="minorEastAsia" w:hAnsi="Arial" w:cs="Arial"/>
                <w:lang w:eastAsia="zh-CN"/>
              </w:rPr>
            </w:pPr>
          </w:p>
        </w:tc>
        <w:tc>
          <w:tcPr>
            <w:tcW w:w="1194" w:type="pct"/>
          </w:tcPr>
          <w:p w14:paraId="1FD54777" w14:textId="43090D84" w:rsidR="00963089" w:rsidRDefault="00963089">
            <w:pPr>
              <w:jc w:val="both"/>
              <w:rPr>
                <w:rFonts w:ascii="Arial" w:eastAsiaTheme="minorEastAsia" w:hAnsi="Arial" w:cs="Arial"/>
                <w:lang w:eastAsia="zh-CN"/>
              </w:rPr>
            </w:pPr>
          </w:p>
        </w:tc>
        <w:tc>
          <w:tcPr>
            <w:tcW w:w="2299" w:type="pct"/>
          </w:tcPr>
          <w:p w14:paraId="54235FC5" w14:textId="0E4D3579" w:rsidR="00963089" w:rsidRDefault="00963089">
            <w:pPr>
              <w:jc w:val="both"/>
              <w:rPr>
                <w:rFonts w:ascii="Arial" w:eastAsiaTheme="minorEastAsia" w:hAnsi="Arial" w:cs="Arial"/>
                <w:lang w:eastAsia="zh-CN"/>
              </w:rPr>
            </w:pPr>
          </w:p>
        </w:tc>
      </w:tr>
      <w:tr w:rsidR="005C72E1" w14:paraId="162E36E9" w14:textId="77777777">
        <w:tc>
          <w:tcPr>
            <w:tcW w:w="1507" w:type="pct"/>
          </w:tcPr>
          <w:p w14:paraId="1D0E72B8" w14:textId="77777777" w:rsidR="005C72E1" w:rsidRDefault="005C72E1">
            <w:pPr>
              <w:jc w:val="both"/>
              <w:rPr>
                <w:rFonts w:ascii="Arial" w:eastAsiaTheme="minorEastAsia" w:hAnsi="Arial" w:cs="Arial"/>
                <w:lang w:eastAsia="zh-CN"/>
              </w:rPr>
            </w:pPr>
          </w:p>
        </w:tc>
        <w:tc>
          <w:tcPr>
            <w:tcW w:w="1194" w:type="pct"/>
          </w:tcPr>
          <w:p w14:paraId="4E53C260" w14:textId="77777777" w:rsidR="005C72E1" w:rsidRDefault="005C72E1">
            <w:pPr>
              <w:jc w:val="both"/>
              <w:rPr>
                <w:rFonts w:ascii="Arial" w:eastAsiaTheme="minorEastAsia" w:hAnsi="Arial" w:cs="Arial"/>
                <w:lang w:eastAsia="zh-CN"/>
              </w:rPr>
            </w:pPr>
          </w:p>
        </w:tc>
        <w:tc>
          <w:tcPr>
            <w:tcW w:w="2299" w:type="pct"/>
          </w:tcPr>
          <w:p w14:paraId="7E54CC4A" w14:textId="77777777" w:rsidR="005C72E1" w:rsidRDefault="005C72E1">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BodyText"/>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286"/>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lastRenderedPageBreak/>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r>
            <w:proofErr w:type="gramStart"/>
            <w:r w:rsidRPr="003B5443">
              <w:rPr>
                <w:rFonts w:ascii="Arial" w:eastAsia="MS Mincho" w:hAnsi="Arial"/>
                <w:lang w:val="en-GB" w:eastAsia="en-GB"/>
              </w:rPr>
              <w:t>OPPO</w:t>
            </w:r>
            <w:proofErr w:type="gramEnd"/>
            <w:r w:rsidRPr="003B5443">
              <w:rPr>
                <w:rFonts w:ascii="Arial" w:eastAsia="MS Mincho" w:hAnsi="Arial"/>
                <w:lang w:val="en-GB" w:eastAsia="en-GB"/>
              </w:rPr>
              <w:t xml:space="preserve">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F6F89" w:rsidP="00FF6F89">
      <w:pPr>
        <w:pStyle w:val="BodyText"/>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65.75pt" o:ole="">
            <v:imagedata r:id="rId9" o:title=""/>
          </v:shape>
          <o:OLEObject Type="Embed" ProgID="Visio.Drawing.11" ShapeID="_x0000_i1025" DrawAspect="Content" ObjectID="_1707295745" r:id="rId10"/>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 xml:space="preserve">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57E04BC2" w:rsidR="00FF6F89" w:rsidRDefault="00FF6F89" w:rsidP="001C6174">
            <w:pPr>
              <w:jc w:val="both"/>
              <w:rPr>
                <w:rFonts w:ascii="Arial" w:hAnsi="Arial" w:cs="Arial"/>
                <w:lang w:eastAsia="zh-CN"/>
              </w:rPr>
            </w:pPr>
          </w:p>
        </w:tc>
        <w:tc>
          <w:tcPr>
            <w:tcW w:w="625" w:type="pct"/>
            <w:tcBorders>
              <w:top w:val="single" w:sz="4" w:space="0" w:color="auto"/>
              <w:bottom w:val="single" w:sz="4" w:space="0" w:color="auto"/>
            </w:tcBorders>
          </w:tcPr>
          <w:p w14:paraId="21D46A22" w14:textId="64ACE529" w:rsidR="00FF6F89" w:rsidRDefault="00FF6F89" w:rsidP="001C6174">
            <w:pPr>
              <w:jc w:val="both"/>
              <w:rPr>
                <w:rFonts w:ascii="Arial" w:hAnsi="Arial" w:cs="Arial"/>
                <w:lang w:eastAsia="zh-CN"/>
              </w:rPr>
            </w:pPr>
          </w:p>
        </w:tc>
        <w:tc>
          <w:tcPr>
            <w:tcW w:w="3682" w:type="pct"/>
            <w:tcBorders>
              <w:top w:val="single" w:sz="4" w:space="0" w:color="auto"/>
              <w:bottom w:val="single" w:sz="4" w:space="0" w:color="auto"/>
            </w:tcBorders>
          </w:tcPr>
          <w:p w14:paraId="7AC83EC9" w14:textId="0124325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145F7F62" w:rsidR="00FF6F89" w:rsidRPr="00075644" w:rsidRDefault="00FF6F89"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437129" w14:textId="3DF252CE" w:rsidR="00FF6F89" w:rsidRPr="00075644" w:rsidRDefault="00FF6F89"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2355C651" w14:textId="52C72C10" w:rsidR="00FF6F89" w:rsidRPr="00075644" w:rsidRDefault="00FF6F89" w:rsidP="001C6174">
            <w:pPr>
              <w:jc w:val="both"/>
              <w:rPr>
                <w:rFonts w:ascii="Arial" w:eastAsia="PMingLiU" w:hAnsi="Arial" w:cs="Arial"/>
                <w:bCs/>
                <w:lang w:eastAsia="zh-TW"/>
              </w:rPr>
            </w:pPr>
          </w:p>
        </w:tc>
      </w:tr>
      <w:tr w:rsidR="00FF6F89" w14:paraId="09E54B5E" w14:textId="77777777" w:rsidTr="00FF6F89">
        <w:tc>
          <w:tcPr>
            <w:tcW w:w="693" w:type="pct"/>
            <w:tcBorders>
              <w:top w:val="single" w:sz="4" w:space="0" w:color="auto"/>
            </w:tcBorders>
          </w:tcPr>
          <w:p w14:paraId="7048AF06" w14:textId="199B280F" w:rsidR="00FF6F89" w:rsidRDefault="00FF6F89" w:rsidP="001C6174">
            <w:pPr>
              <w:jc w:val="both"/>
              <w:rPr>
                <w:rFonts w:ascii="Arial" w:eastAsia="PMingLiU" w:hAnsi="Arial" w:cs="Arial"/>
                <w:lang w:eastAsia="zh-TW"/>
              </w:rPr>
            </w:pPr>
          </w:p>
        </w:tc>
        <w:tc>
          <w:tcPr>
            <w:tcW w:w="625" w:type="pct"/>
            <w:tcBorders>
              <w:top w:val="single" w:sz="4" w:space="0" w:color="auto"/>
            </w:tcBorders>
          </w:tcPr>
          <w:p w14:paraId="2F6F75DD" w14:textId="4444AC84" w:rsidR="00FF6F89" w:rsidRDefault="00FF6F89" w:rsidP="001C6174">
            <w:pPr>
              <w:jc w:val="both"/>
              <w:rPr>
                <w:rFonts w:ascii="Arial" w:eastAsia="PMingLiU" w:hAnsi="Arial" w:cs="Arial"/>
                <w:lang w:eastAsia="zh-TW"/>
              </w:rPr>
            </w:pPr>
          </w:p>
        </w:tc>
        <w:tc>
          <w:tcPr>
            <w:tcW w:w="3682" w:type="pct"/>
            <w:tcBorders>
              <w:top w:val="single" w:sz="4" w:space="0" w:color="auto"/>
            </w:tcBorders>
          </w:tcPr>
          <w:p w14:paraId="62F270FB" w14:textId="2EA67E36" w:rsidR="00FF6F89" w:rsidRDefault="00FF6F89" w:rsidP="001C6174">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w:t>
            </w:r>
            <w:proofErr w:type="gramStart"/>
            <w:r w:rsidRPr="003A1E1B">
              <w:rPr>
                <w:rFonts w:ascii="Arial" w:hAnsi="Arial" w:cs="Arial"/>
                <w:bCs/>
                <w:lang w:eastAsia="zh-TW"/>
              </w:rPr>
              <w:t>e.g.</w:t>
            </w:r>
            <w:proofErr w:type="gramEnd"/>
            <w:r w:rsidRPr="003A1E1B">
              <w:rPr>
                <w:rFonts w:ascii="Arial" w:hAnsi="Arial" w:cs="Arial"/>
                <w:bCs/>
                <w:lang w:eastAsia="zh-TW"/>
              </w:rPr>
              <w:t xml:space="preserve"> </w:t>
            </w:r>
            <w:proofErr w:type="spellStart"/>
            <w:r w:rsidRPr="003A1E1B">
              <w:rPr>
                <w:rFonts w:ascii="Arial" w:hAnsi="Arial" w:cs="Arial"/>
                <w:bCs/>
                <w:i/>
                <w:lang w:eastAsia="zh-TW"/>
              </w:rPr>
              <w:t>defaultPagingCycle</w:t>
            </w:r>
            <w:proofErr w:type="spellEnd"/>
            <w:r w:rsidRPr="003A1E1B">
              <w:rPr>
                <w:rFonts w:ascii="Arial" w:hAnsi="Arial" w:cs="Arial"/>
                <w:bCs/>
                <w:lang w:eastAsia="zh-TW"/>
              </w:rPr>
              <w:t xml:space="preserve">, </w:t>
            </w:r>
            <w:proofErr w:type="spellStart"/>
            <w:r w:rsidRPr="003A1E1B">
              <w:rPr>
                <w:rFonts w:ascii="Arial" w:hAnsi="Arial" w:cs="Arial"/>
                <w:bCs/>
                <w:i/>
                <w:lang w:eastAsia="zh-TW"/>
              </w:rPr>
              <w:t>nAndPagingFrameOffset</w:t>
            </w:r>
            <w:proofErr w:type="spellEnd"/>
            <w:r w:rsidRPr="003A1E1B">
              <w:rPr>
                <w:rFonts w:ascii="Arial" w:hAnsi="Arial" w:cs="Arial"/>
                <w:bCs/>
                <w:lang w:eastAsia="zh-TW"/>
              </w:rPr>
              <w:t xml:space="preserve">, </w:t>
            </w:r>
            <w:proofErr w:type="spellStart"/>
            <w:r w:rsidRPr="003A1E1B">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77777777" w:rsidR="003A1E1B" w:rsidRDefault="003A1E1B" w:rsidP="001C6174">
            <w:pPr>
              <w:jc w:val="both"/>
              <w:rPr>
                <w:rFonts w:ascii="Arial" w:hAnsi="Arial" w:cs="Arial"/>
                <w:lang w:eastAsia="zh-CN"/>
              </w:rPr>
            </w:pPr>
          </w:p>
        </w:tc>
        <w:tc>
          <w:tcPr>
            <w:tcW w:w="625" w:type="pct"/>
            <w:tcBorders>
              <w:top w:val="single" w:sz="4" w:space="0" w:color="auto"/>
              <w:bottom w:val="single" w:sz="4" w:space="0" w:color="auto"/>
            </w:tcBorders>
          </w:tcPr>
          <w:p w14:paraId="485105E0" w14:textId="77777777" w:rsidR="003A1E1B" w:rsidRDefault="003A1E1B" w:rsidP="001C6174">
            <w:pPr>
              <w:jc w:val="both"/>
              <w:rPr>
                <w:rFonts w:ascii="Arial" w:hAnsi="Arial" w:cs="Arial"/>
                <w:lang w:eastAsia="zh-CN"/>
              </w:rPr>
            </w:pPr>
          </w:p>
        </w:tc>
        <w:tc>
          <w:tcPr>
            <w:tcW w:w="3682" w:type="pct"/>
            <w:tcBorders>
              <w:top w:val="single" w:sz="4" w:space="0" w:color="auto"/>
              <w:bottom w:val="single" w:sz="4" w:space="0" w:color="auto"/>
            </w:tcBorders>
          </w:tcPr>
          <w:p w14:paraId="675B462D" w14:textId="77777777" w:rsidR="003A1E1B" w:rsidRDefault="003A1E1B" w:rsidP="001C6174">
            <w:pPr>
              <w:jc w:val="both"/>
              <w:rPr>
                <w:rFonts w:ascii="Arial" w:hAnsi="Arial" w:cs="Arial"/>
                <w:bCs/>
                <w:lang w:eastAsia="zh-TW"/>
              </w:rPr>
            </w:pPr>
          </w:p>
        </w:tc>
      </w:tr>
      <w:tr w:rsidR="003A1E1B" w14:paraId="0E8DDA7C" w14:textId="77777777" w:rsidTr="001C6174">
        <w:tc>
          <w:tcPr>
            <w:tcW w:w="693" w:type="pct"/>
            <w:tcBorders>
              <w:top w:val="single" w:sz="4" w:space="0" w:color="auto"/>
              <w:bottom w:val="single" w:sz="4" w:space="0" w:color="auto"/>
            </w:tcBorders>
          </w:tcPr>
          <w:p w14:paraId="22897285" w14:textId="77777777" w:rsidR="003A1E1B" w:rsidRPr="00075644" w:rsidRDefault="003A1E1B"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FB0BA5" w14:textId="77777777" w:rsidR="003A1E1B" w:rsidRPr="00075644" w:rsidRDefault="003A1E1B"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72FA7CAC" w14:textId="77777777" w:rsidR="003A1E1B" w:rsidRPr="00075644" w:rsidRDefault="003A1E1B" w:rsidP="001C6174">
            <w:pPr>
              <w:jc w:val="both"/>
              <w:rPr>
                <w:rFonts w:ascii="Arial" w:eastAsia="PMingLiU" w:hAnsi="Arial" w:cs="Arial"/>
                <w:bCs/>
                <w:lang w:eastAsia="zh-TW"/>
              </w:rPr>
            </w:pPr>
          </w:p>
        </w:tc>
      </w:tr>
      <w:tr w:rsidR="003A1E1B" w14:paraId="748BAEB4" w14:textId="77777777" w:rsidTr="001C6174">
        <w:tc>
          <w:tcPr>
            <w:tcW w:w="693" w:type="pct"/>
            <w:tcBorders>
              <w:top w:val="single" w:sz="4" w:space="0" w:color="auto"/>
            </w:tcBorders>
          </w:tcPr>
          <w:p w14:paraId="73036E3B" w14:textId="77777777" w:rsidR="003A1E1B" w:rsidRDefault="003A1E1B" w:rsidP="001C6174">
            <w:pPr>
              <w:jc w:val="both"/>
              <w:rPr>
                <w:rFonts w:ascii="Arial" w:eastAsia="PMingLiU" w:hAnsi="Arial" w:cs="Arial"/>
                <w:lang w:eastAsia="zh-TW"/>
              </w:rPr>
            </w:pPr>
          </w:p>
        </w:tc>
        <w:tc>
          <w:tcPr>
            <w:tcW w:w="625" w:type="pct"/>
            <w:tcBorders>
              <w:top w:val="single" w:sz="4" w:space="0" w:color="auto"/>
            </w:tcBorders>
          </w:tcPr>
          <w:p w14:paraId="65A8CD8F" w14:textId="77777777" w:rsidR="003A1E1B" w:rsidRDefault="003A1E1B" w:rsidP="001C6174">
            <w:pPr>
              <w:jc w:val="both"/>
              <w:rPr>
                <w:rFonts w:ascii="Arial" w:eastAsia="PMingLiU" w:hAnsi="Arial" w:cs="Arial"/>
                <w:lang w:eastAsia="zh-TW"/>
              </w:rPr>
            </w:pPr>
          </w:p>
        </w:tc>
        <w:tc>
          <w:tcPr>
            <w:tcW w:w="3682" w:type="pct"/>
            <w:tcBorders>
              <w:top w:val="single" w:sz="4" w:space="0" w:color="auto"/>
            </w:tcBorders>
          </w:tcPr>
          <w:p w14:paraId="17E2D82B" w14:textId="77777777" w:rsidR="003A1E1B" w:rsidRDefault="003A1E1B" w:rsidP="001C6174">
            <w:pPr>
              <w:jc w:val="both"/>
              <w:rPr>
                <w:rFonts w:ascii="Arial" w:eastAsia="PMingLiU" w:hAnsi="Arial" w:cs="Arial"/>
                <w:bCs/>
                <w:lang w:eastAsia="zh-TW"/>
              </w:rPr>
            </w:pP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w:t>
      </w:r>
      <w:proofErr w:type="gramStart"/>
      <w:r w:rsidR="008B7C5F">
        <w:rPr>
          <w:lang w:eastAsia="zh-CN"/>
        </w:rPr>
        <w:t>discussed</w:t>
      </w:r>
      <w:proofErr w:type="gramEnd"/>
      <w:r w:rsidR="008B7C5F">
        <w:rPr>
          <w:lang w:eastAsia="zh-CN"/>
        </w:rPr>
        <w:t xml:space="preserve">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w:t>
      </w:r>
      <w:proofErr w:type="gramStart"/>
      <w:r w:rsidR="00DB6382">
        <w:t>company</w:t>
      </w:r>
      <w:proofErr w:type="gramEnd"/>
      <w:r w:rsidR="00DB6382">
        <w:t xml:space="preserve">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 1310 s ~ 22 min. </w:t>
      </w:r>
      <w:proofErr w:type="gramStart"/>
      <w:r w:rsidRPr="004060D5">
        <w:lastRenderedPageBreak/>
        <w:t>So</w:t>
      </w:r>
      <w:proofErr w:type="gramEnd"/>
      <w:r w:rsidRPr="004060D5">
        <w:t xml:space="preserve"> in practice, an eDRX UE with an eDRX cycle &gt; 22min that would receive a L1-based TRS activation in its PTW of cycle #k would always consider that the TRS is not available at the beginning of its next PTW (cycle #k+1). In other words, the TRS is useless for such UEs with an </w:t>
      </w:r>
      <w:proofErr w:type="spellStart"/>
      <w:r w:rsidRPr="004060D5">
        <w:t>eDRX</w:t>
      </w:r>
      <w:proofErr w:type="spellEnd"/>
      <w:r w:rsidRPr="004060D5">
        <w:t xml:space="preserve"> cycle &gt; </w:t>
      </w:r>
      <w:proofErr w:type="spellStart"/>
      <w:r w:rsidR="004638BE" w:rsidRPr="004060D5">
        <w:rPr>
          <w:i/>
          <w:iCs/>
        </w:rPr>
        <w:t>validityDuration</w:t>
      </w:r>
      <w:proofErr w:type="spellEnd"/>
      <w:r w:rsidR="004638BE" w:rsidRPr="004060D5">
        <w:t xml:space="preserve"> </w:t>
      </w:r>
      <w:r w:rsidRPr="004060D5">
        <w:t xml:space="preserve">(at most 22min), unless of course if it receives a new L1-based availability indication during the PTW (cycle #k+1), which would then be like </w:t>
      </w:r>
      <w:proofErr w:type="gramStart"/>
      <w:r w:rsidRPr="004060D5">
        <w:t>some kind of re-activation</w:t>
      </w:r>
      <w:proofErr w:type="gramEnd"/>
      <w:r w:rsidRPr="004060D5">
        <w:t xml:space="preserve">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9pt;height:93.75pt" o:ole="">
            <v:imagedata r:id="rId11" o:title=""/>
          </v:shape>
          <o:OLEObject Type="Embed" ProgID="Visio.Drawing.11" ShapeID="_x0000_i1026" DrawAspect="Content" ObjectID="_1707295746"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 xml:space="preserve">Case of </w:t>
      </w:r>
      <w:proofErr w:type="spellStart"/>
      <w:r w:rsidR="00D04AC4">
        <w:rPr>
          <w:b/>
        </w:rPr>
        <w:t>eDRX</w:t>
      </w:r>
      <w:proofErr w:type="spellEnd"/>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286"/>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bCs/>
                <w:color w:val="000000"/>
              </w:rPr>
              <w:t xml:space="preserve">, the UE assumes the corresponding TRS resource set(s) are available from the reference point until the end of the validity duration associated with the current L1 based </w:t>
            </w:r>
            <w:proofErr w:type="spellStart"/>
            <w:r w:rsidRPr="00532EB8">
              <w:rPr>
                <w:bCs/>
                <w:color w:val="000000"/>
              </w:rPr>
              <w:t>signaling</w:t>
            </w:r>
            <w:proofErr w:type="spellEnd"/>
            <w:r w:rsidRPr="00532EB8">
              <w:rPr>
                <w:bCs/>
                <w:color w:val="000000"/>
              </w:rPr>
              <w:t>.</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proofErr w:type="spellStart"/>
      <w:r w:rsidR="00782C9E" w:rsidRPr="004060D5">
        <w:rPr>
          <w:i/>
          <w:iCs/>
        </w:rPr>
        <w:t>validityDuration</w:t>
      </w:r>
      <w:proofErr w:type="spellEnd"/>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5127F7" w:rsidP="008C3CBF">
      <w:pPr>
        <w:pStyle w:val="BodyText"/>
        <w:rPr>
          <w:rFonts w:eastAsiaTheme="minorEastAsia"/>
          <w:lang w:eastAsia="zh-CN"/>
        </w:rPr>
      </w:pPr>
      <w:r>
        <w:rPr>
          <w:rFonts w:eastAsiaTheme="minorEastAsia"/>
          <w:lang w:eastAsia="zh-CN"/>
        </w:rPr>
        <w:object w:dxaOrig="10861" w:dyaOrig="4195" w14:anchorId="12BC60FC">
          <v:shape id="_x0000_i1027" type="#_x0000_t75" style="width:453pt;height:174.75pt" o:ole="">
            <v:imagedata r:id="rId13" o:title=""/>
          </v:shape>
          <o:OLEObject Type="Embed" ProgID="Visio.Drawing.11" ShapeID="_x0000_i1027" DrawAspect="Content" ObjectID="_1707295747" r:id="rId14"/>
        </w:object>
      </w:r>
    </w:p>
    <w:p w14:paraId="3AE1B7C2" w14:textId="2B68F956" w:rsidR="00AA2318" w:rsidRPr="00FC55C0" w:rsidRDefault="00AA2318" w:rsidP="00AA2318">
      <w:pPr>
        <w:pStyle w:val="Caption"/>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BodyText"/>
        <w:rPr>
          <w:b/>
          <w:lang w:val="en-GB"/>
        </w:rPr>
      </w:pPr>
    </w:p>
    <w:p w14:paraId="138431A9" w14:textId="1EF01F39"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4D1B34" w:rsidP="004663C4">
      <w:pPr>
        <w:pStyle w:val="Caption"/>
        <w:jc w:val="center"/>
        <w:rPr>
          <w:rFonts w:eastAsiaTheme="minorEastAsia"/>
          <w:lang w:eastAsia="zh-CN"/>
        </w:rPr>
      </w:pPr>
      <w:r>
        <w:rPr>
          <w:rFonts w:eastAsiaTheme="minorEastAsia"/>
          <w:lang w:eastAsia="zh-CN"/>
        </w:rPr>
        <w:object w:dxaOrig="10696" w:dyaOrig="4082" w14:anchorId="0568FA9C">
          <v:shape id="_x0000_i1028" type="#_x0000_t75" style="width:433.9pt;height:165pt" o:ole="">
            <v:imagedata r:id="rId15" o:title=""/>
          </v:shape>
          <o:OLEObject Type="Embed" ProgID="Visio.Drawing.11" ShapeID="_x0000_i1028" DrawAspect="Content" ObjectID="_1707295748"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lastRenderedPageBreak/>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 xml:space="preserve">Rapporteur’s understanding is that this solution has in common with solution #2 that a SIB change notification indication for eDRX UEs deactivates the TRS for such UEs until the next acquisition period. </w:t>
      </w:r>
      <w:proofErr w:type="gramStart"/>
      <w:r>
        <w:rPr>
          <w:i/>
          <w:szCs w:val="20"/>
          <w:lang w:eastAsia="zh-CN"/>
        </w:rPr>
        <w:t>So</w:t>
      </w:r>
      <w:proofErr w:type="gramEnd"/>
      <w:r>
        <w:rPr>
          <w:i/>
          <w:szCs w:val="20"/>
          <w:lang w:eastAsia="zh-CN"/>
        </w:rPr>
        <w:t xml:space="preserve">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 xml:space="preserve">If you </w:t>
      </w:r>
      <w:proofErr w:type="gramStart"/>
      <w:r>
        <w:rPr>
          <w:rFonts w:ascii="Arial" w:hAnsi="Arial" w:cs="Arial"/>
          <w:b/>
        </w:rPr>
        <w:t>answered  “</w:t>
      </w:r>
      <w:proofErr w:type="gramEnd"/>
      <w:r>
        <w:rPr>
          <w:rFonts w:ascii="Arial" w:hAnsi="Arial" w:cs="Arial"/>
          <w:b/>
        </w:rPr>
        <w:t>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41"/>
        <w:gridCol w:w="6658"/>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w:t>
            </w:r>
            <w:proofErr w:type="gramStart"/>
            <w:r w:rsidR="00B86920">
              <w:rPr>
                <w:rFonts w:ascii="Arial" w:hAnsi="Arial" w:cs="Arial"/>
                <w:bCs/>
                <w:lang w:eastAsia="zh-TW"/>
              </w:rPr>
              <w:t>other  SIB</w:t>
            </w:r>
            <w:proofErr w:type="gramEnd"/>
            <w:r w:rsidR="00B86920">
              <w:rPr>
                <w:rFonts w:ascii="Arial" w:hAnsi="Arial" w:cs="Arial"/>
                <w:bCs/>
                <w:lang w:eastAsia="zh-TW"/>
              </w:rPr>
              <w:t xml:space="preserve">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w:t>
            </w:r>
            <w:proofErr w:type="gramStart"/>
            <w:r w:rsidR="00B86920">
              <w:rPr>
                <w:rFonts w:ascii="Arial" w:eastAsia="MS Mincho" w:hAnsi="Arial" w:cs="Arial"/>
                <w:lang w:eastAsia="ja-JP"/>
              </w:rPr>
              <w:t>So</w:t>
            </w:r>
            <w:proofErr w:type="gramEnd"/>
            <w:r w:rsidR="00B86920">
              <w:rPr>
                <w:rFonts w:ascii="Arial" w:eastAsia="MS Mincho" w:hAnsi="Arial" w:cs="Arial"/>
                <w:lang w:eastAsia="ja-JP"/>
              </w:rPr>
              <w:t xml:space="preserve">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t>
            </w:r>
            <w:proofErr w:type="gramStart"/>
            <w:r w:rsidR="004F2306" w:rsidRPr="004F2306">
              <w:rPr>
                <w:rFonts w:ascii="Arial" w:eastAsia="Malgun Gothic" w:hAnsi="Arial" w:cs="Arial"/>
                <w:bCs/>
                <w:lang w:eastAsia="ko-KR"/>
              </w:rPr>
              <w:t>Window</w:t>
            </w:r>
            <w:r>
              <w:rPr>
                <w:rFonts w:ascii="Arial" w:eastAsia="Malgun Gothic" w:hAnsi="Arial" w:cs="Arial"/>
                <w:bCs/>
                <w:lang w:eastAsia="ko-KR"/>
              </w:rPr>
              <w:t>(</w:t>
            </w:r>
            <w:proofErr w:type="gramEnd"/>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w:t>
            </w:r>
            <w:proofErr w:type="gramStart"/>
            <w:r w:rsidR="004F2306" w:rsidRPr="004F2306">
              <w:rPr>
                <w:rFonts w:ascii="Arial" w:eastAsia="Malgun Gothic" w:hAnsi="Arial" w:cs="Arial"/>
                <w:bCs/>
                <w:lang w:eastAsia="ko-KR"/>
              </w:rPr>
              <w:t>firs</w:t>
            </w:r>
            <w:r w:rsidR="004F2306">
              <w:rPr>
                <w:rFonts w:ascii="Arial" w:eastAsia="Malgun Gothic" w:hAnsi="Arial" w:cs="Arial"/>
                <w:bCs/>
                <w:lang w:eastAsia="ko-KR"/>
              </w:rPr>
              <w:t>t.</w:t>
            </w:r>
            <w:r w:rsidR="0064531E">
              <w:rPr>
                <w:rFonts w:ascii="Arial" w:eastAsia="Malgun Gothic" w:hAnsi="Arial" w:cs="Arial"/>
                <w:bCs/>
                <w:lang w:eastAsia="ko-KR"/>
              </w:rPr>
              <w:t>(</w:t>
            </w:r>
            <w:proofErr w:type="gramEnd"/>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 xml:space="preserve">No need to introduce standardized solution for TRS/CRI-RS for </w:t>
            </w:r>
            <w:proofErr w:type="spellStart"/>
            <w:r w:rsidRPr="00021D42">
              <w:rPr>
                <w:rFonts w:ascii="Arial" w:hAnsi="Arial" w:cs="Arial"/>
                <w:lang w:eastAsia="zh-CN"/>
              </w:rPr>
              <w:t>eDRX</w:t>
            </w:r>
            <w:proofErr w:type="spellEnd"/>
            <w:r w:rsidRPr="00021D42">
              <w:rPr>
                <w:rFonts w:ascii="Arial" w:hAnsi="Arial" w:cs="Arial"/>
                <w:lang w:eastAsia="zh-CN"/>
              </w:rPr>
              <w:t xml:space="preserve">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 xml:space="preserve">Option 1: No need to introduce standardized solution for TRS/CRI-RS for </w:t>
            </w:r>
            <w:proofErr w:type="spellStart"/>
            <w:r w:rsidRPr="0056330E">
              <w:rPr>
                <w:rFonts w:ascii="Arial" w:hAnsi="Arial" w:cs="Arial"/>
                <w:bCs/>
                <w:lang w:eastAsia="zh-TW"/>
              </w:rPr>
              <w:t>eDRX</w:t>
            </w:r>
            <w:proofErr w:type="spellEnd"/>
            <w:r w:rsidRPr="0056330E">
              <w:rPr>
                <w:rFonts w:ascii="Arial" w:hAnsi="Arial" w:cs="Arial"/>
                <w:bCs/>
                <w:lang w:eastAsia="zh-TW"/>
              </w:rPr>
              <w:t xml:space="preserve"> UEs</w:t>
            </w:r>
            <w:r>
              <w:rPr>
                <w:rFonts w:ascii="Arial" w:hAnsi="Arial" w:cs="Arial"/>
                <w:bCs/>
                <w:lang w:eastAsia="zh-TW"/>
              </w:rPr>
              <w:t xml:space="preserve">”.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 don’t think that complex solutions should be introduced for it.</w:t>
            </w:r>
          </w:p>
        </w:tc>
      </w:tr>
      <w:tr w:rsidR="002D5D80" w14:paraId="29D75CB0" w14:textId="77777777" w:rsidTr="00B86920">
        <w:tc>
          <w:tcPr>
            <w:tcW w:w="693" w:type="pct"/>
            <w:tcBorders>
              <w:top w:val="single" w:sz="4" w:space="0" w:color="auto"/>
              <w:bottom w:val="single" w:sz="4" w:space="0" w:color="auto"/>
            </w:tcBorders>
          </w:tcPr>
          <w:p w14:paraId="438E32D8" w14:textId="3289FB5A" w:rsidR="002D5D80" w:rsidRDefault="002D5D80" w:rsidP="002D5D80">
            <w:pPr>
              <w:jc w:val="both"/>
              <w:rPr>
                <w:rFonts w:ascii="Arial" w:hAnsi="Arial" w:cs="Arial"/>
                <w:lang w:eastAsia="zh-CN"/>
              </w:rPr>
            </w:pPr>
          </w:p>
        </w:tc>
        <w:tc>
          <w:tcPr>
            <w:tcW w:w="722" w:type="pct"/>
            <w:tcBorders>
              <w:top w:val="single" w:sz="4" w:space="0" w:color="auto"/>
              <w:bottom w:val="single" w:sz="4" w:space="0" w:color="auto"/>
            </w:tcBorders>
          </w:tcPr>
          <w:p w14:paraId="41416741" w14:textId="697B1964" w:rsidR="002D5D80" w:rsidRDefault="002D5D80" w:rsidP="002D5D80">
            <w:pPr>
              <w:jc w:val="both"/>
              <w:rPr>
                <w:rFonts w:ascii="Arial" w:hAnsi="Arial" w:cs="Arial"/>
                <w:lang w:eastAsia="zh-CN"/>
              </w:rPr>
            </w:pPr>
          </w:p>
        </w:tc>
        <w:tc>
          <w:tcPr>
            <w:tcW w:w="3585" w:type="pct"/>
            <w:tcBorders>
              <w:top w:val="single" w:sz="4" w:space="0" w:color="auto"/>
              <w:bottom w:val="single" w:sz="4" w:space="0" w:color="auto"/>
            </w:tcBorders>
          </w:tcPr>
          <w:p w14:paraId="0522F9D7" w14:textId="728B6A54" w:rsidR="002D5D80" w:rsidRDefault="002D5D80" w:rsidP="002D5D80">
            <w:pPr>
              <w:jc w:val="both"/>
              <w:rPr>
                <w:rFonts w:ascii="Arial" w:hAnsi="Arial" w:cs="Arial"/>
                <w:bCs/>
                <w:lang w:eastAsia="zh-TW"/>
              </w:rPr>
            </w:pPr>
          </w:p>
        </w:tc>
      </w:tr>
      <w:tr w:rsidR="002D5D80" w14:paraId="3C26F558" w14:textId="77777777" w:rsidTr="00B86920">
        <w:tc>
          <w:tcPr>
            <w:tcW w:w="693" w:type="pct"/>
            <w:tcBorders>
              <w:top w:val="single" w:sz="4" w:space="0" w:color="auto"/>
              <w:bottom w:val="single" w:sz="4" w:space="0" w:color="auto"/>
            </w:tcBorders>
          </w:tcPr>
          <w:p w14:paraId="72CA88DE" w14:textId="336D1750" w:rsidR="002D5D80" w:rsidRPr="00075644" w:rsidRDefault="002D5D80" w:rsidP="002D5D80">
            <w:pPr>
              <w:jc w:val="both"/>
              <w:rPr>
                <w:rFonts w:ascii="Arial" w:eastAsia="PMingLiU" w:hAnsi="Arial" w:cs="Arial"/>
                <w:lang w:eastAsia="zh-TW"/>
              </w:rPr>
            </w:pPr>
          </w:p>
        </w:tc>
        <w:tc>
          <w:tcPr>
            <w:tcW w:w="722" w:type="pct"/>
            <w:tcBorders>
              <w:top w:val="single" w:sz="4" w:space="0" w:color="auto"/>
              <w:bottom w:val="single" w:sz="4" w:space="0" w:color="auto"/>
            </w:tcBorders>
          </w:tcPr>
          <w:p w14:paraId="5EF1A7C1" w14:textId="2E3B4905" w:rsidR="002D5D80" w:rsidRPr="00075644" w:rsidRDefault="002D5D80" w:rsidP="002D5D80">
            <w:pPr>
              <w:jc w:val="both"/>
              <w:rPr>
                <w:rFonts w:ascii="Arial" w:eastAsia="PMingLiU" w:hAnsi="Arial" w:cs="Arial"/>
                <w:lang w:eastAsia="zh-TW"/>
              </w:rPr>
            </w:pPr>
          </w:p>
        </w:tc>
        <w:tc>
          <w:tcPr>
            <w:tcW w:w="3585" w:type="pct"/>
            <w:tcBorders>
              <w:top w:val="single" w:sz="4" w:space="0" w:color="auto"/>
              <w:bottom w:val="single" w:sz="4" w:space="0" w:color="auto"/>
            </w:tcBorders>
          </w:tcPr>
          <w:p w14:paraId="77BD81BC" w14:textId="727C865B" w:rsidR="002D5D80" w:rsidRPr="00075644" w:rsidRDefault="002D5D80" w:rsidP="002D5D80">
            <w:pPr>
              <w:jc w:val="both"/>
              <w:rPr>
                <w:rFonts w:ascii="Arial" w:eastAsia="PMingLiU" w:hAnsi="Arial" w:cs="Arial"/>
                <w:bCs/>
                <w:lang w:eastAsia="zh-TW"/>
              </w:rPr>
            </w:pPr>
          </w:p>
        </w:tc>
      </w:tr>
      <w:tr w:rsidR="002D5D80" w14:paraId="61C4AB63" w14:textId="77777777" w:rsidTr="00B86920">
        <w:tc>
          <w:tcPr>
            <w:tcW w:w="693" w:type="pct"/>
            <w:tcBorders>
              <w:top w:val="single" w:sz="4" w:space="0" w:color="auto"/>
            </w:tcBorders>
          </w:tcPr>
          <w:p w14:paraId="0A520D2D" w14:textId="78836115" w:rsidR="002D5D80" w:rsidRDefault="002D5D80" w:rsidP="002D5D80">
            <w:pPr>
              <w:jc w:val="both"/>
              <w:rPr>
                <w:rFonts w:ascii="Arial" w:eastAsia="PMingLiU" w:hAnsi="Arial" w:cs="Arial"/>
                <w:lang w:eastAsia="zh-TW"/>
              </w:rPr>
            </w:pPr>
          </w:p>
        </w:tc>
        <w:tc>
          <w:tcPr>
            <w:tcW w:w="722" w:type="pct"/>
            <w:tcBorders>
              <w:top w:val="single" w:sz="4" w:space="0" w:color="auto"/>
            </w:tcBorders>
          </w:tcPr>
          <w:p w14:paraId="08D02DAD" w14:textId="36871D7F" w:rsidR="002D5D80" w:rsidRDefault="002D5D80" w:rsidP="002D5D80">
            <w:pPr>
              <w:jc w:val="both"/>
              <w:rPr>
                <w:rFonts w:ascii="Arial" w:eastAsia="PMingLiU" w:hAnsi="Arial" w:cs="Arial"/>
                <w:lang w:eastAsia="zh-TW"/>
              </w:rPr>
            </w:pPr>
          </w:p>
        </w:tc>
        <w:tc>
          <w:tcPr>
            <w:tcW w:w="3585" w:type="pct"/>
            <w:tcBorders>
              <w:top w:val="single" w:sz="4" w:space="0" w:color="auto"/>
            </w:tcBorders>
          </w:tcPr>
          <w:p w14:paraId="3574ED69" w14:textId="7B243160" w:rsidR="002D5D80" w:rsidRDefault="002D5D80" w:rsidP="002D5D80">
            <w:pPr>
              <w:jc w:val="both"/>
              <w:rPr>
                <w:rFonts w:ascii="Arial" w:eastAsia="PMingLiU" w:hAnsi="Arial" w:cs="Arial"/>
                <w:bCs/>
                <w:lang w:eastAsia="zh-TW"/>
              </w:rPr>
            </w:pPr>
          </w:p>
        </w:tc>
      </w:tr>
      <w:tr w:rsidR="002D5D80"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2D5D80" w:rsidRPr="00EE7938" w:rsidRDefault="002D5D80" w:rsidP="002D5D80">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2D5D80" w:rsidRPr="00EE7938" w:rsidRDefault="002D5D80" w:rsidP="002D5D80">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2D5D80" w:rsidRPr="00EE7938" w:rsidRDefault="002D5D80" w:rsidP="002D5D80">
            <w:pPr>
              <w:jc w:val="both"/>
              <w:rPr>
                <w:rFonts w:ascii="Arial" w:hAnsi="Arial" w:cs="Arial"/>
                <w:bCs/>
                <w:lang w:eastAsia="zh-TW"/>
              </w:rPr>
            </w:pPr>
          </w:p>
        </w:tc>
      </w:tr>
      <w:tr w:rsidR="002D5D80"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2D5D80" w:rsidRPr="00EE7938" w:rsidRDefault="002D5D80" w:rsidP="002D5D80">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2D5D80" w:rsidRPr="00EE7938" w:rsidRDefault="002D5D80" w:rsidP="002D5D80">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2D5D80" w:rsidRPr="00EE7938" w:rsidRDefault="002D5D80" w:rsidP="002D5D80">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1F3656EC" w14:textId="77777777" w:rsidR="00963089" w:rsidRDefault="00AB5B3C">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1"/>
      <w:proofErr w:type="spellEnd"/>
      <w:proofErr w:type="gramEnd"/>
    </w:p>
    <w:p w14:paraId="47991790" w14:textId="77777777" w:rsidR="00963089" w:rsidRDefault="00AB5B3C">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5729BA2A" w14:textId="77777777" w:rsidR="00963089" w:rsidRDefault="00AB5B3C">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4"/>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6"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6"/>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BodyText"/>
        <w:numPr>
          <w:ilvl w:val="0"/>
          <w:numId w:val="10"/>
        </w:numPr>
        <w:spacing w:beforeLines="50" w:before="120"/>
      </w:pPr>
      <w:bookmarkStart w:id="28"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28"/>
    </w:p>
    <w:p w14:paraId="0F246842" w14:textId="3BC82B9E" w:rsidR="00892900" w:rsidRDefault="00892900" w:rsidP="00BE2E82">
      <w:pPr>
        <w:pStyle w:val="BodyText"/>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BodyText"/>
        <w:numPr>
          <w:ilvl w:val="0"/>
          <w:numId w:val="10"/>
        </w:numPr>
        <w:spacing w:beforeLines="50" w:before="120"/>
      </w:pPr>
      <w:bookmarkStart w:id="30" w:name="_Ref96544013"/>
      <w:r>
        <w:rPr>
          <w:rFonts w:cs="Arial"/>
          <w:sz w:val="22"/>
          <w:szCs w:val="22"/>
        </w:rPr>
        <w:t>Report</w:t>
      </w:r>
      <w:r>
        <w:t xml:space="preserve"> of [Pre117-e][</w:t>
      </w:r>
      <w:proofErr w:type="gramStart"/>
      <w:r>
        <w:t>005][</w:t>
      </w:r>
      <w:proofErr w:type="spellStart"/>
      <w:proofErr w:type="gramEnd"/>
      <w:r>
        <w:t>ePowSav</w:t>
      </w:r>
      <w:proofErr w:type="spellEnd"/>
      <w:r>
        <w:t>] TRS / CSI-RS</w:t>
      </w:r>
      <w:r w:rsidRPr="00CD5C5A">
        <w:t xml:space="preserve"> </w:t>
      </w:r>
      <w:r>
        <w:t>Open Issues Input (CATT)</w:t>
      </w:r>
      <w:bookmarkEnd w:id="30"/>
    </w:p>
    <w:p w14:paraId="13EC7DD5" w14:textId="77777777" w:rsidR="00CA3A61" w:rsidRDefault="00CA3A61" w:rsidP="00A55EAF">
      <w:pPr>
        <w:pStyle w:val="BodyText"/>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04D1" w14:textId="77777777" w:rsidR="006F5AFC" w:rsidRDefault="006F5AFC">
      <w:pPr>
        <w:spacing w:after="0" w:line="240" w:lineRule="auto"/>
      </w:pPr>
      <w:r>
        <w:separator/>
      </w:r>
    </w:p>
  </w:endnote>
  <w:endnote w:type="continuationSeparator" w:id="0">
    <w:p w14:paraId="57738C3E" w14:textId="77777777" w:rsidR="006F5AFC" w:rsidRDefault="006F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5508E570"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11A">
      <w:rPr>
        <w:rStyle w:val="PageNumber"/>
        <w:noProof/>
      </w:rPr>
      <w:t>4</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303C" w14:textId="77777777" w:rsidR="002D5D80" w:rsidRDefault="002D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EE6F" w14:textId="77777777" w:rsidR="006F5AFC" w:rsidRDefault="006F5AFC">
      <w:pPr>
        <w:spacing w:after="0" w:line="240" w:lineRule="auto"/>
      </w:pPr>
      <w:r>
        <w:separator/>
      </w:r>
    </w:p>
  </w:footnote>
  <w:footnote w:type="continuationSeparator" w:id="0">
    <w:p w14:paraId="3F1B1DBF" w14:textId="77777777" w:rsidR="006F5AFC" w:rsidRDefault="006F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8F2D" w14:textId="77777777" w:rsidR="002D5D80" w:rsidRDefault="002D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1C6174" w:rsidRDefault="001C6174">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2D3" w14:textId="77777777" w:rsidR="002D5D80" w:rsidRDefault="002D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Drawing.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19AC8-1781-40E2-B352-A1460907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2280</Words>
  <Characters>13002</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Ali Nader</cp:lastModifiedBy>
  <cp:revision>3</cp:revision>
  <cp:lastPrinted>2007-08-29T03:45:00Z</cp:lastPrinted>
  <dcterms:created xsi:type="dcterms:W3CDTF">2022-02-25T11:00:00Z</dcterms:created>
  <dcterms:modified xsi:type="dcterms:W3CDTF">2022-02-25T11:01:00Z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