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5"/>
        <w:tabs>
          <w:tab w:val="right" w:pos="9639"/>
        </w:tabs>
        <w:spacing w:after="0"/>
        <w:rPr>
          <w:b/>
          <w:kern w:val="2"/>
          <w:sz w:val="24"/>
          <w:szCs w:val="21"/>
          <w:highlight w:val="none"/>
          <w:lang w:val="en-US" w:eastAsia="zh-CN"/>
        </w:rPr>
      </w:pPr>
      <w:bookmarkStart w:id="0" w:name="_Toc18413600"/>
      <w:bookmarkStart w:id="1" w:name="_Toc18403966"/>
      <w:bookmarkStart w:id="2" w:name="_Toc18404533"/>
      <w:r>
        <w:rPr>
          <w:rFonts w:ascii="Times New Roman" w:hAnsi="Times New Roman"/>
          <w:b/>
          <w:sz w:val="24"/>
          <w:highlight w:val="none"/>
        </w:rPr>
        <w:t>3GPP TSG-RAN WG2 Meeting #</w:t>
      </w:r>
      <w:r>
        <w:rPr>
          <w:rFonts w:ascii="Times New Roman" w:hAnsi="Times New Roman"/>
          <w:b/>
          <w:sz w:val="24"/>
          <w:highlight w:val="none"/>
          <w:lang w:eastAsia="zh-CN"/>
        </w:rPr>
        <w:t>1</w:t>
      </w:r>
      <w:r>
        <w:rPr>
          <w:rFonts w:hint="eastAsia" w:ascii="Times New Roman" w:hAnsi="Times New Roman"/>
          <w:b/>
          <w:sz w:val="24"/>
          <w:highlight w:val="none"/>
          <w:lang w:val="en-US" w:eastAsia="zh-CN"/>
        </w:rPr>
        <w:t>17e</w:t>
      </w:r>
      <w:r>
        <w:rPr>
          <w:rFonts w:ascii="Times New Roman" w:hAnsi="Times New Roman"/>
          <w:b/>
          <w:i/>
          <w:sz w:val="24"/>
          <w:highlight w:val="none"/>
        </w:rPr>
        <w:t xml:space="preserve"> </w:t>
      </w:r>
      <w:r>
        <w:rPr>
          <w:rFonts w:ascii="Times New Roman" w:hAnsi="Times New Roman"/>
          <w:b/>
          <w:i/>
          <w:sz w:val="24"/>
          <w:highlight w:val="none"/>
          <w:lang w:val="en-US" w:eastAsia="zh-CN"/>
        </w:rPr>
        <w:t xml:space="preserve">                       </w:t>
      </w:r>
      <w:r>
        <w:rPr>
          <w:rFonts w:hint="eastAsia"/>
          <w:b/>
          <w:kern w:val="2"/>
          <w:sz w:val="24"/>
          <w:szCs w:val="21"/>
          <w:highlight w:val="none"/>
          <w:lang w:val="en-US" w:eastAsia="zh-CN"/>
        </w:rPr>
        <w:t xml:space="preserve"> R2-2202829</w:t>
      </w:r>
      <w:bookmarkStart w:id="13" w:name="_GoBack"/>
      <w:bookmarkEnd w:id="13"/>
    </w:p>
    <w:p>
      <w:pPr>
        <w:pStyle w:val="286"/>
        <w:rPr>
          <w:rFonts w:cs="Arial"/>
          <w:bCs/>
          <w:kern w:val="0"/>
          <w:sz w:val="28"/>
          <w:szCs w:val="28"/>
          <w:highlight w:val="none"/>
        </w:rPr>
      </w:pPr>
      <w:r>
        <w:rPr>
          <w:highlight w:val="none"/>
        </w:rPr>
        <w:t xml:space="preserve">Electronic meeting, </w:t>
      </w:r>
      <w:r>
        <w:rPr>
          <w:rFonts w:hint="eastAsia"/>
          <w:highlight w:val="none"/>
          <w:lang w:val="en-US" w:eastAsia="zh-CN"/>
        </w:rPr>
        <w:t>21 Feb</w:t>
      </w:r>
      <w:r>
        <w:rPr>
          <w:highlight w:val="none"/>
        </w:rPr>
        <w:t xml:space="preserve"> – </w:t>
      </w:r>
      <w:r>
        <w:rPr>
          <w:rFonts w:hint="eastAsia"/>
          <w:highlight w:val="none"/>
          <w:lang w:val="en-US" w:eastAsia="zh-CN"/>
        </w:rPr>
        <w:t>03</w:t>
      </w:r>
      <w:r>
        <w:rPr>
          <w:highlight w:val="none"/>
        </w:rPr>
        <w:t xml:space="preserve"> </w:t>
      </w:r>
      <w:r>
        <w:rPr>
          <w:rFonts w:hint="eastAsia"/>
          <w:highlight w:val="none"/>
          <w:lang w:val="en-US" w:eastAsia="zh-CN"/>
        </w:rPr>
        <w:t>Mar</w:t>
      </w:r>
      <w:r>
        <w:rPr>
          <w:rFonts w:hint="eastAsia" w:eastAsia="宋体"/>
          <w:highlight w:val="none"/>
          <w:lang w:val="en-US" w:eastAsia="zh-CN"/>
        </w:rPr>
        <w:t xml:space="preserve"> </w:t>
      </w:r>
      <w:r>
        <w:rPr>
          <w:highlight w:val="none"/>
        </w:rPr>
        <w:t>202</w:t>
      </w:r>
      <w:r>
        <w:rPr>
          <w:rFonts w:hint="eastAsia"/>
          <w:highlight w:val="none"/>
          <w:lang w:val="en-US" w:eastAsia="zh-CN"/>
        </w:rPr>
        <w:t>2</w:t>
      </w:r>
      <w:r>
        <w:rPr>
          <w:rFonts w:cs="Arial"/>
          <w:bCs/>
          <w:kern w:val="0"/>
          <w:sz w:val="28"/>
          <w:szCs w:val="28"/>
          <w:highlight w:val="none"/>
        </w:rPr>
        <w:tab/>
      </w:r>
      <w:r>
        <w:rPr>
          <w:rFonts w:cs="Arial"/>
          <w:bCs/>
          <w:kern w:val="0"/>
          <w:sz w:val="28"/>
          <w:szCs w:val="28"/>
          <w:highlight w:val="none"/>
        </w:rPr>
        <w:t xml:space="preserve">      </w:t>
      </w:r>
      <w:r>
        <w:rPr>
          <w:rFonts w:cs="Arial"/>
          <w:bCs/>
          <w:color w:val="D9D9D9" w:themeColor="background1" w:themeShade="D9"/>
          <w:kern w:val="0"/>
          <w:sz w:val="20"/>
          <w:szCs w:val="28"/>
          <w:highlight w:val="none"/>
        </w:rPr>
        <w:t xml:space="preserve">   </w:t>
      </w:r>
    </w:p>
    <w:p>
      <w:pPr>
        <w:overflowPunct w:val="0"/>
        <w:autoSpaceDE w:val="0"/>
        <w:autoSpaceDN w:val="0"/>
        <w:adjustRightInd w:val="0"/>
        <w:snapToGrid w:val="0"/>
        <w:spacing w:before="240"/>
        <w:jc w:val="left"/>
        <w:textAlignment w:val="baseline"/>
        <w:rPr>
          <w:b/>
          <w:sz w:val="24"/>
          <w:highlight w:val="none"/>
        </w:rPr>
      </w:pPr>
      <w:r>
        <w:rPr>
          <w:b/>
          <w:sz w:val="24"/>
          <w:highlight w:val="none"/>
        </w:rPr>
        <w:t xml:space="preserve">Source: </w:t>
      </w:r>
      <w:r>
        <w:rPr>
          <w:b/>
          <w:sz w:val="24"/>
          <w:highlight w:val="none"/>
        </w:rPr>
        <w:tab/>
      </w:r>
      <w:r>
        <w:rPr>
          <w:b/>
          <w:sz w:val="24"/>
          <w:highlight w:val="none"/>
        </w:rPr>
        <w:tab/>
      </w:r>
      <w:r>
        <w:rPr>
          <w:b/>
          <w:sz w:val="24"/>
          <w:highlight w:val="none"/>
        </w:rPr>
        <w:tab/>
      </w:r>
      <w:bookmarkStart w:id="3" w:name="OLE_LINK6"/>
      <w:r>
        <w:rPr>
          <w:b/>
          <w:sz w:val="24"/>
          <w:highlight w:val="none"/>
        </w:rPr>
        <w:t>ZTE Corporation, Sanechips</w:t>
      </w:r>
      <w:bookmarkEnd w:id="3"/>
    </w:p>
    <w:p>
      <w:pPr>
        <w:overflowPunct w:val="0"/>
        <w:autoSpaceDE w:val="0"/>
        <w:autoSpaceDN w:val="0"/>
        <w:adjustRightInd w:val="0"/>
        <w:snapToGrid w:val="0"/>
        <w:ind w:left="2100" w:hanging="2100"/>
        <w:jc w:val="left"/>
        <w:textAlignment w:val="baseline"/>
        <w:rPr>
          <w:b/>
          <w:sz w:val="24"/>
          <w:highlight w:val="none"/>
          <w:lang w:val="en-US"/>
        </w:rPr>
      </w:pPr>
      <w:r>
        <w:rPr>
          <w:b/>
          <w:sz w:val="24"/>
          <w:highlight w:val="none"/>
        </w:rPr>
        <w:t xml:space="preserve">Title: </w:t>
      </w:r>
      <w:r>
        <w:rPr>
          <w:b/>
          <w:sz w:val="24"/>
          <w:highlight w:val="none"/>
        </w:rPr>
        <w:tab/>
      </w:r>
      <w:bookmarkStart w:id="4" w:name="OLE_LINK2"/>
      <w:bookmarkStart w:id="5" w:name="OLE_LINK5"/>
      <w:r>
        <w:rPr>
          <w:rFonts w:hint="eastAsia"/>
          <w:b/>
          <w:sz w:val="24"/>
          <w:highlight w:val="none"/>
          <w:lang w:val="en-US" w:eastAsia="zh-CN"/>
        </w:rPr>
        <w:t>Discussion on</w:t>
      </w:r>
      <w:bookmarkEnd w:id="4"/>
      <w:bookmarkEnd w:id="5"/>
      <w:r>
        <w:rPr>
          <w:b/>
          <w:sz w:val="24"/>
          <w:highlight w:val="none"/>
          <w:lang w:val="en-US" w:eastAsia="zh-CN"/>
        </w:rPr>
        <w:t xml:space="preserve"> </w:t>
      </w:r>
      <w:r>
        <w:rPr>
          <w:rFonts w:hint="default"/>
          <w:b/>
          <w:sz w:val="24"/>
          <w:highlight w:val="none"/>
          <w:lang w:val="en-US" w:eastAsia="zh-CN"/>
        </w:rPr>
        <w:t>RAN Visible QoE Mobility</w:t>
      </w:r>
      <w:r>
        <w:rPr>
          <w:rFonts w:hint="eastAsia"/>
          <w:b/>
          <w:sz w:val="24"/>
          <w:highlight w:val="none"/>
          <w:lang w:val="en-US" w:eastAsia="zh-CN"/>
        </w:rPr>
        <w:t xml:space="preserve">  </w:t>
      </w:r>
    </w:p>
    <w:p>
      <w:pPr>
        <w:overflowPunct w:val="0"/>
        <w:autoSpaceDE w:val="0"/>
        <w:autoSpaceDN w:val="0"/>
        <w:adjustRightInd w:val="0"/>
        <w:snapToGrid w:val="0"/>
        <w:jc w:val="left"/>
        <w:textAlignment w:val="baseline"/>
        <w:rPr>
          <w:rFonts w:hint="default"/>
          <w:b/>
          <w:sz w:val="24"/>
          <w:highlight w:val="none"/>
          <w:lang w:val="en-US" w:eastAsia="zh-CN"/>
        </w:rPr>
      </w:pPr>
      <w:r>
        <w:rPr>
          <w:b/>
          <w:sz w:val="24"/>
          <w:highlight w:val="none"/>
        </w:rPr>
        <w:t>Agenda item:</w:t>
      </w:r>
      <w:r>
        <w:rPr>
          <w:b/>
          <w:sz w:val="24"/>
          <w:highlight w:val="none"/>
        </w:rPr>
        <w:tab/>
      </w:r>
      <w:bookmarkStart w:id="6" w:name="Source"/>
      <w:bookmarkEnd w:id="6"/>
      <w:r>
        <w:rPr>
          <w:rFonts w:hint="eastAsia"/>
          <w:b/>
          <w:sz w:val="24"/>
          <w:highlight w:val="none"/>
          <w:lang w:val="en-US" w:eastAsia="zh-CN"/>
        </w:rPr>
        <w:tab/>
      </w:r>
      <w:r>
        <w:rPr>
          <w:rFonts w:hint="eastAsia"/>
          <w:b/>
          <w:sz w:val="24"/>
          <w:highlight w:val="none"/>
          <w:lang w:val="en-US" w:eastAsia="zh-CN"/>
        </w:rPr>
        <w:t>8.14.3.2</w:t>
      </w:r>
    </w:p>
    <w:p>
      <w:pPr>
        <w:overflowPunct w:val="0"/>
        <w:autoSpaceDE w:val="0"/>
        <w:autoSpaceDN w:val="0"/>
        <w:adjustRightInd w:val="0"/>
        <w:snapToGrid w:val="0"/>
        <w:jc w:val="left"/>
        <w:textAlignment w:val="baseline"/>
        <w:rPr>
          <w:b/>
          <w:sz w:val="24"/>
          <w:highlight w:val="none"/>
        </w:rPr>
      </w:pPr>
      <w:r>
        <w:rPr>
          <w:b/>
          <w:sz w:val="24"/>
          <w:highlight w:val="none"/>
        </w:rPr>
        <w:t>Document for:</w:t>
      </w:r>
      <w:bookmarkStart w:id="7" w:name="DocumentFor"/>
      <w:bookmarkEnd w:id="7"/>
      <w:r>
        <w:rPr>
          <w:rFonts w:hint="eastAsia"/>
          <w:b/>
          <w:sz w:val="24"/>
          <w:highlight w:val="none"/>
        </w:rPr>
        <w:t xml:space="preserve"> </w:t>
      </w:r>
      <w:r>
        <w:rPr>
          <w:b/>
          <w:sz w:val="24"/>
          <w:highlight w:val="none"/>
        </w:rPr>
        <w:tab/>
      </w:r>
      <w:r>
        <w:rPr>
          <w:b/>
          <w:sz w:val="24"/>
          <w:highlight w:val="none"/>
        </w:rPr>
        <w:t>Discussion</w:t>
      </w:r>
      <w:r>
        <w:rPr>
          <w:rFonts w:hint="eastAsia"/>
          <w:b/>
          <w:sz w:val="24"/>
          <w:highlight w:val="none"/>
        </w:rPr>
        <w:t xml:space="preserve"> and Decision</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Introduction</w:t>
      </w:r>
      <w:bookmarkEnd w:id="0"/>
      <w:bookmarkEnd w:id="1"/>
      <w:bookmarkEnd w:id="2"/>
    </w:p>
    <w:p>
      <w:pPr>
        <w:rPr>
          <w:rFonts w:eastAsia="宋体" w:cs="Arial"/>
          <w:lang w:val="en-US" w:eastAsia="zh-CN"/>
        </w:rPr>
      </w:pPr>
      <w:r>
        <w:rPr>
          <w:rFonts w:hint="eastAsia" w:eastAsia="宋体" w:cs="Arial"/>
          <w:lang w:val="en-US" w:eastAsia="zh-CN"/>
        </w:rPr>
        <w:t xml:space="preserve">Below agreements about </w:t>
      </w:r>
      <w:r>
        <w:rPr>
          <w:rFonts w:hint="default" w:eastAsia="宋体" w:cs="Arial"/>
          <w:lang w:val="en-US" w:eastAsia="zh-CN"/>
        </w:rPr>
        <w:t>RAN Visible QoE</w:t>
      </w:r>
      <w:r>
        <w:rPr>
          <w:rFonts w:hint="eastAsia" w:eastAsia="宋体" w:cs="Arial"/>
          <w:lang w:val="en-US" w:eastAsia="zh-CN"/>
        </w:rPr>
        <w:t xml:space="preserve"> have been made by companies in RAN2#11</w:t>
      </w:r>
      <w:r>
        <w:rPr>
          <w:rFonts w:hint="default" w:eastAsia="宋体" w:cs="Arial"/>
          <w:lang w:val="en-US" w:eastAsia="zh-CN"/>
        </w:rPr>
        <w:t>6bis</w:t>
      </w:r>
      <w:r>
        <w:rPr>
          <w:rFonts w:eastAsia="宋体" w:cs="Arial"/>
          <w:lang w:val="en-US" w:eastAsia="zh-CN"/>
        </w:rPr>
        <w:t>_</w:t>
      </w:r>
      <w:r>
        <w:rPr>
          <w:rFonts w:hint="eastAsia" w:eastAsia="宋体" w:cs="Arial"/>
          <w:lang w:val="en-US" w:eastAsia="zh-CN"/>
        </w:rPr>
        <w:t>e[1]:</w:t>
      </w:r>
    </w:p>
    <w:p>
      <w:pPr>
        <w:pStyle w:val="187"/>
        <w:numPr>
          <w:ilvl w:val="0"/>
          <w:numId w:val="0"/>
        </w:numPr>
        <w:pBdr>
          <w:top w:val="single" w:color="auto" w:sz="4" w:space="0"/>
          <w:left w:val="single" w:color="auto" w:sz="4" w:space="0"/>
          <w:bottom w:val="single" w:color="auto" w:sz="4" w:space="0"/>
          <w:right w:val="single" w:color="auto" w:sz="4" w:space="0"/>
        </w:pBdr>
      </w:pPr>
      <w:r>
        <w:t>On RVQoE metrics reporting, RAN2 arrived at the following possible assumptions as starting points.</w:t>
      </w:r>
    </w:p>
    <w:p>
      <w:pPr>
        <w:pStyle w:val="187"/>
        <w:numPr>
          <w:ilvl w:val="0"/>
          <w:numId w:val="0"/>
        </w:numPr>
        <w:pBdr>
          <w:top w:val="single" w:color="auto" w:sz="4" w:space="0"/>
          <w:left w:val="single" w:color="auto" w:sz="4" w:space="0"/>
          <w:bottom w:val="single" w:color="auto" w:sz="4" w:space="0"/>
          <w:right w:val="single" w:color="auto" w:sz="4" w:space="0"/>
        </w:pBdr>
        <w:ind w:firstLine="420" w:firstLineChars="0"/>
      </w:pPr>
      <w:r>
        <w:t xml:space="preserve">Assumption 1a: RAN2 specifies the maximum number of buffer level entries (ASN.1 value) for each buffer level metric report in one reporting message. </w:t>
      </w:r>
    </w:p>
    <w:p>
      <w:pPr>
        <w:pStyle w:val="187"/>
        <w:numPr>
          <w:ilvl w:val="0"/>
          <w:numId w:val="0"/>
        </w:numPr>
        <w:pBdr>
          <w:top w:val="single" w:color="auto" w:sz="4" w:space="0"/>
          <w:left w:val="single" w:color="auto" w:sz="4" w:space="0"/>
          <w:bottom w:val="single" w:color="auto" w:sz="4" w:space="0"/>
          <w:right w:val="single" w:color="auto" w:sz="4" w:space="0"/>
        </w:pBdr>
        <w:ind w:firstLine="420" w:firstLineChars="0"/>
      </w:pPr>
      <w:r>
        <w:t>Assumption 1c: It is UE implementation on which buffer level entries should be reported for each buffer level metric report when the received number of buffer level entries exceeds the maximum number.</w:t>
      </w:r>
    </w:p>
    <w:p>
      <w:pPr>
        <w:pStyle w:val="187"/>
        <w:numPr>
          <w:ilvl w:val="0"/>
          <w:numId w:val="0"/>
        </w:numPr>
        <w:pBdr>
          <w:top w:val="single" w:color="auto" w:sz="4" w:space="0"/>
          <w:left w:val="single" w:color="auto" w:sz="4" w:space="0"/>
          <w:bottom w:val="single" w:color="auto" w:sz="4" w:space="0"/>
          <w:right w:val="single" w:color="auto" w:sz="4" w:space="0"/>
        </w:pBdr>
        <w:ind w:firstLine="420" w:firstLineChars="0"/>
      </w:pPr>
      <w:r>
        <w:t>Assumption 2a: The parameter “t” is not reported for each buffer level entry.</w:t>
      </w:r>
    </w:p>
    <w:p>
      <w:pPr>
        <w:pStyle w:val="187"/>
        <w:numPr>
          <w:ilvl w:val="0"/>
          <w:numId w:val="0"/>
        </w:numPr>
        <w:pBdr>
          <w:top w:val="single" w:color="auto" w:sz="4" w:space="0"/>
          <w:left w:val="single" w:color="auto" w:sz="4" w:space="0"/>
          <w:bottom w:val="single" w:color="auto" w:sz="4" w:space="0"/>
          <w:right w:val="single" w:color="auto" w:sz="4" w:space="0"/>
        </w:pBdr>
        <w:ind w:firstLine="420" w:firstLineChars="0"/>
      </w:pPr>
      <w:r>
        <w:t>Assumption 2b: It is expected that application layer does not send parameter “t” to AS layer.</w:t>
      </w:r>
    </w:p>
    <w:p>
      <w:pPr>
        <w:pStyle w:val="187"/>
        <w:numPr>
          <w:ilvl w:val="0"/>
          <w:numId w:val="0"/>
        </w:numPr>
        <w:pBdr>
          <w:top w:val="single" w:color="auto" w:sz="4" w:space="0"/>
          <w:left w:val="single" w:color="auto" w:sz="4" w:space="0"/>
          <w:bottom w:val="single" w:color="auto" w:sz="4" w:space="0"/>
          <w:right w:val="single" w:color="auto" w:sz="4" w:space="0"/>
        </w:pBdr>
        <w:ind w:firstLine="420" w:firstLineChars="0"/>
      </w:pPr>
      <w:r>
        <w:t>Assumption 3: Taking the granularity 10ms for level value as baseline, i.e. integer value 1 correspnds to 10ms, value 2 corresponds to 20ms, and so on.</w:t>
      </w:r>
    </w:p>
    <w:p>
      <w:pPr>
        <w:pStyle w:val="187"/>
        <w:numPr>
          <w:ilvl w:val="0"/>
          <w:numId w:val="0"/>
        </w:numPr>
        <w:pBdr>
          <w:top w:val="single" w:color="auto" w:sz="4" w:space="0"/>
          <w:left w:val="single" w:color="auto" w:sz="4" w:space="0"/>
          <w:bottom w:val="single" w:color="auto" w:sz="4" w:space="0"/>
          <w:right w:val="single" w:color="auto" w:sz="4" w:space="0"/>
        </w:pBdr>
        <w:ind w:firstLine="420" w:firstLineChars="0"/>
      </w:pPr>
      <w:r>
        <w:t>Assumption 4a: Taking the maximum value of 5min as baseline for level value range.</w:t>
      </w:r>
    </w:p>
    <w:p>
      <w:pPr>
        <w:pStyle w:val="187"/>
        <w:numPr>
          <w:ilvl w:val="0"/>
          <w:numId w:val="0"/>
        </w:numPr>
        <w:pBdr>
          <w:top w:val="single" w:color="auto" w:sz="4" w:space="0"/>
          <w:left w:val="single" w:color="auto" w:sz="4" w:space="0"/>
          <w:bottom w:val="single" w:color="auto" w:sz="4" w:space="0"/>
          <w:right w:val="single" w:color="auto" w:sz="4" w:space="0"/>
        </w:pBdr>
        <w:ind w:firstLine="420" w:firstLineChars="0"/>
      </w:pPr>
      <w:r>
        <w:t>Assumption 4b: UE sets the value to 5min if the received level value is more than 5min.</w:t>
      </w:r>
    </w:p>
    <w:p>
      <w:pPr>
        <w:pStyle w:val="187"/>
        <w:numPr>
          <w:ilvl w:val="0"/>
          <w:numId w:val="0"/>
        </w:numPr>
        <w:pBdr>
          <w:top w:val="single" w:color="auto" w:sz="4" w:space="0"/>
          <w:left w:val="single" w:color="auto" w:sz="4" w:space="0"/>
          <w:bottom w:val="single" w:color="auto" w:sz="4" w:space="0"/>
          <w:right w:val="single" w:color="auto" w:sz="4" w:space="0"/>
        </w:pBdr>
        <w:ind w:firstLine="420" w:firstLineChars="0"/>
      </w:pPr>
      <w:r>
        <w:t xml:space="preserve">Assumption 5: Taking the maximum value 30 seconds as baseline for playout delay for media startup value range. </w:t>
      </w:r>
    </w:p>
    <w:p>
      <w:pPr>
        <w:pStyle w:val="187"/>
        <w:numPr>
          <w:ilvl w:val="0"/>
          <w:numId w:val="0"/>
        </w:numPr>
        <w:pBdr>
          <w:top w:val="single" w:color="auto" w:sz="4" w:space="0"/>
          <w:left w:val="single" w:color="auto" w:sz="4" w:space="0"/>
          <w:bottom w:val="single" w:color="auto" w:sz="4" w:space="0"/>
          <w:right w:val="single" w:color="auto" w:sz="4" w:space="0"/>
        </w:pBdr>
        <w:ind w:firstLine="420" w:firstLineChars="0"/>
      </w:pPr>
      <w:r>
        <w:t>Assumption 6: Taking the granularity 1ms as baseline for playout delay, i.e. integer value 1 correspnds to 1ms, value 2 corresponds to 2ms, and so on.</w:t>
      </w:r>
    </w:p>
    <w:p>
      <w:pPr>
        <w:pStyle w:val="187"/>
        <w:numPr>
          <w:ilvl w:val="0"/>
          <w:numId w:val="0"/>
        </w:numPr>
        <w:pBdr>
          <w:top w:val="single" w:color="auto" w:sz="4" w:space="0"/>
          <w:left w:val="single" w:color="auto" w:sz="4" w:space="0"/>
          <w:bottom w:val="single" w:color="auto" w:sz="4" w:space="0"/>
          <w:right w:val="single" w:color="auto" w:sz="4" w:space="0"/>
        </w:pBdr>
      </w:pPr>
      <w:r>
        <w:t>[029] RVQoE configuration can share the same measConfigAppLayerId and service type RRC IEs with legacy QoE configuration.</w:t>
      </w:r>
    </w:p>
    <w:p>
      <w:pPr>
        <w:pStyle w:val="187"/>
        <w:numPr>
          <w:ilvl w:val="0"/>
          <w:numId w:val="0"/>
        </w:numPr>
        <w:pBdr>
          <w:top w:val="single" w:color="auto" w:sz="4" w:space="0"/>
          <w:left w:val="single" w:color="auto" w:sz="4" w:space="0"/>
          <w:bottom w:val="single" w:color="auto" w:sz="4" w:space="0"/>
          <w:right w:val="single" w:color="auto" w:sz="4" w:space="0"/>
        </w:pBdr>
      </w:pPr>
      <w:r>
        <w:t>[029] Modification of RVQoE configuration can be supported from RRC layer point of view, it can be revisited if any problem according to further stage 3.</w:t>
      </w:r>
    </w:p>
    <w:p>
      <w:pPr>
        <w:pStyle w:val="187"/>
        <w:numPr>
          <w:ilvl w:val="0"/>
          <w:numId w:val="0"/>
        </w:numPr>
        <w:pBdr>
          <w:top w:val="single" w:color="auto" w:sz="4" w:space="0"/>
          <w:left w:val="single" w:color="auto" w:sz="4" w:space="0"/>
          <w:bottom w:val="single" w:color="auto" w:sz="4" w:space="0"/>
          <w:right w:val="single" w:color="auto" w:sz="4" w:space="0"/>
        </w:pBdr>
      </w:pPr>
      <w:r>
        <w:t>[029] RAN2 confirm it is feasible that NG-RAN can release a list of RAN visible QoE configurations while not releasing the corresponding legacy QoE configuration and if the corresponding legacy QoE configuration is released, the RAN visible QoE configuration is released as well.</w:t>
      </w:r>
    </w:p>
    <w:p>
      <w:pPr>
        <w:pStyle w:val="187"/>
        <w:numPr>
          <w:ilvl w:val="0"/>
          <w:numId w:val="0"/>
        </w:numPr>
        <w:pBdr>
          <w:top w:val="single" w:color="auto" w:sz="4" w:space="0"/>
          <w:left w:val="single" w:color="auto" w:sz="4" w:space="0"/>
          <w:bottom w:val="single" w:color="auto" w:sz="4" w:space="0"/>
          <w:right w:val="single" w:color="auto" w:sz="4" w:space="0"/>
        </w:pBdr>
      </w:pPr>
      <w:r>
        <w:t>[029] RVQoE measurements can be included into MeasurementReportAppLayer message.</w:t>
      </w:r>
    </w:p>
    <w:p>
      <w:pPr>
        <w:pStyle w:val="187"/>
        <w:numPr>
          <w:ilvl w:val="0"/>
          <w:numId w:val="0"/>
        </w:numPr>
        <w:pBdr>
          <w:top w:val="single" w:color="auto" w:sz="4" w:space="0"/>
          <w:left w:val="single" w:color="auto" w:sz="4" w:space="0"/>
          <w:bottom w:val="single" w:color="auto" w:sz="4" w:space="0"/>
          <w:right w:val="single" w:color="auto" w:sz="4" w:space="0"/>
        </w:pBdr>
      </w:pPr>
      <w:r>
        <w:t>[029] MeasConfigAppLayerId can be used to identify both of associated legacy QoE report and RVQoE report, and it is irrespective whether RVQoE should be reported independently or together with legacy QoE.</w:t>
      </w:r>
    </w:p>
    <w:p>
      <w:pPr>
        <w:pStyle w:val="187"/>
        <w:numPr>
          <w:ilvl w:val="0"/>
          <w:numId w:val="0"/>
        </w:numPr>
        <w:pBdr>
          <w:top w:val="single" w:color="auto" w:sz="4" w:space="0"/>
          <w:left w:val="single" w:color="auto" w:sz="4" w:space="0"/>
          <w:bottom w:val="single" w:color="auto" w:sz="4" w:space="0"/>
          <w:right w:val="single" w:color="auto" w:sz="4" w:space="0"/>
        </w:pBdr>
      </w:pPr>
      <w:r>
        <w:t xml:space="preserve">[029] Multiple RVQoE reports can be included in one MeasurementReportAppLayer message, and can be revisited according to legact QoE reporting progress. </w:t>
      </w:r>
    </w:p>
    <w:p>
      <w:pPr>
        <w:pStyle w:val="187"/>
        <w:numPr>
          <w:ilvl w:val="0"/>
          <w:numId w:val="0"/>
        </w:numPr>
        <w:pBdr>
          <w:top w:val="single" w:color="auto" w:sz="4" w:space="0"/>
          <w:left w:val="single" w:color="auto" w:sz="4" w:space="0"/>
          <w:bottom w:val="single" w:color="auto" w:sz="4" w:space="0"/>
          <w:right w:val="single" w:color="auto" w:sz="4" w:space="0"/>
        </w:pBdr>
      </w:pPr>
      <w:r>
        <w:t xml:space="preserve">[029] Chair Comment: The above agreements uses somewhat incorrectly the word “legacy” to denote the non-RAN-Visible QoE (in this release). Note that the word legacy is forbidden in TSes. </w:t>
      </w:r>
    </w:p>
    <w:p>
      <w:pPr>
        <w:pStyle w:val="187"/>
        <w:numPr>
          <w:ilvl w:val="0"/>
          <w:numId w:val="0"/>
        </w:numPr>
        <w:pBdr>
          <w:top w:val="single" w:color="auto" w:sz="4" w:space="0"/>
          <w:left w:val="single" w:color="auto" w:sz="4" w:space="0"/>
          <w:bottom w:val="single" w:color="auto" w:sz="4" w:space="0"/>
          <w:right w:val="single" w:color="auto" w:sz="4" w:space="0"/>
        </w:pBdr>
        <w:ind w:left="0" w:leftChars="0" w:firstLine="0" w:firstLineChars="0"/>
        <w:rPr>
          <w:rFonts w:hint="eastAsia" w:eastAsia="宋体" w:cs="Arial"/>
          <w:color w:val="000000"/>
          <w:sz w:val="21"/>
          <w:lang w:val="en-US" w:eastAsia="zh-CN"/>
        </w:rPr>
      </w:pPr>
      <w:r>
        <w:t>Send LS to SA4 and to RAN3 about the above assumptions, and also indicate that RAN2 doesn't consider itself as the main responsible group for definition of RV QoE metrics, so the decision whether to use these assumptions is in the hands of the receiving group(s). Can also include other agreements on RV QoE</w:t>
      </w:r>
    </w:p>
    <w:p>
      <w:pPr>
        <w:pStyle w:val="53"/>
        <w:spacing w:before="75" w:beforeAutospacing="0" w:after="75" w:afterAutospacing="0" w:line="315" w:lineRule="atLeast"/>
        <w:rPr>
          <w:rFonts w:eastAsia="宋体" w:cs="Arial"/>
          <w:color w:val="000000"/>
          <w:sz w:val="21"/>
          <w:lang w:val="en-US" w:eastAsia="zh-CN"/>
        </w:rPr>
      </w:pPr>
      <w:r>
        <w:rPr>
          <w:rFonts w:hint="eastAsia" w:eastAsia="宋体" w:cs="Arial"/>
          <w:color w:val="000000"/>
          <w:sz w:val="21"/>
          <w:lang w:val="en-US" w:eastAsia="zh-CN"/>
        </w:rPr>
        <w:t xml:space="preserve">The intention of this contribution is to share our views on the </w:t>
      </w:r>
      <w:r>
        <w:rPr>
          <w:rFonts w:hint="default" w:eastAsia="宋体" w:cs="Arial"/>
          <w:color w:val="000000"/>
          <w:sz w:val="21"/>
          <w:lang w:val="en-US" w:eastAsia="zh-CN"/>
        </w:rPr>
        <w:t>mobility supporting for RVQoE</w:t>
      </w:r>
      <w:r>
        <w:rPr>
          <w:rFonts w:eastAsia="宋体" w:cs="Arial"/>
          <w:color w:val="000000"/>
          <w:sz w:val="21"/>
          <w:lang w:val="en-US" w:eastAsia="zh-CN"/>
        </w:rPr>
        <w:t>.</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b w:val="0"/>
          <w:bCs w:val="0"/>
          <w:kern w:val="0"/>
          <w:sz w:val="32"/>
          <w:szCs w:val="36"/>
          <w:lang w:val="en-US" w:eastAsia="zh-CN"/>
        </w:rPr>
        <w:t xml:space="preserve">Discussion </w:t>
      </w:r>
    </w:p>
    <w:p>
      <w:pPr>
        <w:rPr>
          <w:rFonts w:hint="default"/>
          <w:lang w:val="en-US" w:eastAsia="zh-CN"/>
        </w:rPr>
      </w:pPr>
      <w:r>
        <w:rPr>
          <w:rFonts w:hint="default"/>
          <w:lang w:val="en-US" w:eastAsia="zh-CN"/>
        </w:rPr>
        <w:t>After the post email discussion, the following FFS point has been left:</w:t>
      </w:r>
    </w:p>
    <w:p>
      <w:pPr>
        <w:pStyle w:val="98"/>
        <w:rPr>
          <w:rFonts w:hint="eastAsia" w:eastAsia="宋体"/>
          <w:highlight w:val="none"/>
          <w:lang w:val="en-US" w:eastAsia="zh-CN"/>
        </w:rPr>
      </w:pPr>
      <w:r>
        <w:rPr>
          <w:highlight w:val="none"/>
          <w:lang w:val="en-US"/>
        </w:rPr>
        <w:t>- Whether solutions of legacy QoE mobility could be applied to RAN visible QoE and the specific aspects applied only for RAN visible QoE mobility.</w:t>
      </w:r>
    </w:p>
    <w:p>
      <w:pPr>
        <w:rPr>
          <w:rFonts w:hint="default"/>
          <w:lang w:val="en-US" w:eastAsia="zh-CN"/>
        </w:rPr>
      </w:pPr>
      <w:r>
        <w:rPr>
          <w:rFonts w:hint="default"/>
          <w:lang w:val="en-US" w:eastAsia="zh-CN"/>
        </w:rPr>
        <w:t>From our point of view, how to support RVQoE mobility can be divided into two parts.</w:t>
      </w:r>
    </w:p>
    <w:p>
      <w:pPr>
        <w:numPr>
          <w:ilvl w:val="0"/>
          <w:numId w:val="6"/>
        </w:numPr>
        <w:rPr>
          <w:rFonts w:hint="default"/>
          <w:u w:val="single"/>
          <w:lang w:val="en-US" w:eastAsia="zh-CN"/>
        </w:rPr>
      </w:pPr>
      <w:r>
        <w:rPr>
          <w:rFonts w:hint="default"/>
          <w:u w:val="single"/>
          <w:lang w:val="en-US" w:eastAsia="zh-CN"/>
        </w:rPr>
        <w:t>RVQoE during handover</w:t>
      </w:r>
    </w:p>
    <w:p>
      <w:pPr>
        <w:numPr>
          <w:ilvl w:val="0"/>
          <w:numId w:val="0"/>
        </w:numPr>
        <w:rPr>
          <w:rFonts w:hint="default"/>
          <w:lang w:val="en-US" w:eastAsia="zh-CN"/>
        </w:rPr>
      </w:pPr>
      <w:r>
        <w:rPr>
          <w:rFonts w:hint="default"/>
          <w:lang w:val="en-US" w:eastAsia="zh-CN"/>
        </w:rPr>
        <w:t>The aim of RVQoE is to provide the information to assistance the RAN optimization. It is clear that different RAN node may not share the same situation at the same time. And RVQoE metric which has been configured by the source node may not need for the target node. In addition, it is possible that more RVQoE metrics may be introduced in next following releases. From future proof perspective,  we do not prefer to support RVQoE continuity during handover.</w:t>
      </w:r>
    </w:p>
    <w:p>
      <w:pPr>
        <w:numPr>
          <w:ilvl w:val="0"/>
          <w:numId w:val="0"/>
        </w:numPr>
        <w:rPr>
          <w:rFonts w:hint="default"/>
          <w:b/>
          <w:bCs/>
          <w:lang w:val="en-US" w:eastAsia="zh-CN"/>
        </w:rPr>
      </w:pPr>
      <w:r>
        <w:rPr>
          <w:rFonts w:hint="default"/>
          <w:b/>
          <w:bCs/>
          <w:lang w:val="en-US" w:eastAsia="zh-CN"/>
        </w:rPr>
        <w:t>Proposal 1: RVQoE continuity is not supported during handover.</w:t>
      </w:r>
    </w:p>
    <w:p>
      <w:pPr>
        <w:numPr>
          <w:ilvl w:val="0"/>
          <w:numId w:val="6"/>
        </w:numPr>
        <w:ind w:left="0" w:leftChars="0" w:firstLine="0" w:firstLineChars="0"/>
        <w:rPr>
          <w:rFonts w:hint="default"/>
          <w:lang w:val="en-US" w:eastAsia="zh-CN"/>
        </w:rPr>
      </w:pPr>
      <w:r>
        <w:rPr>
          <w:rFonts w:hint="default"/>
          <w:u w:val="single"/>
          <w:lang w:val="en-US" w:eastAsia="zh-CN"/>
        </w:rPr>
        <w:t>INACTIVE RVQoE</w:t>
      </w:r>
    </w:p>
    <w:p>
      <w:pPr>
        <w:numPr>
          <w:ilvl w:val="0"/>
          <w:numId w:val="0"/>
        </w:numPr>
        <w:rPr>
          <w:rFonts w:hint="default"/>
          <w:lang w:val="en-US" w:eastAsia="zh-CN"/>
        </w:rPr>
      </w:pPr>
      <w:r>
        <w:rPr>
          <w:rFonts w:hint="default"/>
          <w:lang w:val="en-US" w:eastAsia="zh-CN"/>
        </w:rPr>
        <w:t>Currently, either legacy QoE measuring or reporting is not supported when UE in RRC_INACTIVE status in Rel-17. In addition, the small data mechanism is not completed and is discussing in this meeting. Considering this is the last RAN2 meeting in Rel-17, we do not prefer to support the RVQoE when UE in INACTIVE status. Further enhancement can be discussed in Rel-18.</w:t>
      </w:r>
    </w:p>
    <w:p>
      <w:pPr>
        <w:numPr>
          <w:ilvl w:val="0"/>
          <w:numId w:val="0"/>
        </w:numPr>
        <w:rPr>
          <w:rFonts w:hint="eastAsia"/>
          <w:b/>
          <w:bCs/>
          <w:lang w:val="sv-SE" w:eastAsia="zh-CN"/>
        </w:rPr>
      </w:pPr>
      <w:r>
        <w:rPr>
          <w:rFonts w:hint="default"/>
          <w:b/>
          <w:bCs/>
          <w:lang w:val="en-US" w:eastAsia="zh-CN"/>
        </w:rPr>
        <w:t xml:space="preserve">Proposal 2: RVQoE is not supported when UE in RRC_INACTIVE status in Rel-17. </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pPr>
        <w:rPr>
          <w:rFonts w:hint="default" w:eastAsia="宋体"/>
          <w:b/>
          <w:bCs/>
          <w:lang w:val="en-US" w:eastAsia="zh-CN"/>
        </w:rPr>
      </w:pPr>
      <w:r>
        <w:rPr>
          <w:rFonts w:hint="eastAsia"/>
          <w:lang w:val="en-US" w:eastAsia="zh-CN"/>
        </w:rPr>
        <w:t>Based on the discussions above, we have the following proposal</w:t>
      </w:r>
      <w:r>
        <w:rPr>
          <w:rFonts w:hint="default"/>
          <w:lang w:val="en-US" w:eastAsia="zh-CN"/>
        </w:rPr>
        <w:t>s:</w:t>
      </w:r>
      <w:bookmarkStart w:id="8" w:name="_Toc18413612"/>
      <w:bookmarkStart w:id="9" w:name="_Toc18404543"/>
      <w:bookmarkStart w:id="10" w:name="_Toc18403976"/>
      <w:bookmarkStart w:id="11" w:name="OLE_LINK4"/>
    </w:p>
    <w:p>
      <w:pPr>
        <w:numPr>
          <w:ilvl w:val="0"/>
          <w:numId w:val="0"/>
        </w:numPr>
        <w:rPr>
          <w:rFonts w:hint="default"/>
          <w:b/>
          <w:bCs/>
          <w:lang w:val="en-US" w:eastAsia="zh-CN"/>
        </w:rPr>
      </w:pPr>
      <w:r>
        <w:rPr>
          <w:rFonts w:hint="default"/>
          <w:b/>
          <w:bCs/>
          <w:lang w:val="en-US" w:eastAsia="zh-CN"/>
        </w:rPr>
        <w:t>Proposal 1: RVQoE continuity is not supported during handover.</w:t>
      </w:r>
    </w:p>
    <w:p>
      <w:pPr>
        <w:numPr>
          <w:ilvl w:val="0"/>
          <w:numId w:val="0"/>
        </w:numPr>
        <w:rPr>
          <w:rFonts w:hint="default" w:eastAsia="宋体"/>
          <w:b/>
          <w:bCs/>
          <w:lang w:val="en-US" w:eastAsia="zh-CN"/>
        </w:rPr>
      </w:pPr>
      <w:r>
        <w:rPr>
          <w:rFonts w:hint="default"/>
          <w:b/>
          <w:bCs/>
          <w:lang w:val="en-US" w:eastAsia="zh-CN"/>
        </w:rPr>
        <w:t xml:space="preserve">Proposal 2: RVQoE is not supported when UE in RRC_INACTIVE status in Rel-17. </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8"/>
      <w:bookmarkEnd w:id="9"/>
      <w:bookmarkEnd w:id="10"/>
    </w:p>
    <w:p>
      <w:pPr>
        <w:numPr>
          <w:ilvl w:val="0"/>
          <w:numId w:val="7"/>
        </w:numPr>
        <w:spacing w:line="240" w:lineRule="auto"/>
        <w:rPr>
          <w:rFonts w:cs="Arial"/>
          <w:color w:val="000000"/>
          <w:highlight w:val="none"/>
        </w:rPr>
      </w:pPr>
      <w:bookmarkStart w:id="12" w:name="OLE_LINK3"/>
      <w:r>
        <w:rPr>
          <w:rFonts w:hint="eastAsia" w:eastAsia="宋体" w:cs="Arial"/>
          <w:highlight w:val="none"/>
          <w:lang w:val="en-US" w:eastAsia="zh-CN"/>
        </w:rPr>
        <w:t>Chairman note for RAN2-11</w:t>
      </w:r>
      <w:r>
        <w:rPr>
          <w:rFonts w:hint="default" w:eastAsia="宋体" w:cs="Arial"/>
          <w:highlight w:val="none"/>
          <w:lang w:val="en-US" w:eastAsia="zh-CN"/>
        </w:rPr>
        <w:t>6bis</w:t>
      </w:r>
      <w:r>
        <w:rPr>
          <w:rFonts w:hint="eastAsia" w:eastAsia="宋体" w:cs="Arial"/>
          <w:highlight w:val="none"/>
          <w:lang w:val="en-US" w:eastAsia="zh-CN"/>
        </w:rPr>
        <w:t>-e.</w:t>
      </w:r>
      <w:bookmarkEnd w:id="11"/>
      <w:bookmarkEnd w:id="12"/>
    </w:p>
    <w:sectPr>
      <w:headerReference r:id="rId5" w:type="default"/>
      <w:footerReference r:id="rId6" w:type="default"/>
      <w:footerReference r:id="rId7" w:type="even"/>
      <w:pgSz w:w="11906" w:h="16838"/>
      <w:pgMar w:top="1800" w:right="1440" w:bottom="180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0"/>
      </w:rPr>
    </w:pPr>
    <w:r>
      <w:rPr>
        <w:rStyle w:val="60"/>
      </w:rPr>
      <w:fldChar w:fldCharType="begin"/>
    </w:r>
    <w:r>
      <w:rPr>
        <w:rStyle w:val="60"/>
      </w:rPr>
      <w:instrText xml:space="preserve">PAGE  </w:instrText>
    </w:r>
    <w:r>
      <w:rPr>
        <w:rStyle w:val="60"/>
      </w:rPr>
      <w:fldChar w:fldCharType="end"/>
    </w:r>
  </w:p>
  <w:p>
    <w:pPr>
      <w:pStyle w:val="3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65565A"/>
    <w:multiLevelType w:val="singleLevel"/>
    <w:tmpl w:val="B165565A"/>
    <w:lvl w:ilvl="0" w:tentative="0">
      <w:start w:val="1"/>
      <w:numFmt w:val="decimal"/>
      <w:suff w:val="space"/>
      <w:lvlText w:val="[%1]"/>
      <w:lvlJc w:val="left"/>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2DA70D6B"/>
    <w:multiLevelType w:val="multilevel"/>
    <w:tmpl w:val="2DA70D6B"/>
    <w:lvl w:ilvl="0" w:tentative="0">
      <w:start w:val="1"/>
      <w:numFmt w:val="decimal"/>
      <w:pStyle w:val="281"/>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2F5807BB"/>
    <w:multiLevelType w:val="multilevel"/>
    <w:tmpl w:val="2F5807BB"/>
    <w:lvl w:ilvl="0" w:tentative="0">
      <w:start w:val="1"/>
      <w:numFmt w:val="decimal"/>
      <w:pStyle w:val="28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690FF647"/>
    <w:multiLevelType w:val="singleLevel"/>
    <w:tmpl w:val="690FF647"/>
    <w:lvl w:ilvl="0" w:tentative="0">
      <w:start w:val="1"/>
      <w:numFmt w:val="decimal"/>
      <w:suff w:val="space"/>
      <w:lvlText w:val="%1."/>
      <w:lvlJc w:val="left"/>
    </w:lvl>
  </w:abstractNum>
  <w:num w:numId="1">
    <w:abstractNumId w:val="1"/>
  </w:num>
  <w:num w:numId="2">
    <w:abstractNumId w:val="5"/>
  </w:num>
  <w:num w:numId="3">
    <w:abstractNumId w:val="3"/>
  </w:num>
  <w:num w:numId="4">
    <w:abstractNumId w:val="4"/>
  </w:num>
  <w:num w:numId="5">
    <w:abstractNumId w:val="2"/>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hyphenationZone w:val="425"/>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521"/>
    <w:rsid w:val="0001674A"/>
    <w:rsid w:val="00017BA5"/>
    <w:rsid w:val="00021259"/>
    <w:rsid w:val="00021359"/>
    <w:rsid w:val="000223BE"/>
    <w:rsid w:val="000248FC"/>
    <w:rsid w:val="00024E29"/>
    <w:rsid w:val="0002660A"/>
    <w:rsid w:val="00026899"/>
    <w:rsid w:val="0002698B"/>
    <w:rsid w:val="00027EEC"/>
    <w:rsid w:val="00030321"/>
    <w:rsid w:val="00035A1E"/>
    <w:rsid w:val="00035EF9"/>
    <w:rsid w:val="00037973"/>
    <w:rsid w:val="00040A63"/>
    <w:rsid w:val="0004105F"/>
    <w:rsid w:val="0004187B"/>
    <w:rsid w:val="00042E6F"/>
    <w:rsid w:val="00043923"/>
    <w:rsid w:val="00043FCA"/>
    <w:rsid w:val="00044EB3"/>
    <w:rsid w:val="00045EDE"/>
    <w:rsid w:val="00046E3D"/>
    <w:rsid w:val="000513C0"/>
    <w:rsid w:val="000563ED"/>
    <w:rsid w:val="000603D6"/>
    <w:rsid w:val="00063276"/>
    <w:rsid w:val="0007093A"/>
    <w:rsid w:val="00071D0A"/>
    <w:rsid w:val="0007205B"/>
    <w:rsid w:val="00072B7E"/>
    <w:rsid w:val="0007372F"/>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413"/>
    <w:rsid w:val="0009587E"/>
    <w:rsid w:val="00095918"/>
    <w:rsid w:val="000969D7"/>
    <w:rsid w:val="00097209"/>
    <w:rsid w:val="00097368"/>
    <w:rsid w:val="0009777E"/>
    <w:rsid w:val="000A04A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2F19"/>
    <w:rsid w:val="000D46DC"/>
    <w:rsid w:val="000E1125"/>
    <w:rsid w:val="000E1993"/>
    <w:rsid w:val="000E1EF3"/>
    <w:rsid w:val="000E3B8A"/>
    <w:rsid w:val="000F0A49"/>
    <w:rsid w:val="000F0A7B"/>
    <w:rsid w:val="000F4CFF"/>
    <w:rsid w:val="000F4D2A"/>
    <w:rsid w:val="000F5C94"/>
    <w:rsid w:val="00100030"/>
    <w:rsid w:val="00101A67"/>
    <w:rsid w:val="00111739"/>
    <w:rsid w:val="00111C96"/>
    <w:rsid w:val="00111CE0"/>
    <w:rsid w:val="00111DF0"/>
    <w:rsid w:val="001135C5"/>
    <w:rsid w:val="00114117"/>
    <w:rsid w:val="0011413B"/>
    <w:rsid w:val="001147C0"/>
    <w:rsid w:val="001156DF"/>
    <w:rsid w:val="001253A3"/>
    <w:rsid w:val="00126145"/>
    <w:rsid w:val="0012673B"/>
    <w:rsid w:val="001277F8"/>
    <w:rsid w:val="00131F75"/>
    <w:rsid w:val="0013288E"/>
    <w:rsid w:val="00134275"/>
    <w:rsid w:val="00134595"/>
    <w:rsid w:val="0013534D"/>
    <w:rsid w:val="00137B0E"/>
    <w:rsid w:val="00137D4E"/>
    <w:rsid w:val="00140571"/>
    <w:rsid w:val="001413B6"/>
    <w:rsid w:val="00141835"/>
    <w:rsid w:val="00145AFF"/>
    <w:rsid w:val="0014608C"/>
    <w:rsid w:val="00147740"/>
    <w:rsid w:val="00150BAB"/>
    <w:rsid w:val="00153725"/>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547D"/>
    <w:rsid w:val="00195E1F"/>
    <w:rsid w:val="00196645"/>
    <w:rsid w:val="001978AE"/>
    <w:rsid w:val="00197997"/>
    <w:rsid w:val="001A384E"/>
    <w:rsid w:val="001A4015"/>
    <w:rsid w:val="001A6054"/>
    <w:rsid w:val="001A6AFD"/>
    <w:rsid w:val="001B1C33"/>
    <w:rsid w:val="001B21A1"/>
    <w:rsid w:val="001B337C"/>
    <w:rsid w:val="001B5AE5"/>
    <w:rsid w:val="001B7027"/>
    <w:rsid w:val="001B7C67"/>
    <w:rsid w:val="001C0CED"/>
    <w:rsid w:val="001C1105"/>
    <w:rsid w:val="001C17C6"/>
    <w:rsid w:val="001C22DE"/>
    <w:rsid w:val="001C2385"/>
    <w:rsid w:val="001C2AF5"/>
    <w:rsid w:val="001C2B3C"/>
    <w:rsid w:val="001C3C4C"/>
    <w:rsid w:val="001C6C39"/>
    <w:rsid w:val="001C7F10"/>
    <w:rsid w:val="001D2914"/>
    <w:rsid w:val="001D2FB0"/>
    <w:rsid w:val="001D75F3"/>
    <w:rsid w:val="001E01CC"/>
    <w:rsid w:val="001E0341"/>
    <w:rsid w:val="001E1C36"/>
    <w:rsid w:val="001E3D8C"/>
    <w:rsid w:val="001E43EF"/>
    <w:rsid w:val="001E44CD"/>
    <w:rsid w:val="001E6F40"/>
    <w:rsid w:val="001F0A3C"/>
    <w:rsid w:val="001F1606"/>
    <w:rsid w:val="001F31F0"/>
    <w:rsid w:val="001F3DF5"/>
    <w:rsid w:val="001F4346"/>
    <w:rsid w:val="00201FFE"/>
    <w:rsid w:val="00202949"/>
    <w:rsid w:val="00202C4B"/>
    <w:rsid w:val="00203B88"/>
    <w:rsid w:val="00206380"/>
    <w:rsid w:val="002155FA"/>
    <w:rsid w:val="00216788"/>
    <w:rsid w:val="00216E24"/>
    <w:rsid w:val="002176DE"/>
    <w:rsid w:val="002177BC"/>
    <w:rsid w:val="00217C8F"/>
    <w:rsid w:val="00223B64"/>
    <w:rsid w:val="00224BF7"/>
    <w:rsid w:val="0023029F"/>
    <w:rsid w:val="00231281"/>
    <w:rsid w:val="00231DC2"/>
    <w:rsid w:val="002333B7"/>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70A1C"/>
    <w:rsid w:val="00271ED8"/>
    <w:rsid w:val="002730ED"/>
    <w:rsid w:val="00281718"/>
    <w:rsid w:val="002855D0"/>
    <w:rsid w:val="00287136"/>
    <w:rsid w:val="002901F1"/>
    <w:rsid w:val="00290E18"/>
    <w:rsid w:val="002910B9"/>
    <w:rsid w:val="00291D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924"/>
    <w:rsid w:val="002F3161"/>
    <w:rsid w:val="002F3F00"/>
    <w:rsid w:val="002F5517"/>
    <w:rsid w:val="00300EE0"/>
    <w:rsid w:val="003031CE"/>
    <w:rsid w:val="003043E2"/>
    <w:rsid w:val="00305358"/>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3001C"/>
    <w:rsid w:val="00330072"/>
    <w:rsid w:val="003306B5"/>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31C6"/>
    <w:rsid w:val="003546A6"/>
    <w:rsid w:val="00354915"/>
    <w:rsid w:val="00354E6F"/>
    <w:rsid w:val="00355E51"/>
    <w:rsid w:val="003577BE"/>
    <w:rsid w:val="00362FCF"/>
    <w:rsid w:val="003645A1"/>
    <w:rsid w:val="0036468F"/>
    <w:rsid w:val="003658D8"/>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62F8"/>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3E62"/>
    <w:rsid w:val="003C4DF4"/>
    <w:rsid w:val="003C6742"/>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5E14"/>
    <w:rsid w:val="003E6BF7"/>
    <w:rsid w:val="003E6F50"/>
    <w:rsid w:val="003E7C95"/>
    <w:rsid w:val="003E7D68"/>
    <w:rsid w:val="003F1437"/>
    <w:rsid w:val="003F20AF"/>
    <w:rsid w:val="003F3365"/>
    <w:rsid w:val="003F37FF"/>
    <w:rsid w:val="003F39E3"/>
    <w:rsid w:val="003F448B"/>
    <w:rsid w:val="003F58F6"/>
    <w:rsid w:val="003F6316"/>
    <w:rsid w:val="003F75E0"/>
    <w:rsid w:val="00401149"/>
    <w:rsid w:val="00402720"/>
    <w:rsid w:val="00402985"/>
    <w:rsid w:val="00406593"/>
    <w:rsid w:val="004069AC"/>
    <w:rsid w:val="004069B2"/>
    <w:rsid w:val="0040782D"/>
    <w:rsid w:val="00410408"/>
    <w:rsid w:val="00411FDA"/>
    <w:rsid w:val="00413229"/>
    <w:rsid w:val="00413D6F"/>
    <w:rsid w:val="004146A6"/>
    <w:rsid w:val="004150C6"/>
    <w:rsid w:val="004159BF"/>
    <w:rsid w:val="004228A3"/>
    <w:rsid w:val="004229AC"/>
    <w:rsid w:val="00423CC3"/>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542"/>
    <w:rsid w:val="00462F02"/>
    <w:rsid w:val="00466EDC"/>
    <w:rsid w:val="00467368"/>
    <w:rsid w:val="00467D25"/>
    <w:rsid w:val="00470697"/>
    <w:rsid w:val="0047305C"/>
    <w:rsid w:val="0047403A"/>
    <w:rsid w:val="00474161"/>
    <w:rsid w:val="004742B2"/>
    <w:rsid w:val="00474C36"/>
    <w:rsid w:val="00475E38"/>
    <w:rsid w:val="004779B8"/>
    <w:rsid w:val="0048006F"/>
    <w:rsid w:val="00482BBB"/>
    <w:rsid w:val="00485114"/>
    <w:rsid w:val="00485AE4"/>
    <w:rsid w:val="00486111"/>
    <w:rsid w:val="00490BB5"/>
    <w:rsid w:val="00491060"/>
    <w:rsid w:val="0049176F"/>
    <w:rsid w:val="00492EA5"/>
    <w:rsid w:val="00493247"/>
    <w:rsid w:val="00493650"/>
    <w:rsid w:val="00494495"/>
    <w:rsid w:val="00494981"/>
    <w:rsid w:val="00495E19"/>
    <w:rsid w:val="0049613E"/>
    <w:rsid w:val="0049650D"/>
    <w:rsid w:val="004A0053"/>
    <w:rsid w:val="004A014A"/>
    <w:rsid w:val="004A0572"/>
    <w:rsid w:val="004A1051"/>
    <w:rsid w:val="004A1B41"/>
    <w:rsid w:val="004A2687"/>
    <w:rsid w:val="004A402F"/>
    <w:rsid w:val="004A59EE"/>
    <w:rsid w:val="004A759D"/>
    <w:rsid w:val="004B12D7"/>
    <w:rsid w:val="004B2B05"/>
    <w:rsid w:val="004B2BBA"/>
    <w:rsid w:val="004B3CCE"/>
    <w:rsid w:val="004B5502"/>
    <w:rsid w:val="004B71F4"/>
    <w:rsid w:val="004B76B6"/>
    <w:rsid w:val="004C09FF"/>
    <w:rsid w:val="004C0B5E"/>
    <w:rsid w:val="004C16C3"/>
    <w:rsid w:val="004C16F8"/>
    <w:rsid w:val="004C21A1"/>
    <w:rsid w:val="004C6041"/>
    <w:rsid w:val="004C6366"/>
    <w:rsid w:val="004C63EE"/>
    <w:rsid w:val="004C7E8F"/>
    <w:rsid w:val="004D1073"/>
    <w:rsid w:val="004D1EE6"/>
    <w:rsid w:val="004D238B"/>
    <w:rsid w:val="004D39A3"/>
    <w:rsid w:val="004D5F55"/>
    <w:rsid w:val="004D7034"/>
    <w:rsid w:val="004E06BE"/>
    <w:rsid w:val="004E0986"/>
    <w:rsid w:val="004E1EBD"/>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00FF"/>
    <w:rsid w:val="005214BE"/>
    <w:rsid w:val="005219AA"/>
    <w:rsid w:val="005223EA"/>
    <w:rsid w:val="00522736"/>
    <w:rsid w:val="00522F3B"/>
    <w:rsid w:val="00524965"/>
    <w:rsid w:val="00525585"/>
    <w:rsid w:val="00525811"/>
    <w:rsid w:val="00525BAC"/>
    <w:rsid w:val="0052657B"/>
    <w:rsid w:val="00534869"/>
    <w:rsid w:val="0053653D"/>
    <w:rsid w:val="005371D2"/>
    <w:rsid w:val="00537528"/>
    <w:rsid w:val="005417DB"/>
    <w:rsid w:val="00542A44"/>
    <w:rsid w:val="00542ED7"/>
    <w:rsid w:val="00545A76"/>
    <w:rsid w:val="005505EB"/>
    <w:rsid w:val="005506C7"/>
    <w:rsid w:val="005514AA"/>
    <w:rsid w:val="00553234"/>
    <w:rsid w:val="00553A61"/>
    <w:rsid w:val="0055402E"/>
    <w:rsid w:val="0055689F"/>
    <w:rsid w:val="005604D2"/>
    <w:rsid w:val="00560AD9"/>
    <w:rsid w:val="00561349"/>
    <w:rsid w:val="00561E2F"/>
    <w:rsid w:val="00562D9C"/>
    <w:rsid w:val="00563B02"/>
    <w:rsid w:val="005657FC"/>
    <w:rsid w:val="00565A4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D2555"/>
    <w:rsid w:val="005D289C"/>
    <w:rsid w:val="005D3051"/>
    <w:rsid w:val="005D57F1"/>
    <w:rsid w:val="005D680C"/>
    <w:rsid w:val="005D7B3F"/>
    <w:rsid w:val="005E06D3"/>
    <w:rsid w:val="005E27C0"/>
    <w:rsid w:val="005E2ED6"/>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5C8E"/>
    <w:rsid w:val="00607058"/>
    <w:rsid w:val="0060767B"/>
    <w:rsid w:val="00607A6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8B7"/>
    <w:rsid w:val="00672B24"/>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288E"/>
    <w:rsid w:val="00694760"/>
    <w:rsid w:val="006954BD"/>
    <w:rsid w:val="00696644"/>
    <w:rsid w:val="006968FD"/>
    <w:rsid w:val="006978B2"/>
    <w:rsid w:val="00697DD7"/>
    <w:rsid w:val="006A008F"/>
    <w:rsid w:val="006A069D"/>
    <w:rsid w:val="006A1FC4"/>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2514"/>
    <w:rsid w:val="006C2D21"/>
    <w:rsid w:val="006C5CB0"/>
    <w:rsid w:val="006C60A2"/>
    <w:rsid w:val="006C60B2"/>
    <w:rsid w:val="006C6193"/>
    <w:rsid w:val="006D0533"/>
    <w:rsid w:val="006D5430"/>
    <w:rsid w:val="006D63EF"/>
    <w:rsid w:val="006D783C"/>
    <w:rsid w:val="006D79B7"/>
    <w:rsid w:val="006D7C19"/>
    <w:rsid w:val="006D7CA8"/>
    <w:rsid w:val="006E133C"/>
    <w:rsid w:val="006E2FE4"/>
    <w:rsid w:val="006E36C6"/>
    <w:rsid w:val="006E3B73"/>
    <w:rsid w:val="006E4123"/>
    <w:rsid w:val="006E7570"/>
    <w:rsid w:val="006F0E3E"/>
    <w:rsid w:val="006F1491"/>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4617"/>
    <w:rsid w:val="00736CDD"/>
    <w:rsid w:val="00736FEF"/>
    <w:rsid w:val="00737516"/>
    <w:rsid w:val="00741230"/>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705A1"/>
    <w:rsid w:val="00770F43"/>
    <w:rsid w:val="00771468"/>
    <w:rsid w:val="00771509"/>
    <w:rsid w:val="007719AC"/>
    <w:rsid w:val="00773686"/>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33E4"/>
    <w:rsid w:val="007C41B3"/>
    <w:rsid w:val="007C44F4"/>
    <w:rsid w:val="007C4D0B"/>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31A2"/>
    <w:rsid w:val="00803B06"/>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95A"/>
    <w:rsid w:val="00837C9F"/>
    <w:rsid w:val="00841B23"/>
    <w:rsid w:val="00843379"/>
    <w:rsid w:val="008436F0"/>
    <w:rsid w:val="00843DAA"/>
    <w:rsid w:val="00843F40"/>
    <w:rsid w:val="008444BE"/>
    <w:rsid w:val="008505B6"/>
    <w:rsid w:val="00850AD1"/>
    <w:rsid w:val="00851A3E"/>
    <w:rsid w:val="00851C79"/>
    <w:rsid w:val="00852259"/>
    <w:rsid w:val="0085309D"/>
    <w:rsid w:val="0085338A"/>
    <w:rsid w:val="00853419"/>
    <w:rsid w:val="00855CBD"/>
    <w:rsid w:val="00856F99"/>
    <w:rsid w:val="00857F63"/>
    <w:rsid w:val="008609B3"/>
    <w:rsid w:val="00860FE6"/>
    <w:rsid w:val="00864140"/>
    <w:rsid w:val="00864D17"/>
    <w:rsid w:val="008702BF"/>
    <w:rsid w:val="008707C6"/>
    <w:rsid w:val="008719DB"/>
    <w:rsid w:val="00871FA9"/>
    <w:rsid w:val="00872250"/>
    <w:rsid w:val="008731B8"/>
    <w:rsid w:val="00873D16"/>
    <w:rsid w:val="008757FA"/>
    <w:rsid w:val="008768D2"/>
    <w:rsid w:val="00876B45"/>
    <w:rsid w:val="00880F6C"/>
    <w:rsid w:val="0088223F"/>
    <w:rsid w:val="00883BE3"/>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61D8"/>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34E9"/>
    <w:rsid w:val="008F7007"/>
    <w:rsid w:val="008F7F38"/>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400CF"/>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2F6"/>
    <w:rsid w:val="0096459F"/>
    <w:rsid w:val="009647C5"/>
    <w:rsid w:val="0096604F"/>
    <w:rsid w:val="00966280"/>
    <w:rsid w:val="009663C5"/>
    <w:rsid w:val="00970E5A"/>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B155B"/>
    <w:rsid w:val="009B183F"/>
    <w:rsid w:val="009B1F5B"/>
    <w:rsid w:val="009B3DB8"/>
    <w:rsid w:val="009B4769"/>
    <w:rsid w:val="009B4FF0"/>
    <w:rsid w:val="009C2086"/>
    <w:rsid w:val="009C3006"/>
    <w:rsid w:val="009C5F45"/>
    <w:rsid w:val="009C6A61"/>
    <w:rsid w:val="009D159F"/>
    <w:rsid w:val="009D2A16"/>
    <w:rsid w:val="009D6952"/>
    <w:rsid w:val="009D7F9A"/>
    <w:rsid w:val="009E068F"/>
    <w:rsid w:val="009E1B89"/>
    <w:rsid w:val="009E47DB"/>
    <w:rsid w:val="009E6103"/>
    <w:rsid w:val="009E619C"/>
    <w:rsid w:val="009E7020"/>
    <w:rsid w:val="009E7045"/>
    <w:rsid w:val="009E748B"/>
    <w:rsid w:val="009F1449"/>
    <w:rsid w:val="009F2244"/>
    <w:rsid w:val="009F3D12"/>
    <w:rsid w:val="009F4BCF"/>
    <w:rsid w:val="00A03D3F"/>
    <w:rsid w:val="00A0448E"/>
    <w:rsid w:val="00A04BEB"/>
    <w:rsid w:val="00A04DE2"/>
    <w:rsid w:val="00A05412"/>
    <w:rsid w:val="00A117FD"/>
    <w:rsid w:val="00A11A20"/>
    <w:rsid w:val="00A11DFB"/>
    <w:rsid w:val="00A11F1E"/>
    <w:rsid w:val="00A14BA5"/>
    <w:rsid w:val="00A14E89"/>
    <w:rsid w:val="00A15C80"/>
    <w:rsid w:val="00A15DA4"/>
    <w:rsid w:val="00A20607"/>
    <w:rsid w:val="00A20B6F"/>
    <w:rsid w:val="00A20D0F"/>
    <w:rsid w:val="00A215EC"/>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361EA"/>
    <w:rsid w:val="00A40F4B"/>
    <w:rsid w:val="00A4263A"/>
    <w:rsid w:val="00A44B89"/>
    <w:rsid w:val="00A44BE1"/>
    <w:rsid w:val="00A4500D"/>
    <w:rsid w:val="00A504A8"/>
    <w:rsid w:val="00A50E73"/>
    <w:rsid w:val="00A527D9"/>
    <w:rsid w:val="00A53CDD"/>
    <w:rsid w:val="00A542B8"/>
    <w:rsid w:val="00A54719"/>
    <w:rsid w:val="00A5709E"/>
    <w:rsid w:val="00A612B9"/>
    <w:rsid w:val="00A648A1"/>
    <w:rsid w:val="00A66B14"/>
    <w:rsid w:val="00A66CF8"/>
    <w:rsid w:val="00A67E69"/>
    <w:rsid w:val="00A727DA"/>
    <w:rsid w:val="00A72A3A"/>
    <w:rsid w:val="00A72A62"/>
    <w:rsid w:val="00A7440B"/>
    <w:rsid w:val="00A74F48"/>
    <w:rsid w:val="00A756EC"/>
    <w:rsid w:val="00A815A9"/>
    <w:rsid w:val="00A81A3A"/>
    <w:rsid w:val="00A831D7"/>
    <w:rsid w:val="00A83E6C"/>
    <w:rsid w:val="00A84AFB"/>
    <w:rsid w:val="00A84D8D"/>
    <w:rsid w:val="00A854F8"/>
    <w:rsid w:val="00A857D2"/>
    <w:rsid w:val="00A900AE"/>
    <w:rsid w:val="00A9330E"/>
    <w:rsid w:val="00A93FD6"/>
    <w:rsid w:val="00A9447A"/>
    <w:rsid w:val="00A95040"/>
    <w:rsid w:val="00A95088"/>
    <w:rsid w:val="00A957EB"/>
    <w:rsid w:val="00A960AC"/>
    <w:rsid w:val="00AA3298"/>
    <w:rsid w:val="00AA41AA"/>
    <w:rsid w:val="00AA435D"/>
    <w:rsid w:val="00AA4C99"/>
    <w:rsid w:val="00AA6892"/>
    <w:rsid w:val="00AA72CC"/>
    <w:rsid w:val="00AA76B7"/>
    <w:rsid w:val="00AB049C"/>
    <w:rsid w:val="00AB1D7B"/>
    <w:rsid w:val="00AB1EA3"/>
    <w:rsid w:val="00AB3399"/>
    <w:rsid w:val="00AB3D67"/>
    <w:rsid w:val="00AB770B"/>
    <w:rsid w:val="00AC173D"/>
    <w:rsid w:val="00AC3ACD"/>
    <w:rsid w:val="00AC4276"/>
    <w:rsid w:val="00AC464D"/>
    <w:rsid w:val="00AC51E8"/>
    <w:rsid w:val="00AC70FC"/>
    <w:rsid w:val="00AD0CA9"/>
    <w:rsid w:val="00AD1C5F"/>
    <w:rsid w:val="00AD2407"/>
    <w:rsid w:val="00AD374C"/>
    <w:rsid w:val="00AD3E16"/>
    <w:rsid w:val="00AD5FBC"/>
    <w:rsid w:val="00AD62D8"/>
    <w:rsid w:val="00AD6B6A"/>
    <w:rsid w:val="00AD7273"/>
    <w:rsid w:val="00AE5146"/>
    <w:rsid w:val="00AE55C5"/>
    <w:rsid w:val="00AE5A4F"/>
    <w:rsid w:val="00AE7B16"/>
    <w:rsid w:val="00AF0B65"/>
    <w:rsid w:val="00AF31BD"/>
    <w:rsid w:val="00AF5FFE"/>
    <w:rsid w:val="00AF75DB"/>
    <w:rsid w:val="00AF7EEF"/>
    <w:rsid w:val="00B002E0"/>
    <w:rsid w:val="00B0053F"/>
    <w:rsid w:val="00B0132A"/>
    <w:rsid w:val="00B029C1"/>
    <w:rsid w:val="00B0354C"/>
    <w:rsid w:val="00B07903"/>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36502"/>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32A6"/>
    <w:rsid w:val="00B837AA"/>
    <w:rsid w:val="00B8449B"/>
    <w:rsid w:val="00B87D03"/>
    <w:rsid w:val="00B909E8"/>
    <w:rsid w:val="00B916CC"/>
    <w:rsid w:val="00B9259A"/>
    <w:rsid w:val="00B928EE"/>
    <w:rsid w:val="00B92AD5"/>
    <w:rsid w:val="00B94BA4"/>
    <w:rsid w:val="00B96D07"/>
    <w:rsid w:val="00B97DB5"/>
    <w:rsid w:val="00BA27F3"/>
    <w:rsid w:val="00BA52AE"/>
    <w:rsid w:val="00BA7178"/>
    <w:rsid w:val="00BB1325"/>
    <w:rsid w:val="00BB156E"/>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403E"/>
    <w:rsid w:val="00BF53E9"/>
    <w:rsid w:val="00BF5C82"/>
    <w:rsid w:val="00BF7A5E"/>
    <w:rsid w:val="00C0085D"/>
    <w:rsid w:val="00C00E47"/>
    <w:rsid w:val="00C010AA"/>
    <w:rsid w:val="00C013EF"/>
    <w:rsid w:val="00C02D2A"/>
    <w:rsid w:val="00C0358E"/>
    <w:rsid w:val="00C057BD"/>
    <w:rsid w:val="00C11D21"/>
    <w:rsid w:val="00C11EFC"/>
    <w:rsid w:val="00C1675F"/>
    <w:rsid w:val="00C2052B"/>
    <w:rsid w:val="00C21AFA"/>
    <w:rsid w:val="00C21F2D"/>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21A1"/>
    <w:rsid w:val="00C63153"/>
    <w:rsid w:val="00C63CB8"/>
    <w:rsid w:val="00C65327"/>
    <w:rsid w:val="00C6683D"/>
    <w:rsid w:val="00C67235"/>
    <w:rsid w:val="00C67382"/>
    <w:rsid w:val="00C720C8"/>
    <w:rsid w:val="00C72471"/>
    <w:rsid w:val="00C72B4C"/>
    <w:rsid w:val="00C73AE5"/>
    <w:rsid w:val="00C76180"/>
    <w:rsid w:val="00C76F2B"/>
    <w:rsid w:val="00C77BC1"/>
    <w:rsid w:val="00C8086B"/>
    <w:rsid w:val="00C82D97"/>
    <w:rsid w:val="00C84D14"/>
    <w:rsid w:val="00C91C45"/>
    <w:rsid w:val="00C9369C"/>
    <w:rsid w:val="00C93EDD"/>
    <w:rsid w:val="00C953EF"/>
    <w:rsid w:val="00C953F6"/>
    <w:rsid w:val="00C96816"/>
    <w:rsid w:val="00C97FD3"/>
    <w:rsid w:val="00CA0363"/>
    <w:rsid w:val="00CA06A4"/>
    <w:rsid w:val="00CA1C15"/>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58C3"/>
    <w:rsid w:val="00CD229F"/>
    <w:rsid w:val="00CE2D1F"/>
    <w:rsid w:val="00CE316E"/>
    <w:rsid w:val="00CE52F0"/>
    <w:rsid w:val="00CF121A"/>
    <w:rsid w:val="00CF18A3"/>
    <w:rsid w:val="00CF356A"/>
    <w:rsid w:val="00CF4A61"/>
    <w:rsid w:val="00CF4B9A"/>
    <w:rsid w:val="00D0108B"/>
    <w:rsid w:val="00D0280F"/>
    <w:rsid w:val="00D029CB"/>
    <w:rsid w:val="00D0330B"/>
    <w:rsid w:val="00D04274"/>
    <w:rsid w:val="00D05A8B"/>
    <w:rsid w:val="00D06659"/>
    <w:rsid w:val="00D0699D"/>
    <w:rsid w:val="00D12209"/>
    <w:rsid w:val="00D1447E"/>
    <w:rsid w:val="00D15A58"/>
    <w:rsid w:val="00D164B7"/>
    <w:rsid w:val="00D1747A"/>
    <w:rsid w:val="00D205D0"/>
    <w:rsid w:val="00D21306"/>
    <w:rsid w:val="00D2151A"/>
    <w:rsid w:val="00D22151"/>
    <w:rsid w:val="00D240AB"/>
    <w:rsid w:val="00D253B1"/>
    <w:rsid w:val="00D25CA2"/>
    <w:rsid w:val="00D26BCB"/>
    <w:rsid w:val="00D26C04"/>
    <w:rsid w:val="00D26CC6"/>
    <w:rsid w:val="00D275C6"/>
    <w:rsid w:val="00D27639"/>
    <w:rsid w:val="00D32D42"/>
    <w:rsid w:val="00D369E4"/>
    <w:rsid w:val="00D41A51"/>
    <w:rsid w:val="00D42DFD"/>
    <w:rsid w:val="00D4448D"/>
    <w:rsid w:val="00D45E14"/>
    <w:rsid w:val="00D4755C"/>
    <w:rsid w:val="00D52834"/>
    <w:rsid w:val="00D544FE"/>
    <w:rsid w:val="00D5582D"/>
    <w:rsid w:val="00D5596F"/>
    <w:rsid w:val="00D56F3F"/>
    <w:rsid w:val="00D61F13"/>
    <w:rsid w:val="00D62134"/>
    <w:rsid w:val="00D672D6"/>
    <w:rsid w:val="00D67D4A"/>
    <w:rsid w:val="00D70434"/>
    <w:rsid w:val="00D708A4"/>
    <w:rsid w:val="00D70B9D"/>
    <w:rsid w:val="00D72B46"/>
    <w:rsid w:val="00D73122"/>
    <w:rsid w:val="00D75D2E"/>
    <w:rsid w:val="00D77EA3"/>
    <w:rsid w:val="00D806A3"/>
    <w:rsid w:val="00D81ABD"/>
    <w:rsid w:val="00D81BAC"/>
    <w:rsid w:val="00D82BC8"/>
    <w:rsid w:val="00D82EE7"/>
    <w:rsid w:val="00D83149"/>
    <w:rsid w:val="00D83173"/>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1BA2"/>
    <w:rsid w:val="00DC22BE"/>
    <w:rsid w:val="00DC5F62"/>
    <w:rsid w:val="00DC7FAF"/>
    <w:rsid w:val="00DD02BA"/>
    <w:rsid w:val="00DD100B"/>
    <w:rsid w:val="00DD2D68"/>
    <w:rsid w:val="00DD34DF"/>
    <w:rsid w:val="00DD34FE"/>
    <w:rsid w:val="00DD42F9"/>
    <w:rsid w:val="00DE1B4A"/>
    <w:rsid w:val="00DE26EF"/>
    <w:rsid w:val="00DE2CFF"/>
    <w:rsid w:val="00DE3330"/>
    <w:rsid w:val="00DE5939"/>
    <w:rsid w:val="00DE5E57"/>
    <w:rsid w:val="00DE6492"/>
    <w:rsid w:val="00DE7200"/>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73DF"/>
    <w:rsid w:val="00E248EB"/>
    <w:rsid w:val="00E2626C"/>
    <w:rsid w:val="00E27FC2"/>
    <w:rsid w:val="00E31912"/>
    <w:rsid w:val="00E31B60"/>
    <w:rsid w:val="00E32DC5"/>
    <w:rsid w:val="00E34D88"/>
    <w:rsid w:val="00E353DB"/>
    <w:rsid w:val="00E36375"/>
    <w:rsid w:val="00E37A8B"/>
    <w:rsid w:val="00E40D48"/>
    <w:rsid w:val="00E40DBF"/>
    <w:rsid w:val="00E42C98"/>
    <w:rsid w:val="00E43798"/>
    <w:rsid w:val="00E43842"/>
    <w:rsid w:val="00E44765"/>
    <w:rsid w:val="00E468CA"/>
    <w:rsid w:val="00E4765A"/>
    <w:rsid w:val="00E47D3F"/>
    <w:rsid w:val="00E505FB"/>
    <w:rsid w:val="00E50C0E"/>
    <w:rsid w:val="00E521EE"/>
    <w:rsid w:val="00E52223"/>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53FB"/>
    <w:rsid w:val="00E85E3C"/>
    <w:rsid w:val="00E902C7"/>
    <w:rsid w:val="00E9183D"/>
    <w:rsid w:val="00E91CD5"/>
    <w:rsid w:val="00E93C23"/>
    <w:rsid w:val="00E943EE"/>
    <w:rsid w:val="00E94456"/>
    <w:rsid w:val="00E94FE2"/>
    <w:rsid w:val="00E95E39"/>
    <w:rsid w:val="00E9727E"/>
    <w:rsid w:val="00E97B23"/>
    <w:rsid w:val="00EA0385"/>
    <w:rsid w:val="00EA3791"/>
    <w:rsid w:val="00EA3FC2"/>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6D11"/>
    <w:rsid w:val="00ED7856"/>
    <w:rsid w:val="00ED792B"/>
    <w:rsid w:val="00ED7DC2"/>
    <w:rsid w:val="00EE3ECB"/>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4A89"/>
    <w:rsid w:val="00F15414"/>
    <w:rsid w:val="00F16AB3"/>
    <w:rsid w:val="00F202B4"/>
    <w:rsid w:val="00F25BEF"/>
    <w:rsid w:val="00F270BA"/>
    <w:rsid w:val="00F308AF"/>
    <w:rsid w:val="00F32911"/>
    <w:rsid w:val="00F32B9B"/>
    <w:rsid w:val="00F33320"/>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53EF"/>
    <w:rsid w:val="00F46B8B"/>
    <w:rsid w:val="00F47660"/>
    <w:rsid w:val="00F507DB"/>
    <w:rsid w:val="00F51BCA"/>
    <w:rsid w:val="00F5236F"/>
    <w:rsid w:val="00F52C7A"/>
    <w:rsid w:val="00F544AB"/>
    <w:rsid w:val="00F5653F"/>
    <w:rsid w:val="00F56A1B"/>
    <w:rsid w:val="00F6079F"/>
    <w:rsid w:val="00F6227E"/>
    <w:rsid w:val="00F64EA5"/>
    <w:rsid w:val="00F66A3D"/>
    <w:rsid w:val="00F66DF3"/>
    <w:rsid w:val="00F67AB2"/>
    <w:rsid w:val="00F73D21"/>
    <w:rsid w:val="00F73DFD"/>
    <w:rsid w:val="00F742DE"/>
    <w:rsid w:val="00F74ED0"/>
    <w:rsid w:val="00F75B44"/>
    <w:rsid w:val="00F83547"/>
    <w:rsid w:val="00F83593"/>
    <w:rsid w:val="00F837F7"/>
    <w:rsid w:val="00F839BF"/>
    <w:rsid w:val="00F854ED"/>
    <w:rsid w:val="00F90E30"/>
    <w:rsid w:val="00F917E4"/>
    <w:rsid w:val="00F91B00"/>
    <w:rsid w:val="00F9424D"/>
    <w:rsid w:val="00F94D96"/>
    <w:rsid w:val="00F94DFC"/>
    <w:rsid w:val="00F96BAD"/>
    <w:rsid w:val="00FA18A4"/>
    <w:rsid w:val="00FA34B5"/>
    <w:rsid w:val="00FA6529"/>
    <w:rsid w:val="00FA7E04"/>
    <w:rsid w:val="00FB0158"/>
    <w:rsid w:val="00FB06CF"/>
    <w:rsid w:val="00FB16BC"/>
    <w:rsid w:val="00FB1819"/>
    <w:rsid w:val="00FB25A0"/>
    <w:rsid w:val="00FB2D7C"/>
    <w:rsid w:val="00FB412F"/>
    <w:rsid w:val="00FB49D7"/>
    <w:rsid w:val="00FB4F37"/>
    <w:rsid w:val="00FB79F1"/>
    <w:rsid w:val="00FB7E5A"/>
    <w:rsid w:val="00FC07B8"/>
    <w:rsid w:val="00FC13D8"/>
    <w:rsid w:val="00FC6E54"/>
    <w:rsid w:val="00FD1379"/>
    <w:rsid w:val="00FD33A2"/>
    <w:rsid w:val="00FD6206"/>
    <w:rsid w:val="00FE09E7"/>
    <w:rsid w:val="00FE2161"/>
    <w:rsid w:val="00FE3D39"/>
    <w:rsid w:val="00FE58B6"/>
    <w:rsid w:val="00FE7430"/>
    <w:rsid w:val="00FE7DCD"/>
    <w:rsid w:val="00FF0471"/>
    <w:rsid w:val="00FF0771"/>
    <w:rsid w:val="00FF0AAD"/>
    <w:rsid w:val="00FF29CE"/>
    <w:rsid w:val="00FF2E7C"/>
    <w:rsid w:val="00FF33F4"/>
    <w:rsid w:val="00FF3A1B"/>
    <w:rsid w:val="00FF3FC8"/>
    <w:rsid w:val="010B71C0"/>
    <w:rsid w:val="016F2955"/>
    <w:rsid w:val="01E06294"/>
    <w:rsid w:val="02090528"/>
    <w:rsid w:val="02096E03"/>
    <w:rsid w:val="021A15C5"/>
    <w:rsid w:val="0276200A"/>
    <w:rsid w:val="02852DB6"/>
    <w:rsid w:val="02AF57A1"/>
    <w:rsid w:val="02C63FE5"/>
    <w:rsid w:val="03695ACD"/>
    <w:rsid w:val="037439E2"/>
    <w:rsid w:val="03BC3684"/>
    <w:rsid w:val="0427122D"/>
    <w:rsid w:val="04405CD4"/>
    <w:rsid w:val="044F0676"/>
    <w:rsid w:val="0473134F"/>
    <w:rsid w:val="04F16D92"/>
    <w:rsid w:val="052848EA"/>
    <w:rsid w:val="05AE40A8"/>
    <w:rsid w:val="05D1293B"/>
    <w:rsid w:val="06270E5D"/>
    <w:rsid w:val="06301129"/>
    <w:rsid w:val="065A1065"/>
    <w:rsid w:val="07332E45"/>
    <w:rsid w:val="07393CB3"/>
    <w:rsid w:val="07645E7E"/>
    <w:rsid w:val="07815AA2"/>
    <w:rsid w:val="07D21C7A"/>
    <w:rsid w:val="07DB31F6"/>
    <w:rsid w:val="08036844"/>
    <w:rsid w:val="083828A5"/>
    <w:rsid w:val="08634AA9"/>
    <w:rsid w:val="086A0D8F"/>
    <w:rsid w:val="08870B03"/>
    <w:rsid w:val="09253E9C"/>
    <w:rsid w:val="0929781C"/>
    <w:rsid w:val="095438C6"/>
    <w:rsid w:val="098B1EF5"/>
    <w:rsid w:val="09911B95"/>
    <w:rsid w:val="09945F3A"/>
    <w:rsid w:val="09A3638E"/>
    <w:rsid w:val="09AC5B6F"/>
    <w:rsid w:val="09CB5A6C"/>
    <w:rsid w:val="09F00BD8"/>
    <w:rsid w:val="09F318B6"/>
    <w:rsid w:val="09FD6E02"/>
    <w:rsid w:val="0A1A74F5"/>
    <w:rsid w:val="0A1D73FF"/>
    <w:rsid w:val="0A697E61"/>
    <w:rsid w:val="0A750F68"/>
    <w:rsid w:val="0AE61C59"/>
    <w:rsid w:val="0AEC356E"/>
    <w:rsid w:val="0B545B44"/>
    <w:rsid w:val="0B8742A4"/>
    <w:rsid w:val="0BC81D14"/>
    <w:rsid w:val="0C34609D"/>
    <w:rsid w:val="0C4A196E"/>
    <w:rsid w:val="0CBA1583"/>
    <w:rsid w:val="0CBC415D"/>
    <w:rsid w:val="0CD249CC"/>
    <w:rsid w:val="0CE47597"/>
    <w:rsid w:val="0D9222C1"/>
    <w:rsid w:val="0DC045AB"/>
    <w:rsid w:val="0DFF7D07"/>
    <w:rsid w:val="0E374CA0"/>
    <w:rsid w:val="0E6F0740"/>
    <w:rsid w:val="0EC0431F"/>
    <w:rsid w:val="0F321E2D"/>
    <w:rsid w:val="0F4E2E70"/>
    <w:rsid w:val="0F6715A1"/>
    <w:rsid w:val="0F8070F6"/>
    <w:rsid w:val="0FA731D6"/>
    <w:rsid w:val="10146B2E"/>
    <w:rsid w:val="10232DBB"/>
    <w:rsid w:val="103246BB"/>
    <w:rsid w:val="103F55E5"/>
    <w:rsid w:val="108C2AA3"/>
    <w:rsid w:val="10DE14BF"/>
    <w:rsid w:val="10DF3115"/>
    <w:rsid w:val="113E3C41"/>
    <w:rsid w:val="11B5797D"/>
    <w:rsid w:val="11DD4AE3"/>
    <w:rsid w:val="11E15AE5"/>
    <w:rsid w:val="11E53E9B"/>
    <w:rsid w:val="11FC5F30"/>
    <w:rsid w:val="120048B1"/>
    <w:rsid w:val="12015140"/>
    <w:rsid w:val="12394E59"/>
    <w:rsid w:val="1299671F"/>
    <w:rsid w:val="12A742B1"/>
    <w:rsid w:val="131813A1"/>
    <w:rsid w:val="13DC640D"/>
    <w:rsid w:val="13F01C1F"/>
    <w:rsid w:val="141842FE"/>
    <w:rsid w:val="14352831"/>
    <w:rsid w:val="146B64E1"/>
    <w:rsid w:val="14993B21"/>
    <w:rsid w:val="14B77E4B"/>
    <w:rsid w:val="14D73601"/>
    <w:rsid w:val="15014A40"/>
    <w:rsid w:val="156B4B8B"/>
    <w:rsid w:val="15890495"/>
    <w:rsid w:val="15E03D6F"/>
    <w:rsid w:val="15EF5060"/>
    <w:rsid w:val="163643CD"/>
    <w:rsid w:val="169C366A"/>
    <w:rsid w:val="16DA1E4D"/>
    <w:rsid w:val="16FB015A"/>
    <w:rsid w:val="17003574"/>
    <w:rsid w:val="17535B24"/>
    <w:rsid w:val="17A31370"/>
    <w:rsid w:val="17B06B1C"/>
    <w:rsid w:val="17D92C65"/>
    <w:rsid w:val="17F53DC6"/>
    <w:rsid w:val="180B4FFB"/>
    <w:rsid w:val="18211C57"/>
    <w:rsid w:val="1842664F"/>
    <w:rsid w:val="18543673"/>
    <w:rsid w:val="186B7D0B"/>
    <w:rsid w:val="189D065F"/>
    <w:rsid w:val="18BC6F6C"/>
    <w:rsid w:val="18F32BCE"/>
    <w:rsid w:val="18FF4ABB"/>
    <w:rsid w:val="19343406"/>
    <w:rsid w:val="195B2085"/>
    <w:rsid w:val="1992641B"/>
    <w:rsid w:val="19BF0200"/>
    <w:rsid w:val="1A45032B"/>
    <w:rsid w:val="1A640E62"/>
    <w:rsid w:val="1A713779"/>
    <w:rsid w:val="1A84217D"/>
    <w:rsid w:val="1A9B1F53"/>
    <w:rsid w:val="1ABB54B3"/>
    <w:rsid w:val="1AE025B8"/>
    <w:rsid w:val="1B3D4012"/>
    <w:rsid w:val="1B481AFB"/>
    <w:rsid w:val="1B7A1663"/>
    <w:rsid w:val="1B8F6978"/>
    <w:rsid w:val="1BA23557"/>
    <w:rsid w:val="1BC27038"/>
    <w:rsid w:val="1BC73993"/>
    <w:rsid w:val="1BD24B16"/>
    <w:rsid w:val="1BF62321"/>
    <w:rsid w:val="1C130C67"/>
    <w:rsid w:val="1C2D5D31"/>
    <w:rsid w:val="1C5D6CC2"/>
    <w:rsid w:val="1C696E9C"/>
    <w:rsid w:val="1CBD093F"/>
    <w:rsid w:val="1CC83450"/>
    <w:rsid w:val="1CE21C50"/>
    <w:rsid w:val="1CE9601A"/>
    <w:rsid w:val="1D235F66"/>
    <w:rsid w:val="1D665A9E"/>
    <w:rsid w:val="1D667D51"/>
    <w:rsid w:val="1D8D3AB3"/>
    <w:rsid w:val="1DC566C0"/>
    <w:rsid w:val="1DE501D0"/>
    <w:rsid w:val="1DFC74E5"/>
    <w:rsid w:val="1E21472F"/>
    <w:rsid w:val="1E2804C4"/>
    <w:rsid w:val="1E2C49A1"/>
    <w:rsid w:val="1E3722FA"/>
    <w:rsid w:val="1E8146DA"/>
    <w:rsid w:val="1EA46EA2"/>
    <w:rsid w:val="1EAA39F6"/>
    <w:rsid w:val="1EB2633F"/>
    <w:rsid w:val="1EB847E9"/>
    <w:rsid w:val="1F8E0455"/>
    <w:rsid w:val="1FA76059"/>
    <w:rsid w:val="1FAF272D"/>
    <w:rsid w:val="1FD0672A"/>
    <w:rsid w:val="1FE374E8"/>
    <w:rsid w:val="1FFC5344"/>
    <w:rsid w:val="204934AB"/>
    <w:rsid w:val="2050734E"/>
    <w:rsid w:val="20573F56"/>
    <w:rsid w:val="20705710"/>
    <w:rsid w:val="20840318"/>
    <w:rsid w:val="20930DFA"/>
    <w:rsid w:val="20CE5836"/>
    <w:rsid w:val="20D02BC7"/>
    <w:rsid w:val="20F0405B"/>
    <w:rsid w:val="210637EE"/>
    <w:rsid w:val="210948AE"/>
    <w:rsid w:val="21161C59"/>
    <w:rsid w:val="211E529B"/>
    <w:rsid w:val="213A5E32"/>
    <w:rsid w:val="214425B4"/>
    <w:rsid w:val="215B24B5"/>
    <w:rsid w:val="21D36B48"/>
    <w:rsid w:val="21D93ECC"/>
    <w:rsid w:val="221B7641"/>
    <w:rsid w:val="222E4F94"/>
    <w:rsid w:val="224F5646"/>
    <w:rsid w:val="22666B0B"/>
    <w:rsid w:val="229A0A46"/>
    <w:rsid w:val="22D5441E"/>
    <w:rsid w:val="22D61F71"/>
    <w:rsid w:val="232660FF"/>
    <w:rsid w:val="23BE01FF"/>
    <w:rsid w:val="23DF27A5"/>
    <w:rsid w:val="2410019C"/>
    <w:rsid w:val="2418652F"/>
    <w:rsid w:val="245A1846"/>
    <w:rsid w:val="248512BD"/>
    <w:rsid w:val="24E51B39"/>
    <w:rsid w:val="25173A41"/>
    <w:rsid w:val="252D5DCC"/>
    <w:rsid w:val="255B75CB"/>
    <w:rsid w:val="25841D88"/>
    <w:rsid w:val="25A45302"/>
    <w:rsid w:val="25A94E88"/>
    <w:rsid w:val="25E135DF"/>
    <w:rsid w:val="261E413F"/>
    <w:rsid w:val="263E633F"/>
    <w:rsid w:val="267E599C"/>
    <w:rsid w:val="26C17FC8"/>
    <w:rsid w:val="27B132D6"/>
    <w:rsid w:val="27FF1FDA"/>
    <w:rsid w:val="281C5F7A"/>
    <w:rsid w:val="28915210"/>
    <w:rsid w:val="28937E74"/>
    <w:rsid w:val="29095102"/>
    <w:rsid w:val="293E1B9C"/>
    <w:rsid w:val="29A81AA0"/>
    <w:rsid w:val="29B32846"/>
    <w:rsid w:val="29ED63D5"/>
    <w:rsid w:val="2A275682"/>
    <w:rsid w:val="2A275D46"/>
    <w:rsid w:val="2A9376BC"/>
    <w:rsid w:val="2AA14025"/>
    <w:rsid w:val="2B2348E2"/>
    <w:rsid w:val="2B5D0645"/>
    <w:rsid w:val="2B907720"/>
    <w:rsid w:val="2BCD0751"/>
    <w:rsid w:val="2C7F2EA6"/>
    <w:rsid w:val="2C8C2358"/>
    <w:rsid w:val="2C8E4E6A"/>
    <w:rsid w:val="2C9927E7"/>
    <w:rsid w:val="2CA56F60"/>
    <w:rsid w:val="2CAF2767"/>
    <w:rsid w:val="2CBF636A"/>
    <w:rsid w:val="2CFB59F1"/>
    <w:rsid w:val="2D125EB2"/>
    <w:rsid w:val="2D1E05D5"/>
    <w:rsid w:val="2D5627A8"/>
    <w:rsid w:val="2D8D29A8"/>
    <w:rsid w:val="2D9A6090"/>
    <w:rsid w:val="2D9D4CC1"/>
    <w:rsid w:val="2DBD4FAF"/>
    <w:rsid w:val="2E09336F"/>
    <w:rsid w:val="2E615D6D"/>
    <w:rsid w:val="2EC27772"/>
    <w:rsid w:val="2ED0428B"/>
    <w:rsid w:val="2EFF20DE"/>
    <w:rsid w:val="2F263E1B"/>
    <w:rsid w:val="2F337D9E"/>
    <w:rsid w:val="300160A4"/>
    <w:rsid w:val="3003631E"/>
    <w:rsid w:val="30745F5B"/>
    <w:rsid w:val="3078124A"/>
    <w:rsid w:val="3090209F"/>
    <w:rsid w:val="30953FB5"/>
    <w:rsid w:val="31623402"/>
    <w:rsid w:val="31EB4942"/>
    <w:rsid w:val="31EC5E5F"/>
    <w:rsid w:val="32187B45"/>
    <w:rsid w:val="32362071"/>
    <w:rsid w:val="3273050E"/>
    <w:rsid w:val="32817193"/>
    <w:rsid w:val="32891F62"/>
    <w:rsid w:val="328C1583"/>
    <w:rsid w:val="32C9080C"/>
    <w:rsid w:val="32CA0CF4"/>
    <w:rsid w:val="334275F5"/>
    <w:rsid w:val="33617E72"/>
    <w:rsid w:val="33636F14"/>
    <w:rsid w:val="33670485"/>
    <w:rsid w:val="33B72E78"/>
    <w:rsid w:val="33C54618"/>
    <w:rsid w:val="34211C7C"/>
    <w:rsid w:val="34342DEB"/>
    <w:rsid w:val="344C7B1B"/>
    <w:rsid w:val="347A4EB8"/>
    <w:rsid w:val="35183D8B"/>
    <w:rsid w:val="35387D52"/>
    <w:rsid w:val="356926AE"/>
    <w:rsid w:val="35746D1B"/>
    <w:rsid w:val="357860DF"/>
    <w:rsid w:val="358E0757"/>
    <w:rsid w:val="35AE7101"/>
    <w:rsid w:val="35BB43C3"/>
    <w:rsid w:val="35F9212A"/>
    <w:rsid w:val="36281B26"/>
    <w:rsid w:val="36336C04"/>
    <w:rsid w:val="366043F8"/>
    <w:rsid w:val="366626F2"/>
    <w:rsid w:val="366F5A51"/>
    <w:rsid w:val="374F6194"/>
    <w:rsid w:val="377F6041"/>
    <w:rsid w:val="37BC7D72"/>
    <w:rsid w:val="37E15A1B"/>
    <w:rsid w:val="382E42A6"/>
    <w:rsid w:val="38626E95"/>
    <w:rsid w:val="38A75F14"/>
    <w:rsid w:val="38BD2C6C"/>
    <w:rsid w:val="38FA0996"/>
    <w:rsid w:val="39467E4B"/>
    <w:rsid w:val="396E02FE"/>
    <w:rsid w:val="3982272C"/>
    <w:rsid w:val="399133F9"/>
    <w:rsid w:val="399648C1"/>
    <w:rsid w:val="39BB3B43"/>
    <w:rsid w:val="3A156CE0"/>
    <w:rsid w:val="3A277789"/>
    <w:rsid w:val="3A2D66D3"/>
    <w:rsid w:val="3A7E4036"/>
    <w:rsid w:val="3A891A0E"/>
    <w:rsid w:val="3A9620D1"/>
    <w:rsid w:val="3AA26C9B"/>
    <w:rsid w:val="3ADC5E36"/>
    <w:rsid w:val="3AFC2B33"/>
    <w:rsid w:val="3AFC41BB"/>
    <w:rsid w:val="3B7F2802"/>
    <w:rsid w:val="3B8B43E4"/>
    <w:rsid w:val="3BBC5ED5"/>
    <w:rsid w:val="3BC33F8E"/>
    <w:rsid w:val="3BCE7F95"/>
    <w:rsid w:val="3C087392"/>
    <w:rsid w:val="3C3F7E0E"/>
    <w:rsid w:val="3C851465"/>
    <w:rsid w:val="3C893061"/>
    <w:rsid w:val="3C8C09A7"/>
    <w:rsid w:val="3CB674D9"/>
    <w:rsid w:val="3CC4206D"/>
    <w:rsid w:val="3CC937E3"/>
    <w:rsid w:val="3D0F30FA"/>
    <w:rsid w:val="3D3F1E49"/>
    <w:rsid w:val="3D634A82"/>
    <w:rsid w:val="3D9210CE"/>
    <w:rsid w:val="3DAC0E95"/>
    <w:rsid w:val="3E08361A"/>
    <w:rsid w:val="3E195DD8"/>
    <w:rsid w:val="3E7A082F"/>
    <w:rsid w:val="3E926EC3"/>
    <w:rsid w:val="3E93478A"/>
    <w:rsid w:val="3E9F10BF"/>
    <w:rsid w:val="3EC40624"/>
    <w:rsid w:val="3EC74949"/>
    <w:rsid w:val="3F0875E3"/>
    <w:rsid w:val="3F09726C"/>
    <w:rsid w:val="3F0F2BD0"/>
    <w:rsid w:val="3F1F25CF"/>
    <w:rsid w:val="3F495E7B"/>
    <w:rsid w:val="3F5B21D1"/>
    <w:rsid w:val="3FB60A94"/>
    <w:rsid w:val="3FBD74AC"/>
    <w:rsid w:val="3FD90165"/>
    <w:rsid w:val="402D7D95"/>
    <w:rsid w:val="402F67F2"/>
    <w:rsid w:val="402F7D1A"/>
    <w:rsid w:val="405E7B10"/>
    <w:rsid w:val="411531A3"/>
    <w:rsid w:val="414B0A93"/>
    <w:rsid w:val="415723A1"/>
    <w:rsid w:val="41643432"/>
    <w:rsid w:val="41CE480C"/>
    <w:rsid w:val="421B0E01"/>
    <w:rsid w:val="42481B2A"/>
    <w:rsid w:val="42B049D2"/>
    <w:rsid w:val="437906BF"/>
    <w:rsid w:val="43945CC5"/>
    <w:rsid w:val="43CE3BC6"/>
    <w:rsid w:val="43FB5AF0"/>
    <w:rsid w:val="440B4BBE"/>
    <w:rsid w:val="44211E9A"/>
    <w:rsid w:val="4454633F"/>
    <w:rsid w:val="44555A83"/>
    <w:rsid w:val="446A1C8A"/>
    <w:rsid w:val="44B04CDA"/>
    <w:rsid w:val="44C70D28"/>
    <w:rsid w:val="44EB2E62"/>
    <w:rsid w:val="44EE2D37"/>
    <w:rsid w:val="452946FD"/>
    <w:rsid w:val="45465A74"/>
    <w:rsid w:val="457210D8"/>
    <w:rsid w:val="459C31A4"/>
    <w:rsid w:val="45E30915"/>
    <w:rsid w:val="45E40321"/>
    <w:rsid w:val="4625557D"/>
    <w:rsid w:val="464F0E9C"/>
    <w:rsid w:val="465173C0"/>
    <w:rsid w:val="46540242"/>
    <w:rsid w:val="467E3F9B"/>
    <w:rsid w:val="46825B05"/>
    <w:rsid w:val="4684656F"/>
    <w:rsid w:val="46867C6B"/>
    <w:rsid w:val="46CC7A0B"/>
    <w:rsid w:val="47047ED5"/>
    <w:rsid w:val="470D32F9"/>
    <w:rsid w:val="473D266B"/>
    <w:rsid w:val="47A30EFE"/>
    <w:rsid w:val="47B952BD"/>
    <w:rsid w:val="47FE7D60"/>
    <w:rsid w:val="48110BF4"/>
    <w:rsid w:val="48200D75"/>
    <w:rsid w:val="48283643"/>
    <w:rsid w:val="484C3C28"/>
    <w:rsid w:val="48516D40"/>
    <w:rsid w:val="486A5C7B"/>
    <w:rsid w:val="48BB3F94"/>
    <w:rsid w:val="48E03D9C"/>
    <w:rsid w:val="48F75F7E"/>
    <w:rsid w:val="490E3A5E"/>
    <w:rsid w:val="49374149"/>
    <w:rsid w:val="49613924"/>
    <w:rsid w:val="496D0F3E"/>
    <w:rsid w:val="49E12571"/>
    <w:rsid w:val="49E378C6"/>
    <w:rsid w:val="4A834EBE"/>
    <w:rsid w:val="4A84625B"/>
    <w:rsid w:val="4AC742EB"/>
    <w:rsid w:val="4B222F19"/>
    <w:rsid w:val="4B3040AF"/>
    <w:rsid w:val="4B55574A"/>
    <w:rsid w:val="4B8B3072"/>
    <w:rsid w:val="4BA90131"/>
    <w:rsid w:val="4BB36285"/>
    <w:rsid w:val="4BD35EC5"/>
    <w:rsid w:val="4BF55CE7"/>
    <w:rsid w:val="4C1B3C0A"/>
    <w:rsid w:val="4C4846F9"/>
    <w:rsid w:val="4CA517A6"/>
    <w:rsid w:val="4CBC728A"/>
    <w:rsid w:val="4CC550D0"/>
    <w:rsid w:val="4CFB69A6"/>
    <w:rsid w:val="4D2316EA"/>
    <w:rsid w:val="4D267491"/>
    <w:rsid w:val="4D331FE6"/>
    <w:rsid w:val="4D7D1D33"/>
    <w:rsid w:val="4D830955"/>
    <w:rsid w:val="4DD76DA8"/>
    <w:rsid w:val="4DF641D3"/>
    <w:rsid w:val="4E3E017D"/>
    <w:rsid w:val="4E43407C"/>
    <w:rsid w:val="4E5F59DA"/>
    <w:rsid w:val="4E79209E"/>
    <w:rsid w:val="4EA44C2A"/>
    <w:rsid w:val="4EF23E87"/>
    <w:rsid w:val="4F2941D5"/>
    <w:rsid w:val="4FF955FD"/>
    <w:rsid w:val="4FFC0A94"/>
    <w:rsid w:val="50081059"/>
    <w:rsid w:val="504F4E51"/>
    <w:rsid w:val="509E2AE6"/>
    <w:rsid w:val="50F36CD9"/>
    <w:rsid w:val="512E641B"/>
    <w:rsid w:val="517D059D"/>
    <w:rsid w:val="51FA56D9"/>
    <w:rsid w:val="521723B7"/>
    <w:rsid w:val="523F7F97"/>
    <w:rsid w:val="53047529"/>
    <w:rsid w:val="53133561"/>
    <w:rsid w:val="535D658C"/>
    <w:rsid w:val="53B9060B"/>
    <w:rsid w:val="54107975"/>
    <w:rsid w:val="5451551D"/>
    <w:rsid w:val="548C2C0D"/>
    <w:rsid w:val="54D6790A"/>
    <w:rsid w:val="55205953"/>
    <w:rsid w:val="55237443"/>
    <w:rsid w:val="553A4CBA"/>
    <w:rsid w:val="557E6857"/>
    <w:rsid w:val="55E15918"/>
    <w:rsid w:val="55E65C45"/>
    <w:rsid w:val="55EA2DA9"/>
    <w:rsid w:val="55F9753C"/>
    <w:rsid w:val="55FA344A"/>
    <w:rsid w:val="5616542D"/>
    <w:rsid w:val="563A460F"/>
    <w:rsid w:val="565A7710"/>
    <w:rsid w:val="566B6C45"/>
    <w:rsid w:val="56975E59"/>
    <w:rsid w:val="569C350B"/>
    <w:rsid w:val="56BF0EA2"/>
    <w:rsid w:val="56EA3918"/>
    <w:rsid w:val="57460503"/>
    <w:rsid w:val="575272DC"/>
    <w:rsid w:val="575370FA"/>
    <w:rsid w:val="57B642BC"/>
    <w:rsid w:val="57BD0A78"/>
    <w:rsid w:val="57DC6FDD"/>
    <w:rsid w:val="57FB5F50"/>
    <w:rsid w:val="58984B29"/>
    <w:rsid w:val="589E7340"/>
    <w:rsid w:val="58B03A4A"/>
    <w:rsid w:val="590D5DDF"/>
    <w:rsid w:val="596F34AA"/>
    <w:rsid w:val="59C407FC"/>
    <w:rsid w:val="59C754AB"/>
    <w:rsid w:val="59E079AB"/>
    <w:rsid w:val="5A375749"/>
    <w:rsid w:val="5A726BA0"/>
    <w:rsid w:val="5AD3204F"/>
    <w:rsid w:val="5B071BBA"/>
    <w:rsid w:val="5B3C55BF"/>
    <w:rsid w:val="5B63756F"/>
    <w:rsid w:val="5B725B6B"/>
    <w:rsid w:val="5BBE026D"/>
    <w:rsid w:val="5BD439A7"/>
    <w:rsid w:val="5BDF3319"/>
    <w:rsid w:val="5BEF3BBE"/>
    <w:rsid w:val="5C991133"/>
    <w:rsid w:val="5C995E25"/>
    <w:rsid w:val="5D4709FE"/>
    <w:rsid w:val="5D5144C0"/>
    <w:rsid w:val="5DFB2BCA"/>
    <w:rsid w:val="5E2A7858"/>
    <w:rsid w:val="5E31534D"/>
    <w:rsid w:val="5E790BE8"/>
    <w:rsid w:val="5E973039"/>
    <w:rsid w:val="5EA87B0A"/>
    <w:rsid w:val="5EB119EE"/>
    <w:rsid w:val="5EEF7AA9"/>
    <w:rsid w:val="5F3E2940"/>
    <w:rsid w:val="5F4945D9"/>
    <w:rsid w:val="5F4E4F30"/>
    <w:rsid w:val="5F621EE8"/>
    <w:rsid w:val="5F825446"/>
    <w:rsid w:val="5FAE4FA2"/>
    <w:rsid w:val="5FBE69BB"/>
    <w:rsid w:val="5FCB4192"/>
    <w:rsid w:val="601A7A49"/>
    <w:rsid w:val="602F4794"/>
    <w:rsid w:val="604D1869"/>
    <w:rsid w:val="607F4912"/>
    <w:rsid w:val="60881A7C"/>
    <w:rsid w:val="609751E5"/>
    <w:rsid w:val="60C10976"/>
    <w:rsid w:val="61563C9D"/>
    <w:rsid w:val="61C16E82"/>
    <w:rsid w:val="61D81A5C"/>
    <w:rsid w:val="620D1678"/>
    <w:rsid w:val="62B8321C"/>
    <w:rsid w:val="62D625D5"/>
    <w:rsid w:val="630962B4"/>
    <w:rsid w:val="63766DF5"/>
    <w:rsid w:val="63B6206D"/>
    <w:rsid w:val="63BE6B4B"/>
    <w:rsid w:val="63E41E32"/>
    <w:rsid w:val="6406254B"/>
    <w:rsid w:val="643636FB"/>
    <w:rsid w:val="64522BD2"/>
    <w:rsid w:val="646766DC"/>
    <w:rsid w:val="64894B6D"/>
    <w:rsid w:val="64E010F2"/>
    <w:rsid w:val="6503009D"/>
    <w:rsid w:val="651E5E20"/>
    <w:rsid w:val="65535A1B"/>
    <w:rsid w:val="657E2D0B"/>
    <w:rsid w:val="65817DB1"/>
    <w:rsid w:val="65FE510C"/>
    <w:rsid w:val="660E507B"/>
    <w:rsid w:val="66373410"/>
    <w:rsid w:val="664D4AB5"/>
    <w:rsid w:val="66576902"/>
    <w:rsid w:val="668D6BED"/>
    <w:rsid w:val="669369C9"/>
    <w:rsid w:val="66943B2D"/>
    <w:rsid w:val="66CA61B4"/>
    <w:rsid w:val="67165E6D"/>
    <w:rsid w:val="675A1CF7"/>
    <w:rsid w:val="6761194F"/>
    <w:rsid w:val="677F7400"/>
    <w:rsid w:val="67A01566"/>
    <w:rsid w:val="67A63D55"/>
    <w:rsid w:val="67A84465"/>
    <w:rsid w:val="67AB3B49"/>
    <w:rsid w:val="68384317"/>
    <w:rsid w:val="685F312A"/>
    <w:rsid w:val="68603781"/>
    <w:rsid w:val="68CC70D7"/>
    <w:rsid w:val="69291ACC"/>
    <w:rsid w:val="6933530D"/>
    <w:rsid w:val="693F57CE"/>
    <w:rsid w:val="69433D4A"/>
    <w:rsid w:val="696B32FD"/>
    <w:rsid w:val="69797C2C"/>
    <w:rsid w:val="698A2D78"/>
    <w:rsid w:val="69AB78DD"/>
    <w:rsid w:val="69D171A3"/>
    <w:rsid w:val="69D74CDC"/>
    <w:rsid w:val="6A206938"/>
    <w:rsid w:val="6A2F1F48"/>
    <w:rsid w:val="6A6C5A40"/>
    <w:rsid w:val="6A6E55B8"/>
    <w:rsid w:val="6A9B47A1"/>
    <w:rsid w:val="6AFF14C0"/>
    <w:rsid w:val="6B0E13E7"/>
    <w:rsid w:val="6B1301B0"/>
    <w:rsid w:val="6B29781B"/>
    <w:rsid w:val="6B5068BA"/>
    <w:rsid w:val="6BFF0085"/>
    <w:rsid w:val="6C146194"/>
    <w:rsid w:val="6C6D4AB7"/>
    <w:rsid w:val="6CB7384D"/>
    <w:rsid w:val="6D17028B"/>
    <w:rsid w:val="6D2552D8"/>
    <w:rsid w:val="6D302D5D"/>
    <w:rsid w:val="6D3C235D"/>
    <w:rsid w:val="6D935AB0"/>
    <w:rsid w:val="6D990E5B"/>
    <w:rsid w:val="6DA62403"/>
    <w:rsid w:val="6DF5498C"/>
    <w:rsid w:val="6E087119"/>
    <w:rsid w:val="6E0A3A07"/>
    <w:rsid w:val="6E372360"/>
    <w:rsid w:val="6E4F724A"/>
    <w:rsid w:val="6E60770D"/>
    <w:rsid w:val="6F037853"/>
    <w:rsid w:val="6F712D24"/>
    <w:rsid w:val="6F7B3028"/>
    <w:rsid w:val="6FA027BC"/>
    <w:rsid w:val="6FC55DFE"/>
    <w:rsid w:val="70020A66"/>
    <w:rsid w:val="700B0E5F"/>
    <w:rsid w:val="701A03F2"/>
    <w:rsid w:val="701B6FD8"/>
    <w:rsid w:val="70206DE6"/>
    <w:rsid w:val="704266E6"/>
    <w:rsid w:val="704822BF"/>
    <w:rsid w:val="706A7B0F"/>
    <w:rsid w:val="7080412D"/>
    <w:rsid w:val="7127456D"/>
    <w:rsid w:val="712914EF"/>
    <w:rsid w:val="717C199B"/>
    <w:rsid w:val="71A06A03"/>
    <w:rsid w:val="71EF2FA5"/>
    <w:rsid w:val="7210341D"/>
    <w:rsid w:val="72C12A96"/>
    <w:rsid w:val="73624F26"/>
    <w:rsid w:val="736B7306"/>
    <w:rsid w:val="736C6888"/>
    <w:rsid w:val="737F4DAF"/>
    <w:rsid w:val="739169DE"/>
    <w:rsid w:val="739B1EBD"/>
    <w:rsid w:val="73AF18CB"/>
    <w:rsid w:val="73B9425D"/>
    <w:rsid w:val="73ED4A58"/>
    <w:rsid w:val="73F12374"/>
    <w:rsid w:val="740422B3"/>
    <w:rsid w:val="74796ABE"/>
    <w:rsid w:val="74A87093"/>
    <w:rsid w:val="74C80433"/>
    <w:rsid w:val="74E229B4"/>
    <w:rsid w:val="74E9694C"/>
    <w:rsid w:val="74EC26A7"/>
    <w:rsid w:val="75034CF7"/>
    <w:rsid w:val="756F302F"/>
    <w:rsid w:val="757946EE"/>
    <w:rsid w:val="75DF32A0"/>
    <w:rsid w:val="75ED010F"/>
    <w:rsid w:val="760A43BF"/>
    <w:rsid w:val="761321E0"/>
    <w:rsid w:val="761450E8"/>
    <w:rsid w:val="761F0396"/>
    <w:rsid w:val="764A52E7"/>
    <w:rsid w:val="765D589D"/>
    <w:rsid w:val="76A133C0"/>
    <w:rsid w:val="76D36025"/>
    <w:rsid w:val="772F2936"/>
    <w:rsid w:val="776B6DA8"/>
    <w:rsid w:val="77930FF3"/>
    <w:rsid w:val="77AF6C41"/>
    <w:rsid w:val="77B21E06"/>
    <w:rsid w:val="780F0912"/>
    <w:rsid w:val="784F6AB7"/>
    <w:rsid w:val="78D61CB2"/>
    <w:rsid w:val="78F104FB"/>
    <w:rsid w:val="79493EB1"/>
    <w:rsid w:val="797C66CF"/>
    <w:rsid w:val="7A7550A6"/>
    <w:rsid w:val="7AAF3771"/>
    <w:rsid w:val="7AEC001A"/>
    <w:rsid w:val="7B0D7B96"/>
    <w:rsid w:val="7B475761"/>
    <w:rsid w:val="7B49298E"/>
    <w:rsid w:val="7B7B57F5"/>
    <w:rsid w:val="7B7D3C44"/>
    <w:rsid w:val="7BE208A5"/>
    <w:rsid w:val="7BE3068E"/>
    <w:rsid w:val="7C150EF5"/>
    <w:rsid w:val="7C3133CB"/>
    <w:rsid w:val="7C465BE7"/>
    <w:rsid w:val="7C665A9A"/>
    <w:rsid w:val="7C6731A8"/>
    <w:rsid w:val="7CAF51D0"/>
    <w:rsid w:val="7CAF6655"/>
    <w:rsid w:val="7D2A73BF"/>
    <w:rsid w:val="7D6E224F"/>
    <w:rsid w:val="7D850A77"/>
    <w:rsid w:val="7D87285F"/>
    <w:rsid w:val="7D9B3B81"/>
    <w:rsid w:val="7DA87B6D"/>
    <w:rsid w:val="7DA957CB"/>
    <w:rsid w:val="7DC82C31"/>
    <w:rsid w:val="7DF366F8"/>
    <w:rsid w:val="7E0F7674"/>
    <w:rsid w:val="7E1F6225"/>
    <w:rsid w:val="7E5940F2"/>
    <w:rsid w:val="7E5B35FF"/>
    <w:rsid w:val="7E6916D3"/>
    <w:rsid w:val="7EA33491"/>
    <w:rsid w:val="7EFE1A4D"/>
    <w:rsid w:val="7F2137F9"/>
    <w:rsid w:val="7F504ACB"/>
    <w:rsid w:val="7F5F6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1"/>
    <w:next w:val="1"/>
    <w:link w:val="70"/>
    <w:qFormat/>
    <w:uiPriority w:val="0"/>
    <w:pPr>
      <w:widowControl/>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4">
    <w:name w:val="heading 3"/>
    <w:basedOn w:val="3"/>
    <w:next w:val="1"/>
    <w:link w:val="71"/>
    <w:qFormat/>
    <w:uiPriority w:val="0"/>
    <w:pPr>
      <w:numPr>
        <w:ilvl w:val="2"/>
        <w:numId w:val="1"/>
      </w:numPr>
      <w:spacing w:before="260" w:after="260" w:line="416" w:lineRule="auto"/>
      <w:outlineLvl w:val="2"/>
    </w:pPr>
    <w:rPr>
      <w:b/>
      <w:bCs/>
    </w:rPr>
  </w:style>
  <w:style w:type="paragraph" w:styleId="5">
    <w:name w:val="heading 4"/>
    <w:basedOn w:val="1"/>
    <w:next w:val="1"/>
    <w:link w:val="72"/>
    <w:qFormat/>
    <w:uiPriority w:val="0"/>
    <w:pPr>
      <w:keepNext/>
      <w:keepLines/>
      <w:tabs>
        <w:tab w:val="left" w:pos="864"/>
        <w:tab w:val="left" w:pos="2071"/>
      </w:tabs>
      <w:spacing w:before="280" w:after="290" w:line="372" w:lineRule="auto"/>
      <w:ind w:left="1884" w:hanging="528"/>
      <w:outlineLvl w:val="3"/>
    </w:pPr>
    <w:rPr>
      <w:rFonts w:eastAsia="黑体"/>
      <w:b/>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eastAsia="MS Mincho"/>
      <w:kern w:val="0"/>
      <w:sz w:val="20"/>
    </w:rPr>
  </w:style>
  <w:style w:type="paragraph" w:styleId="12">
    <w:name w:val="toc 7"/>
    <w:basedOn w:val="1"/>
    <w:next w:val="1"/>
    <w:qFormat/>
    <w:uiPriority w:val="0"/>
    <w:pPr>
      <w:tabs>
        <w:tab w:val="right" w:leader="dot" w:pos="9241"/>
      </w:tabs>
      <w:ind w:firstLine="500" w:firstLineChars="500"/>
      <w:jc w:val="left"/>
    </w:pPr>
    <w:rPr>
      <w:rFonts w:ascii="宋体"/>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89"/>
    <w:qFormat/>
    <w:uiPriority w:val="0"/>
    <w:pPr>
      <w:spacing w:before="152"/>
    </w:pPr>
    <w:rPr>
      <w:rFonts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8"/>
    <w:unhideWhenUsed/>
    <w:qFormat/>
    <w:uiPriority w:val="0"/>
    <w:rPr>
      <w:rFonts w:ascii="宋体"/>
      <w:sz w:val="18"/>
      <w:szCs w:val="18"/>
    </w:rPr>
  </w:style>
  <w:style w:type="paragraph" w:styleId="24">
    <w:name w:val="annotation text"/>
    <w:basedOn w:val="1"/>
    <w:link w:val="175"/>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4"/>
    <w:qFormat/>
    <w:uiPriority w:val="0"/>
    <w:pPr>
      <w:widowControl/>
      <w:spacing w:before="40" w:after="120"/>
      <w:jc w:val="left"/>
    </w:pPr>
    <w:rPr>
      <w:rFonts w:eastAsia="MS Mincho"/>
      <w:kern w:val="0"/>
      <w:sz w:val="20"/>
    </w:rPr>
  </w:style>
  <w:style w:type="paragraph" w:styleId="27">
    <w:name w:val="List 2"/>
    <w:basedOn w:val="1"/>
    <w:unhideWhenUsed/>
    <w:qFormat/>
    <w:uiPriority w:val="0"/>
    <w:pPr>
      <w:ind w:left="100" w:leftChars="200" w:hanging="200" w:hangingChars="200"/>
      <w:contextualSpacing/>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rPr>
  </w:style>
  <w:style w:type="paragraph" w:styleId="30">
    <w:name w:val="toc 3"/>
    <w:basedOn w:val="1"/>
    <w:next w:val="1"/>
    <w:qFormat/>
    <w:uiPriority w:val="39"/>
    <w:pPr>
      <w:tabs>
        <w:tab w:val="right" w:leader="dot" w:pos="9241"/>
      </w:tabs>
      <w:ind w:firstLine="100" w:firstLineChars="100"/>
      <w:jc w:val="left"/>
    </w:pPr>
    <w:rPr>
      <w:rFonts w:ascii="宋体"/>
    </w:rPr>
  </w:style>
  <w:style w:type="paragraph" w:styleId="31">
    <w:name w:val="Plain Text"/>
    <w:basedOn w:val="1"/>
    <w:link w:val="116"/>
    <w:unhideWhenUsed/>
    <w:qFormat/>
    <w:uiPriority w:val="99"/>
    <w:pPr>
      <w:widowControl/>
      <w:spacing w:before="40"/>
      <w:jc w:val="left"/>
    </w:pPr>
    <w:rPr>
      <w:rFonts w:ascii="Consolas" w:hAnsi="Consolas" w:eastAsia="Calibri"/>
      <w:kern w:val="0"/>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1"/>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style>
  <w:style w:type="paragraph" w:styleId="40">
    <w:name w:val="toc 4"/>
    <w:basedOn w:val="1"/>
    <w:next w:val="1"/>
    <w:qFormat/>
    <w:uiPriority w:val="0"/>
    <w:pPr>
      <w:tabs>
        <w:tab w:val="right" w:leader="dot" w:pos="9241"/>
      </w:tabs>
      <w:ind w:firstLine="200" w:firstLineChars="200"/>
      <w:jc w:val="left"/>
    </w:pPr>
    <w:rPr>
      <w:rFonts w:ascii="宋体"/>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1">
    <w:name w:val="toc 2"/>
    <w:basedOn w:val="1"/>
    <w:next w:val="1"/>
    <w:qFormat/>
    <w:uiPriority w:val="39"/>
    <w:pPr>
      <w:tabs>
        <w:tab w:val="right" w:leader="dot" w:pos="9242"/>
      </w:tabs>
    </w:pPr>
    <w:rPr>
      <w:rFonts w:ascii="宋体"/>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1"/>
    <w:semiHidden/>
    <w:qFormat/>
    <w:uiPriority w:val="0"/>
    <w:pPr>
      <w:widowControl/>
      <w:spacing w:before="40"/>
    </w:pPr>
    <w:rPr>
      <w:rFonts w:eastAsia="MS Mincho"/>
      <w:b/>
      <w:bCs/>
      <w:kern w:val="0"/>
      <w:sz w:val="20"/>
      <w:szCs w:val="20"/>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批注框文本 Char"/>
    <w:basedOn w:val="58"/>
    <w:link w:val="36"/>
    <w:qFormat/>
    <w:uiPriority w:val="0"/>
    <w:rPr>
      <w:kern w:val="2"/>
      <w:sz w:val="18"/>
      <w:szCs w:val="18"/>
    </w:rPr>
  </w:style>
  <w:style w:type="paragraph" w:styleId="67">
    <w:name w:val="List Paragraph"/>
    <w:basedOn w:val="1"/>
    <w:link w:val="272"/>
    <w:unhideWhenUsed/>
    <w:qFormat/>
    <w:uiPriority w:val="34"/>
    <w:pPr>
      <w:ind w:firstLine="420" w:firstLineChars="200"/>
    </w:pPr>
  </w:style>
  <w:style w:type="character" w:customStyle="1" w:styleId="68">
    <w:name w:val="文档结构图 Char"/>
    <w:basedOn w:val="58"/>
    <w:link w:val="23"/>
    <w:qFormat/>
    <w:uiPriority w:val="0"/>
    <w:rPr>
      <w:rFonts w:ascii="宋体"/>
      <w:kern w:val="2"/>
      <w:sz w:val="18"/>
      <w:szCs w:val="18"/>
    </w:rPr>
  </w:style>
  <w:style w:type="character" w:customStyle="1" w:styleId="69">
    <w:name w:val="标题 1 Char"/>
    <w:basedOn w:val="58"/>
    <w:link w:val="2"/>
    <w:qFormat/>
    <w:uiPriority w:val="0"/>
    <w:rPr>
      <w:b/>
      <w:bCs/>
      <w:kern w:val="44"/>
      <w:sz w:val="44"/>
      <w:szCs w:val="44"/>
    </w:rPr>
  </w:style>
  <w:style w:type="character" w:customStyle="1" w:styleId="70">
    <w:name w:val="标题 2 Char"/>
    <w:basedOn w:val="58"/>
    <w:link w:val="3"/>
    <w:qFormat/>
    <w:uiPriority w:val="0"/>
    <w:rPr>
      <w:rFonts w:ascii="Arial" w:hAnsi="Arial" w:eastAsia="MS Mincho"/>
      <w:sz w:val="28"/>
      <w:szCs w:val="32"/>
      <w:lang w:val="en-GB"/>
    </w:rPr>
  </w:style>
  <w:style w:type="character" w:customStyle="1" w:styleId="71">
    <w:name w:val="标题 3 Char"/>
    <w:basedOn w:val="58"/>
    <w:link w:val="4"/>
    <w:qFormat/>
    <w:uiPriority w:val="0"/>
    <w:rPr>
      <w:b/>
      <w:bCs/>
      <w:kern w:val="2"/>
      <w:sz w:val="32"/>
      <w:szCs w:val="32"/>
    </w:rPr>
  </w:style>
  <w:style w:type="character" w:customStyle="1" w:styleId="72">
    <w:name w:val="标题 4 Char"/>
    <w:basedOn w:val="58"/>
    <w:link w:val="5"/>
    <w:qFormat/>
    <w:uiPriority w:val="0"/>
    <w:rPr>
      <w:rFonts w:ascii="Arial" w:hAnsi="Arial" w:eastAsia="黑体"/>
      <w:b/>
      <w:kern w:val="2"/>
      <w:sz w:val="28"/>
      <w:szCs w:val="24"/>
    </w:rPr>
  </w:style>
  <w:style w:type="character" w:customStyle="1" w:styleId="73">
    <w:name w:val="标题 5 Char"/>
    <w:basedOn w:val="58"/>
    <w:link w:val="6"/>
    <w:qFormat/>
    <w:uiPriority w:val="0"/>
    <w:rPr>
      <w:b/>
      <w:kern w:val="2"/>
      <w:sz w:val="28"/>
      <w:szCs w:val="24"/>
    </w:rPr>
  </w:style>
  <w:style w:type="character" w:customStyle="1" w:styleId="74">
    <w:name w:val="标题 6 Char"/>
    <w:basedOn w:val="58"/>
    <w:link w:val="7"/>
    <w:qFormat/>
    <w:uiPriority w:val="0"/>
    <w:rPr>
      <w:rFonts w:ascii="Arial" w:hAnsi="Arial" w:eastAsia="黑体"/>
      <w:b/>
      <w:kern w:val="2"/>
      <w:sz w:val="24"/>
      <w:szCs w:val="24"/>
    </w:rPr>
  </w:style>
  <w:style w:type="character" w:customStyle="1" w:styleId="75">
    <w:name w:val="标题 7 Char"/>
    <w:basedOn w:val="58"/>
    <w:link w:val="8"/>
    <w:qFormat/>
    <w:uiPriority w:val="0"/>
    <w:rPr>
      <w:b/>
      <w:kern w:val="2"/>
      <w:sz w:val="24"/>
      <w:szCs w:val="24"/>
    </w:rPr>
  </w:style>
  <w:style w:type="character" w:customStyle="1" w:styleId="76">
    <w:name w:val="标题 8 Char"/>
    <w:basedOn w:val="58"/>
    <w:link w:val="9"/>
    <w:qFormat/>
    <w:uiPriority w:val="0"/>
    <w:rPr>
      <w:rFonts w:ascii="Arial" w:hAnsi="Arial" w:eastAsia="黑体"/>
      <w:kern w:val="2"/>
      <w:sz w:val="24"/>
      <w:szCs w:val="24"/>
    </w:rPr>
  </w:style>
  <w:style w:type="character" w:customStyle="1" w:styleId="77">
    <w:name w:val="标题 9 Char"/>
    <w:basedOn w:val="58"/>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eastAsia="MS Mincho"/>
      <w:kern w:val="0"/>
      <w:sz w:val="20"/>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eastAsia="MS Mincho"/>
      <w:b/>
      <w:kern w:val="0"/>
      <w:sz w:val="20"/>
    </w:rPr>
  </w:style>
  <w:style w:type="paragraph" w:customStyle="1" w:styleId="86">
    <w:name w:val="Doc-title"/>
    <w:basedOn w:val="1"/>
    <w:next w:val="82"/>
    <w:link w:val="110"/>
    <w:qFormat/>
    <w:uiPriority w:val="0"/>
    <w:pPr>
      <w:widowControl/>
      <w:ind w:left="1260" w:hanging="1260"/>
      <w:jc w:val="left"/>
    </w:pPr>
    <w:rPr>
      <w:rFonts w:eastAsia="MS Mincho"/>
      <w:kern w:val="0"/>
      <w:sz w:val="20"/>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eastAsia="Batang"/>
      <w:b/>
      <w:color w:val="0000FF"/>
      <w:sz w:val="20"/>
      <w:szCs w:val="20"/>
      <w:lang w:eastAsia="en-US"/>
    </w:rPr>
  </w:style>
  <w:style w:type="character" w:customStyle="1" w:styleId="89">
    <w:name w:val="题注 Char"/>
    <w:link w:val="21"/>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批注主题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eastAsia="MS Mincho"/>
      <w:i/>
      <w:kern w:val="0"/>
      <w:sz w:val="18"/>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5">
    <w:name w:val="B2 Char"/>
    <w:link w:val="106"/>
    <w:qFormat/>
    <w:uiPriority w:val="0"/>
    <w:rPr>
      <w:rFonts w:eastAsia="MS Mincho"/>
      <w:lang w:val="en-GB" w:eastAsia="ja-JP"/>
    </w:rPr>
  </w:style>
  <w:style w:type="paragraph" w:customStyle="1" w:styleId="106">
    <w:name w:val="B2"/>
    <w:basedOn w:val="27"/>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Char"/>
    <w:link w:val="37"/>
    <w:qFormat/>
    <w:uiPriority w:val="99"/>
    <w:rPr>
      <w:kern w:val="2"/>
      <w:sz w:val="18"/>
      <w:szCs w:val="18"/>
    </w:rPr>
  </w:style>
  <w:style w:type="character" w:styleId="113">
    <w:name w:val="Placeholder Text"/>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纯文本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Char"/>
    <w:basedOn w:val="58"/>
    <w:link w:val="26"/>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eastAsia="MS Mincho"/>
      <w:b/>
      <w:kern w:val="0"/>
      <w:sz w:val="20"/>
    </w:rPr>
  </w:style>
  <w:style w:type="character" w:customStyle="1" w:styleId="129">
    <w:name w:val="页眉 Char"/>
    <w:link w:val="38"/>
    <w:qFormat/>
    <w:uiPriority w:val="99"/>
    <w:rPr>
      <w:kern w:val="2"/>
      <w:sz w:val="18"/>
      <w:szCs w:val="18"/>
    </w:rPr>
  </w:style>
  <w:style w:type="character" w:customStyle="1" w:styleId="130">
    <w:name w:val="Doc-text2 Char Char"/>
    <w:basedOn w:val="58"/>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脚注文本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1">
    <w:name w:val="正文表标题"/>
    <w:next w:val="43"/>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eastAsia="MS Mincho"/>
      <w:kern w:val="0"/>
      <w:sz w:val="20"/>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5">
    <w:name w:val="批注文字 Char1"/>
    <w:basedOn w:val="58"/>
    <w:link w:val="24"/>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7">
    <w:name w:val="Agreement"/>
    <w:basedOn w:val="1"/>
    <w:next w:val="82"/>
    <w:qFormat/>
    <w:uiPriority w:val="99"/>
    <w:pPr>
      <w:widowControl/>
      <w:tabs>
        <w:tab w:val="left" w:pos="1619"/>
      </w:tabs>
      <w:spacing w:before="60"/>
      <w:ind w:left="811" w:hanging="448"/>
      <w:jc w:val="left"/>
    </w:pPr>
    <w:rPr>
      <w:rFonts w:eastAsia="MS Mincho"/>
      <w:b/>
      <w:kern w:val="0"/>
      <w:sz w:val="20"/>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89">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2">
    <w:name w:val="尾注文本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4">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199">
    <w:name w:val="TAH"/>
    <w:basedOn w:val="200"/>
    <w:qFormat/>
    <w:uiPriority w:val="0"/>
    <w:rPr>
      <w:b/>
      <w:bCs/>
      <w:szCs w:val="18"/>
    </w:rPr>
  </w:style>
  <w:style w:type="paragraph" w:customStyle="1" w:styleId="200">
    <w:name w:val="TAC"/>
    <w:basedOn w:val="104"/>
    <w:qFormat/>
    <w:uiPriority w:val="0"/>
    <w:pPr>
      <w:jc w:val="center"/>
    </w:pPr>
    <w:rPr>
      <w:szCs w:val="20"/>
      <w:lang w:eastAsia="en-US"/>
    </w:rPr>
  </w:style>
  <w:style w:type="paragraph" w:customStyle="1" w:styleId="201">
    <w:name w:val="示例后文字"/>
    <w:basedOn w:val="43"/>
    <w:next w:val="43"/>
    <w:qFormat/>
    <w:uiPriority w:val="0"/>
    <w:pPr>
      <w:ind w:firstLine="360"/>
    </w:pPr>
    <w:rPr>
      <w:sz w:val="18"/>
    </w:rPr>
  </w:style>
  <w:style w:type="paragraph" w:customStyle="1" w:styleId="202">
    <w:name w:val="图标脚注说明"/>
    <w:basedOn w:val="43"/>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6">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3"/>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0">
    <w:name w:val="其他实施日期"/>
    <w:basedOn w:val="164"/>
    <w:qFormat/>
    <w:uiPriority w:val="0"/>
  </w:style>
  <w:style w:type="paragraph" w:customStyle="1" w:styleId="211">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8"/>
    <w:qFormat/>
    <w:uiPriority w:val="0"/>
    <w:rPr>
      <w:rFonts w:ascii="宋体" w:eastAsia="宋体"/>
    </w:rPr>
  </w:style>
  <w:style w:type="paragraph" w:customStyle="1" w:styleId="213">
    <w:name w:val="示例×："/>
    <w:basedOn w:val="150"/>
    <w:qFormat/>
    <w:uiPriority w:val="0"/>
    <w:pPr>
      <w:spacing w:beforeLines="0" w:afterLines="0"/>
      <w:ind w:firstLine="397"/>
      <w:outlineLvl w:val="9"/>
    </w:pPr>
    <w:rPr>
      <w:rFonts w:ascii="宋体" w:eastAsia="宋体"/>
      <w:sz w:val="18"/>
      <w:szCs w:val="18"/>
    </w:rPr>
  </w:style>
  <w:style w:type="paragraph" w:customStyle="1" w:styleId="214">
    <w:name w:val="EmailDiscussion2"/>
    <w:basedOn w:val="82"/>
    <w:qFormat/>
    <w:uiPriority w:val="0"/>
  </w:style>
  <w:style w:type="paragraph" w:customStyle="1" w:styleId="215">
    <w:name w:val="B5"/>
    <w:basedOn w:val="46"/>
    <w:qFormat/>
    <w:uiPriority w:val="0"/>
  </w:style>
  <w:style w:type="paragraph" w:customStyle="1" w:styleId="216">
    <w:name w:val="其他发布日期"/>
    <w:basedOn w:val="165"/>
    <w:qFormat/>
    <w:uiPriority w:val="0"/>
  </w:style>
  <w:style w:type="paragraph" w:customStyle="1" w:styleId="217">
    <w:name w:val="B4"/>
    <w:basedOn w:val="47"/>
    <w:link w:val="274"/>
    <w:qFormat/>
    <w:uiPriority w:val="0"/>
  </w:style>
  <w:style w:type="paragraph" w:customStyle="1" w:styleId="218">
    <w:name w:val="NO"/>
    <w:basedOn w:val="1"/>
    <w:link w:val="277"/>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19">
    <w:name w:val="Review-comment2"/>
    <w:basedOn w:val="159"/>
    <w:qFormat/>
    <w:uiPriority w:val="0"/>
    <w:rPr>
      <w:color w:val="0070C0"/>
    </w:rPr>
  </w:style>
  <w:style w:type="paragraph" w:customStyle="1" w:styleId="220">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1">
    <w:name w:val="附录表标号"/>
    <w:basedOn w:val="1"/>
    <w:next w:val="43"/>
    <w:qFormat/>
    <w:uiPriority w:val="0"/>
    <w:pPr>
      <w:spacing w:line="14" w:lineRule="exact"/>
      <w:ind w:left="811" w:hanging="448"/>
      <w:jc w:val="center"/>
      <w:outlineLvl w:val="0"/>
    </w:pPr>
    <w:rPr>
      <w:color w:val="FFFFFF"/>
    </w:rPr>
  </w:style>
  <w:style w:type="paragraph" w:customStyle="1" w:styleId="222">
    <w:name w:val="附录图标题"/>
    <w:basedOn w:val="1"/>
    <w:next w:val="43"/>
    <w:qFormat/>
    <w:uiPriority w:val="0"/>
    <w:pPr>
      <w:tabs>
        <w:tab w:val="left" w:pos="363"/>
      </w:tabs>
      <w:spacing w:beforeLines="50" w:afterLines="50"/>
      <w:jc w:val="center"/>
    </w:pPr>
    <w:rPr>
      <w:rFonts w:ascii="黑体" w:eastAsia="黑体"/>
    </w:rPr>
  </w:style>
  <w:style w:type="paragraph" w:customStyle="1" w:styleId="223">
    <w:name w:val="附录标题"/>
    <w:basedOn w:val="43"/>
    <w:next w:val="43"/>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1">
    <w:name w:val="NW"/>
    <w:basedOn w:val="218"/>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8"/>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6">
    <w:name w:val="NF"/>
    <w:basedOn w:val="218"/>
    <w:qFormat/>
    <w:uiPriority w:val="0"/>
    <w:pPr>
      <w:keepNext/>
      <w:spacing w:after="0"/>
    </w:pPr>
    <w:rPr>
      <w:rFonts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jc w:val="left"/>
    </w:pPr>
    <w:rPr>
      <w:rFonts w:eastAsia="MS Mincho" w:cs="Arial"/>
      <w:bCs/>
      <w:kern w:val="0"/>
      <w:sz w:val="22"/>
      <w:szCs w:val="28"/>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rPr>
  </w:style>
  <w:style w:type="paragraph" w:customStyle="1" w:styleId="261">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7">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5"/>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7"/>
    <w:qFormat/>
    <w:uiPriority w:val="0"/>
    <w:rPr>
      <w:rFonts w:eastAsia="MS Mincho"/>
      <w:lang w:val="en-GB" w:eastAsia="en-US"/>
    </w:rPr>
  </w:style>
  <w:style w:type="paragraph" w:customStyle="1" w:styleId="275">
    <w:name w:val="Guidance"/>
    <w:basedOn w:val="1"/>
    <w:link w:val="278"/>
    <w:qFormat/>
    <w:uiPriority w:val="0"/>
    <w:pPr>
      <w:widowControl/>
      <w:spacing w:after="180"/>
      <w:jc w:val="left"/>
    </w:pPr>
    <w:rPr>
      <w:i/>
      <w:color w:val="0000FF"/>
      <w:kern w:val="0"/>
      <w:sz w:val="20"/>
      <w:szCs w:val="20"/>
      <w:lang w:eastAsia="en-US"/>
    </w:rPr>
  </w:style>
  <w:style w:type="character" w:customStyle="1" w:styleId="276">
    <w:name w:val="B1 Zchn"/>
    <w:qFormat/>
    <w:uiPriority w:val="0"/>
    <w:rPr>
      <w:lang w:eastAsia="en-US"/>
    </w:rPr>
  </w:style>
  <w:style w:type="character" w:customStyle="1" w:styleId="277">
    <w:name w:val="NO Zchn"/>
    <w:link w:val="218"/>
    <w:qFormat/>
    <w:uiPriority w:val="0"/>
    <w:rPr>
      <w:lang w:val="en-GB" w:eastAsia="ja-JP"/>
    </w:rPr>
  </w:style>
  <w:style w:type="character" w:customStyle="1" w:styleId="278">
    <w:name w:val="Guidance Char"/>
    <w:link w:val="275"/>
    <w:qFormat/>
    <w:uiPriority w:val="0"/>
    <w:rPr>
      <w:i/>
      <w:color w:val="0000FF"/>
      <w:lang w:val="en-GB" w:eastAsia="en-US"/>
    </w:rPr>
  </w:style>
  <w:style w:type="character" w:customStyle="1" w:styleId="279">
    <w:name w:val="apple-converted-space"/>
    <w:basedOn w:val="58"/>
    <w:qFormat/>
    <w:uiPriority w:val="0"/>
  </w:style>
  <w:style w:type="paragraph" w:customStyle="1" w:styleId="280">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1">
    <w:name w:val="3GPPProposal"/>
    <w:basedOn w:val="67"/>
    <w:link w:val="283"/>
    <w:qFormat/>
    <w:uiPriority w:val="0"/>
    <w:pPr>
      <w:numPr>
        <w:ilvl w:val="0"/>
        <w:numId w:val="3"/>
      </w:numPr>
      <w:ind w:firstLine="0" w:firstLineChars="0"/>
    </w:pPr>
    <w:rPr>
      <w:rFonts w:cs="Arial"/>
      <w:color w:val="000000"/>
    </w:rPr>
  </w:style>
  <w:style w:type="paragraph" w:customStyle="1" w:styleId="282">
    <w:name w:val="3GPPObservation"/>
    <w:basedOn w:val="67"/>
    <w:link w:val="284"/>
    <w:qFormat/>
    <w:uiPriority w:val="0"/>
    <w:pPr>
      <w:numPr>
        <w:ilvl w:val="0"/>
        <w:numId w:val="4"/>
      </w:numPr>
      <w:ind w:firstLine="0" w:firstLineChars="0"/>
    </w:pPr>
    <w:rPr>
      <w:rFonts w:cs="Arial"/>
      <w:color w:val="000000"/>
    </w:rPr>
  </w:style>
  <w:style w:type="character" w:customStyle="1" w:styleId="283">
    <w:name w:val="3GPPProposal Char"/>
    <w:basedOn w:val="272"/>
    <w:link w:val="281"/>
    <w:qFormat/>
    <w:uiPriority w:val="0"/>
    <w:rPr>
      <w:rFonts w:ascii="Arial" w:hAnsi="Arial" w:cs="Arial"/>
      <w:color w:val="000000"/>
      <w:kern w:val="2"/>
      <w:sz w:val="21"/>
      <w:szCs w:val="21"/>
      <w:lang w:val="en-US" w:eastAsia="zh-CN"/>
    </w:rPr>
  </w:style>
  <w:style w:type="character" w:customStyle="1" w:styleId="284">
    <w:name w:val="3GPPObservation Char"/>
    <w:basedOn w:val="272"/>
    <w:link w:val="282"/>
    <w:qFormat/>
    <w:uiPriority w:val="0"/>
    <w:rPr>
      <w:rFonts w:cs="Arial"/>
      <w:color w:val="000000"/>
      <w:kern w:val="2"/>
      <w:sz w:val="21"/>
      <w:szCs w:val="24"/>
    </w:rPr>
  </w:style>
  <w:style w:type="paragraph" w:customStyle="1" w:styleId="285">
    <w:name w:val="CR Cover Page"/>
    <w:qFormat/>
    <w:uiPriority w:val="0"/>
    <w:pPr>
      <w:spacing w:after="120"/>
    </w:pPr>
    <w:rPr>
      <w:rFonts w:ascii="Arial" w:hAnsi="Arial" w:eastAsia="宋体" w:cs="Times New Roman"/>
      <w:lang w:val="en-GB" w:eastAsia="en-US" w:bidi="ar-SA"/>
    </w:rPr>
  </w:style>
  <w:style w:type="paragraph" w:customStyle="1" w:styleId="286">
    <w:name w:val="3GPP_Header"/>
    <w:basedOn w:val="1"/>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989840-1E72-4244-ACB6-FF4BE60B79F2}">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5</Pages>
  <Words>1534</Words>
  <Characters>8750</Characters>
  <Lines>72</Lines>
  <Paragraphs>20</Paragraphs>
  <TotalTime>3</TotalTime>
  <ScaleCrop>false</ScaleCrop>
  <LinksUpToDate>false</LinksUpToDate>
  <CharactersWithSpaces>10264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2022-01-04T00:07:00Z</dcterms:created>
  <dc:creator>10033860</dc:creator>
  <cp:lastModifiedBy>ZTE</cp:lastModifiedBy>
  <cp:lastPrinted>2113-01-01T00:00:00Z</cp:lastPrinted>
  <dcterms:modified xsi:type="dcterms:W3CDTF">2022-02-14T02:28:27Z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