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3728558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 Meeting #11</w:t>
      </w:r>
      <w:r w:rsidR="00630422">
        <w:rPr>
          <w:rFonts w:ascii="Arial" w:eastAsia="MS Mincho" w:hAnsi="Arial"/>
          <w:b/>
          <w:sz w:val="24"/>
          <w:szCs w:val="24"/>
          <w:lang w:eastAsia="x-none"/>
        </w:rPr>
        <w:t>6</w:t>
      </w:r>
      <w:r w:rsidR="008F13D7">
        <w:rPr>
          <w:rFonts w:ascii="Arial" w:eastAsia="MS Mincho" w:hAnsi="Arial"/>
          <w:b/>
          <w:sz w:val="24"/>
          <w:szCs w:val="24"/>
          <w:lang w:eastAsia="x-none"/>
        </w:rPr>
        <w:t>bis</w:t>
      </w:r>
      <w:r w:rsidR="00733538">
        <w:rPr>
          <w:rFonts w:ascii="Arial" w:eastAsia="MS Mincho" w:hAnsi="Arial"/>
          <w:b/>
          <w:sz w:val="24"/>
          <w:szCs w:val="24"/>
          <w:lang w:eastAsia="x-none"/>
        </w:rPr>
        <w:t>-e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AD72C1">
        <w:rPr>
          <w:rFonts w:ascii="Arial" w:eastAsia="MS Mincho" w:hAnsi="Arial"/>
          <w:b/>
          <w:sz w:val="24"/>
          <w:szCs w:val="24"/>
          <w:lang w:eastAsia="x-none"/>
        </w:rPr>
        <w:t>01087</w:t>
      </w:r>
    </w:p>
    <w:p w14:paraId="7791F180" w14:textId="76A2B9F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630422">
        <w:rPr>
          <w:rFonts w:ascii="Arial" w:eastAsia="MS Mincho" w:hAnsi="Arial"/>
          <w:b/>
          <w:sz w:val="24"/>
          <w:szCs w:val="24"/>
          <w:lang w:eastAsia="x-none"/>
        </w:rPr>
        <w:t>1</w:t>
      </w:r>
      <w:r w:rsidR="008F13D7">
        <w:rPr>
          <w:rFonts w:ascii="Arial" w:eastAsia="MS Mincho" w:hAnsi="Arial"/>
          <w:b/>
          <w:sz w:val="24"/>
          <w:szCs w:val="24"/>
          <w:lang w:eastAsia="x-none"/>
        </w:rPr>
        <w:t>7</w:t>
      </w:r>
      <w:r w:rsidR="002044CF">
        <w:rPr>
          <w:rFonts w:ascii="Arial" w:eastAsia="MS Mincho" w:hAnsi="Arial"/>
          <w:b/>
          <w:sz w:val="24"/>
          <w:szCs w:val="24"/>
          <w:lang w:eastAsia="x-none"/>
        </w:rPr>
        <w:t>-</w:t>
      </w:r>
      <w:r w:rsidR="00630422">
        <w:rPr>
          <w:rFonts w:ascii="Arial" w:eastAsia="MS Mincho" w:hAnsi="Arial"/>
          <w:b/>
          <w:sz w:val="24"/>
          <w:szCs w:val="24"/>
          <w:lang w:eastAsia="x-none"/>
        </w:rPr>
        <w:t>2</w:t>
      </w:r>
      <w:r w:rsidR="008F13D7">
        <w:rPr>
          <w:rFonts w:ascii="Arial" w:eastAsia="MS Mincho" w:hAnsi="Arial"/>
          <w:b/>
          <w:sz w:val="24"/>
          <w:szCs w:val="24"/>
          <w:lang w:eastAsia="x-none"/>
        </w:rPr>
        <w:t>5</w:t>
      </w:r>
      <w:r w:rsidRPr="00A32E79">
        <w:rPr>
          <w:rFonts w:ascii="Arial" w:eastAsia="MS Mincho" w:hAnsi="Arial"/>
          <w:b/>
          <w:sz w:val="24"/>
          <w:szCs w:val="24"/>
          <w:lang w:eastAsia="x-none"/>
        </w:rPr>
        <w:t xml:space="preserve"> </w:t>
      </w:r>
      <w:r w:rsidR="008F13D7">
        <w:rPr>
          <w:rFonts w:ascii="Arial" w:eastAsia="MS Mincho" w:hAnsi="Arial"/>
          <w:b/>
          <w:sz w:val="24"/>
          <w:szCs w:val="24"/>
          <w:lang w:eastAsia="x-none"/>
        </w:rPr>
        <w:t>January</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49B53F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D72C1">
        <w:rPr>
          <w:rFonts w:ascii="Arial" w:eastAsia="PMingLiU" w:hAnsi="Arial" w:cs="Arial"/>
          <w:b/>
          <w:sz w:val="24"/>
          <w:szCs w:val="24"/>
          <w:lang w:eastAsia="zh-CN"/>
        </w:rPr>
        <w:t>8.11.7</w:t>
      </w:r>
    </w:p>
    <w:p w14:paraId="36BF50FF" w14:textId="3817D1F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6A297E">
        <w:rPr>
          <w:rFonts w:ascii="Arial" w:eastAsia="PMingLiU" w:hAnsi="Arial" w:cs="Arial"/>
          <w:b/>
          <w:sz w:val="24"/>
          <w:szCs w:val="24"/>
          <w:lang w:eastAsia="zh-CN"/>
        </w:rPr>
        <w:t>, Apple</w:t>
      </w:r>
    </w:p>
    <w:p w14:paraId="64930AF8" w14:textId="1638326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8F13D7">
        <w:rPr>
          <w:rFonts w:ascii="Arial" w:eastAsia="PMingLiU" w:hAnsi="Arial" w:cs="Arial"/>
          <w:b/>
          <w:sz w:val="24"/>
          <w:szCs w:val="24"/>
          <w:lang w:eastAsia="zh-CN"/>
        </w:rPr>
        <w:t>Way forward on PRUs for Rel-17</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35D4812A" w:rsidR="00D74E5B" w:rsidRPr="007B400B" w:rsidRDefault="00BB4781" w:rsidP="002018B9">
      <w:pPr>
        <w:overflowPunct/>
        <w:autoSpaceDE/>
        <w:autoSpaceDN/>
        <w:adjustRightInd/>
        <w:spacing w:after="240"/>
        <w:textAlignment w:val="auto"/>
      </w:pPr>
      <w:r w:rsidRPr="007B400B">
        <w:rPr>
          <w:rFonts w:eastAsia="PMingLiU"/>
          <w:lang w:eastAsia="zh-TW"/>
        </w:rPr>
        <w:t>This document addresses the discussion of PRUs for Rel-17, specifically in the context of the SA2 LS in [1]</w:t>
      </w:r>
      <w:r w:rsidR="002018B9" w:rsidRPr="007B400B">
        <w:rPr>
          <w:rFonts w:eastAsia="PMingLiU"/>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EA2941A" w14:textId="16E02698" w:rsidR="002018B9" w:rsidRPr="007B400B" w:rsidRDefault="00BB4781" w:rsidP="002018B9">
      <w:pPr>
        <w:overflowPunct/>
        <w:autoSpaceDE/>
        <w:autoSpaceDN/>
        <w:adjustRightInd/>
        <w:spacing w:after="240"/>
        <w:textAlignment w:val="auto"/>
        <w:rPr>
          <w:rFonts w:eastAsia="PMingLiU"/>
          <w:lang w:eastAsia="zh-TW"/>
        </w:rPr>
      </w:pPr>
      <w:r w:rsidRPr="007B400B">
        <w:rPr>
          <w:rFonts w:eastAsia="PMingLiU"/>
          <w:lang w:eastAsia="zh-TW"/>
        </w:rPr>
        <w:t xml:space="preserve">The SA2 LS in [1], intended as a joint reply to RAN1 and RAN2 inquiries on PRUs, indicates that SA2 will not consider the subject of PRUs until Rel-18.  </w:t>
      </w:r>
      <w:proofErr w:type="gramStart"/>
      <w:r w:rsidRPr="007B400B">
        <w:rPr>
          <w:rFonts w:eastAsia="PMingLiU"/>
          <w:lang w:eastAsia="zh-TW"/>
        </w:rPr>
        <w:t>In particular, SA2</w:t>
      </w:r>
      <w:proofErr w:type="gramEnd"/>
      <w:r w:rsidRPr="007B400B">
        <w:rPr>
          <w:rFonts w:eastAsia="PMingLiU"/>
          <w:lang w:eastAsia="zh-TW"/>
        </w:rPr>
        <w:t xml:space="preserve"> declined to answer RAN2’s question about the applicability of the MT-LR and MO-LR procedures to the PRU setting.  We understand that this means RAN2 cannot rely on the use of MT-LR for PRUs, although a PRU modelled as a UE could still initiate an MO-LR like any other UE.  Accordingly, we propose that RAN2 restrict attention to th</w:t>
      </w:r>
      <w:r w:rsidR="006C7406">
        <w:rPr>
          <w:rFonts w:eastAsia="PMingLiU"/>
          <w:lang w:eastAsia="zh-TW"/>
        </w:rPr>
        <w:t>e MO-LR</w:t>
      </w:r>
      <w:r w:rsidRPr="007B400B">
        <w:rPr>
          <w:rFonts w:eastAsia="PMingLiU"/>
          <w:lang w:eastAsia="zh-TW"/>
        </w:rPr>
        <w:t xml:space="preserve"> case in Rel-17.</w:t>
      </w:r>
      <w:r w:rsidR="006A297E">
        <w:rPr>
          <w:rFonts w:eastAsia="PMingLiU"/>
          <w:lang w:eastAsia="zh-TW"/>
        </w:rPr>
        <w:t xml:space="preserve">  Nothing in the specifications seems to prohibit the system from originating other operations such as MT-LR towards a PRU, but it is not clear from RAN2 perspective what the trigger for such an operation would be.</w:t>
      </w:r>
    </w:p>
    <w:p w14:paraId="2EC25237" w14:textId="032A845C" w:rsidR="00BB4781" w:rsidRPr="007B400B" w:rsidRDefault="00BB4781" w:rsidP="002018B9">
      <w:pPr>
        <w:overflowPunct/>
        <w:autoSpaceDE/>
        <w:autoSpaceDN/>
        <w:adjustRightInd/>
        <w:spacing w:after="240"/>
        <w:textAlignment w:val="auto"/>
        <w:rPr>
          <w:rFonts w:eastAsia="PMingLiU"/>
          <w:lang w:eastAsia="zh-TW"/>
        </w:rPr>
      </w:pPr>
      <w:r w:rsidRPr="007B400B">
        <w:rPr>
          <w:rFonts w:eastAsia="PMingLiU"/>
          <w:b/>
          <w:bCs/>
          <w:lang w:eastAsia="zh-TW"/>
        </w:rPr>
        <w:t>Proposal 1:</w:t>
      </w:r>
      <w:r w:rsidRPr="007B400B">
        <w:rPr>
          <w:rFonts w:eastAsia="PMingLiU"/>
          <w:lang w:eastAsia="zh-TW"/>
        </w:rPr>
        <w:t xml:space="preserve"> For PRU operation in Rel-17, RAN2 considers</w:t>
      </w:r>
      <w:r w:rsidR="006A297E">
        <w:rPr>
          <w:rFonts w:eastAsia="PMingLiU"/>
          <w:lang w:eastAsia="zh-TW"/>
        </w:rPr>
        <w:t xml:space="preserve"> PRU-specific operations</w:t>
      </w:r>
      <w:r w:rsidRPr="007B400B">
        <w:rPr>
          <w:rFonts w:eastAsia="PMingLiU"/>
          <w:lang w:eastAsia="zh-TW"/>
        </w:rPr>
        <w:t xml:space="preserve"> only </w:t>
      </w:r>
      <w:r w:rsidR="006A297E">
        <w:rPr>
          <w:rFonts w:eastAsia="PMingLiU"/>
          <w:lang w:eastAsia="zh-TW"/>
        </w:rPr>
        <w:t xml:space="preserve">for </w:t>
      </w:r>
      <w:r w:rsidRPr="007B400B">
        <w:rPr>
          <w:rFonts w:eastAsia="PMingLiU"/>
          <w:lang w:eastAsia="zh-TW"/>
        </w:rPr>
        <w:t>the case where the PRU initiates an MO-LR.</w:t>
      </w:r>
    </w:p>
    <w:p w14:paraId="6080AA06" w14:textId="74365F70" w:rsidR="00BB4781" w:rsidRPr="007B400B" w:rsidRDefault="00BB4781" w:rsidP="002018B9">
      <w:pPr>
        <w:overflowPunct/>
        <w:autoSpaceDE/>
        <w:autoSpaceDN/>
        <w:adjustRightInd/>
        <w:spacing w:after="240"/>
        <w:textAlignment w:val="auto"/>
        <w:rPr>
          <w:rFonts w:eastAsia="PMingLiU"/>
          <w:lang w:eastAsia="zh-TW"/>
        </w:rPr>
      </w:pPr>
      <w:r w:rsidRPr="007B400B">
        <w:rPr>
          <w:rFonts w:eastAsia="PMingLiU"/>
          <w:lang w:eastAsia="zh-TW"/>
        </w:rPr>
        <w:t xml:space="preserve">Considering the MO-LR flow in Figure 7.3.3-1 of [2], we understand that the steps would apply to a PRU as shown in </w:t>
      </w:r>
      <w:r w:rsidR="00D86996" w:rsidRPr="007B400B">
        <w:rPr>
          <w:rFonts w:eastAsia="PMingLiU"/>
          <w:lang w:eastAsia="zh-TW"/>
        </w:rPr>
        <w:fldChar w:fldCharType="begin"/>
      </w:r>
      <w:r w:rsidR="00D86996" w:rsidRPr="007B400B">
        <w:rPr>
          <w:rFonts w:eastAsia="PMingLiU"/>
          <w:lang w:eastAsia="zh-TW"/>
        </w:rPr>
        <w:instrText xml:space="preserve"> REF _Ref88545848 \h  \* MERGEFORMAT </w:instrText>
      </w:r>
      <w:r w:rsidR="00D86996" w:rsidRPr="007B400B">
        <w:rPr>
          <w:rFonts w:eastAsia="PMingLiU"/>
          <w:lang w:eastAsia="zh-TW"/>
        </w:rPr>
      </w:r>
      <w:r w:rsidR="00D86996" w:rsidRPr="007B400B">
        <w:rPr>
          <w:rFonts w:eastAsia="PMingLiU"/>
          <w:lang w:eastAsia="zh-TW"/>
        </w:rPr>
        <w:fldChar w:fldCharType="separate"/>
      </w:r>
      <w:r w:rsidR="00D86996" w:rsidRPr="007B400B">
        <w:t xml:space="preserve">Figure </w:t>
      </w:r>
      <w:r w:rsidR="00D86996" w:rsidRPr="007B400B">
        <w:rPr>
          <w:noProof/>
        </w:rPr>
        <w:t>1</w:t>
      </w:r>
      <w:r w:rsidR="00D86996" w:rsidRPr="007B400B">
        <w:rPr>
          <w:rFonts w:eastAsia="PMingLiU"/>
          <w:lang w:eastAsia="zh-TW"/>
        </w:rPr>
        <w:fldChar w:fldCharType="end"/>
      </w:r>
      <w:r w:rsidR="00D86996" w:rsidRPr="007B400B">
        <w:rPr>
          <w:rFonts w:eastAsia="PMingLiU"/>
          <w:lang w:eastAsia="zh-TW"/>
        </w:rPr>
        <w:t xml:space="preserve"> </w:t>
      </w:r>
      <w:r w:rsidRPr="007B400B">
        <w:rPr>
          <w:rFonts w:eastAsia="PMingLiU"/>
          <w:lang w:eastAsia="zh-TW"/>
        </w:rPr>
        <w:t>below.</w:t>
      </w:r>
    </w:p>
    <w:p w14:paraId="72E495C1" w14:textId="5428C4C6" w:rsidR="00D86996" w:rsidRDefault="00AB42D9" w:rsidP="00D86996">
      <w:pPr>
        <w:keepNext/>
        <w:overflowPunct/>
        <w:autoSpaceDE/>
        <w:autoSpaceDN/>
        <w:adjustRightInd/>
        <w:spacing w:after="240"/>
        <w:jc w:val="center"/>
        <w:textAlignment w:val="auto"/>
      </w:pPr>
      <w:r>
        <w:object w:dxaOrig="10851" w:dyaOrig="4010" w14:anchorId="0245E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75pt" o:ole="">
            <v:imagedata r:id="rId8" o:title=""/>
          </v:shape>
          <o:OLEObject Type="Embed" ProgID="Visio.Drawing.15" ShapeID="_x0000_i1025" DrawAspect="Content" ObjectID="_1703348902" r:id="rId9"/>
        </w:object>
      </w:r>
    </w:p>
    <w:p w14:paraId="09E8E603" w14:textId="1B3006F2" w:rsidR="00BB4781" w:rsidRDefault="00D86996" w:rsidP="00D86996">
      <w:pPr>
        <w:pStyle w:val="Caption"/>
        <w:jc w:val="center"/>
      </w:pPr>
      <w:bookmarkStart w:id="15" w:name="_Ref88545848"/>
      <w:r>
        <w:t xml:space="preserve">Figure </w:t>
      </w:r>
      <w:r>
        <w:fldChar w:fldCharType="begin"/>
      </w:r>
      <w:r>
        <w:instrText xml:space="preserve"> SEQ Figure \* ARABIC </w:instrText>
      </w:r>
      <w:r>
        <w:fldChar w:fldCharType="separate"/>
      </w:r>
      <w:r>
        <w:rPr>
          <w:noProof/>
        </w:rPr>
        <w:t>1</w:t>
      </w:r>
      <w:r>
        <w:fldChar w:fldCharType="end"/>
      </w:r>
      <w:bookmarkEnd w:id="15"/>
      <w:r>
        <w:t>: MO-LR procedure for a PRU</w:t>
      </w:r>
    </w:p>
    <w:p w14:paraId="1C87429D" w14:textId="277CC3B0" w:rsidR="00D86996" w:rsidRDefault="009B3715" w:rsidP="00D86996">
      <w:pPr>
        <w:rPr>
          <w:rFonts w:eastAsia="PMingLiU"/>
        </w:rPr>
      </w:pPr>
      <w:r>
        <w:rPr>
          <w:rFonts w:eastAsia="PMingLiU"/>
        </w:rPr>
        <w:t xml:space="preserve">(Step 6, the optional transfer to third party, is not shown since it would never apply in this case.)  </w:t>
      </w:r>
      <w:r w:rsidR="005906F8">
        <w:rPr>
          <w:rFonts w:eastAsia="PMingLiU"/>
        </w:rPr>
        <w:t xml:space="preserve">In step 1, the LPP PDU could comprise a Request Assistance Data </w:t>
      </w:r>
      <w:r w:rsidR="00AB42D9">
        <w:rPr>
          <w:rFonts w:eastAsia="PMingLiU"/>
        </w:rPr>
        <w:t>to support</w:t>
      </w:r>
      <w:r w:rsidR="005906F8">
        <w:rPr>
          <w:rFonts w:eastAsia="PMingLiU"/>
        </w:rPr>
        <w:t xml:space="preserve"> the measurements at the PRU.  </w:t>
      </w:r>
      <w:r w:rsidR="007B400B">
        <w:rPr>
          <w:rFonts w:eastAsia="PMingLiU"/>
        </w:rPr>
        <w:t xml:space="preserve">The LPP procedures in step 3 would </w:t>
      </w:r>
      <w:r w:rsidR="005906F8">
        <w:rPr>
          <w:rFonts w:eastAsia="PMingLiU"/>
        </w:rPr>
        <w:t xml:space="preserve">then </w:t>
      </w:r>
      <w:r w:rsidR="007B400B">
        <w:rPr>
          <w:rFonts w:eastAsia="PMingLiU"/>
        </w:rPr>
        <w:t xml:space="preserve">be expected to </w:t>
      </w:r>
      <w:r w:rsidR="00AB42D9">
        <w:rPr>
          <w:rFonts w:eastAsia="PMingLiU"/>
        </w:rPr>
        <w:t>include</w:t>
      </w:r>
      <w:r w:rsidR="007B400B">
        <w:rPr>
          <w:rFonts w:eastAsia="PMingLiU"/>
        </w:rPr>
        <w:t xml:space="preserve"> provision of assistance data to the PRU</w:t>
      </w:r>
      <w:r w:rsidR="00AB42D9">
        <w:rPr>
          <w:rFonts w:eastAsia="PMingLiU"/>
        </w:rPr>
        <w:t xml:space="preserve"> and</w:t>
      </w:r>
      <w:r w:rsidR="007B400B">
        <w:rPr>
          <w:rFonts w:eastAsia="PMingLiU"/>
        </w:rPr>
        <w:t xml:space="preserve"> a Request Location Information </w:t>
      </w:r>
      <w:r w:rsidR="00AB42D9">
        <w:rPr>
          <w:rFonts w:eastAsia="PMingLiU"/>
        </w:rPr>
        <w:t>for</w:t>
      </w:r>
      <w:r w:rsidR="007B400B">
        <w:rPr>
          <w:rFonts w:eastAsia="PMingLiU"/>
        </w:rPr>
        <w:t xml:space="preserve"> measurements from the PRU (as for UE-assisted positioning).  The LMF may also use step 4 to obtain measurements </w:t>
      </w:r>
      <w:r w:rsidR="00AB42D9">
        <w:rPr>
          <w:rFonts w:eastAsia="PMingLiU"/>
        </w:rPr>
        <w:t xml:space="preserve">related to the PRU </w:t>
      </w:r>
      <w:r w:rsidR="007B400B">
        <w:rPr>
          <w:rFonts w:eastAsia="PMingLiU"/>
        </w:rPr>
        <w:t xml:space="preserve">from one or more </w:t>
      </w:r>
      <w:proofErr w:type="spellStart"/>
      <w:r w:rsidR="007B400B">
        <w:rPr>
          <w:rFonts w:eastAsia="PMingLiU"/>
        </w:rPr>
        <w:t>gNBs</w:t>
      </w:r>
      <w:proofErr w:type="spellEnd"/>
      <w:r w:rsidR="007B400B">
        <w:rPr>
          <w:rFonts w:eastAsia="PMingLiU"/>
        </w:rPr>
        <w:t xml:space="preserve"> as usual.  The LMF then digests the measurements on an implementation-</w:t>
      </w:r>
      <w:r w:rsidR="007B400B">
        <w:rPr>
          <w:rFonts w:eastAsia="PMingLiU"/>
        </w:rPr>
        <w:lastRenderedPageBreak/>
        <w:t>specific basis (e.g., to correlate them with the known location of the PRU), which completes the functionally useful part of the procedure.  The AMF expects a Location Response (step 5), and upper layers in the PRU will expect an MO-LR response (step 7), so these messages need to be sent, but they have no functional impact since the PRU either (1) already knows its location, or (2) does not need to know its location and just blindly reports measurements.</w:t>
      </w:r>
      <w:r>
        <w:rPr>
          <w:rFonts w:eastAsia="PMingLiU"/>
        </w:rPr>
        <w:t xml:space="preserve">  We assume a typical LMF implementation would populate the location</w:t>
      </w:r>
      <w:r w:rsidR="005906F8">
        <w:rPr>
          <w:rFonts w:eastAsia="PMingLiU"/>
        </w:rPr>
        <w:t xml:space="preserve"> in these messages</w:t>
      </w:r>
      <w:r>
        <w:rPr>
          <w:rFonts w:eastAsia="PMingLiU"/>
        </w:rPr>
        <w:t xml:space="preserve"> with the known location of the PRU (</w:t>
      </w:r>
      <w:proofErr w:type="gramStart"/>
      <w:r>
        <w:rPr>
          <w:rFonts w:eastAsia="PMingLiU"/>
        </w:rPr>
        <w:t>e.g.</w:t>
      </w:r>
      <w:proofErr w:type="gramEnd"/>
      <w:r>
        <w:rPr>
          <w:rFonts w:eastAsia="PMingLiU"/>
        </w:rPr>
        <w:t xml:space="preserve"> as configured by OAM)</w:t>
      </w:r>
      <w:r w:rsidR="005906F8">
        <w:rPr>
          <w:rFonts w:eastAsia="PMingLiU"/>
        </w:rPr>
        <w:t>, but it seems unnecessary to mandate any particular behaviour.</w:t>
      </w:r>
    </w:p>
    <w:p w14:paraId="0263E0B1" w14:textId="462C453B" w:rsidR="00980D2F" w:rsidRDefault="005906F8" w:rsidP="00D86996">
      <w:pPr>
        <w:rPr>
          <w:rFonts w:eastAsia="PMingLiU"/>
        </w:rPr>
      </w:pPr>
      <w:r>
        <w:rPr>
          <w:rFonts w:eastAsia="PMingLiU"/>
        </w:rPr>
        <w:t xml:space="preserve">There is no specification impact to enable this flow, provided the LMF has prior knowledge that the UE is a PRU and knows its location.  For Rel-17, this information can be assumed to be handled </w:t>
      </w:r>
      <w:r w:rsidR="006A297E">
        <w:rPr>
          <w:rFonts w:eastAsia="PMingLiU"/>
        </w:rPr>
        <w:t xml:space="preserve">outside the scope of RAN2 specifications (e.g., </w:t>
      </w:r>
      <w:r>
        <w:rPr>
          <w:rFonts w:eastAsia="PMingLiU"/>
        </w:rPr>
        <w:t>by OAM</w:t>
      </w:r>
      <w:r w:rsidR="006A297E">
        <w:rPr>
          <w:rFonts w:eastAsia="PMingLiU"/>
        </w:rPr>
        <w:t>)</w:t>
      </w:r>
      <w:r w:rsidR="00980D2F">
        <w:rPr>
          <w:rFonts w:eastAsia="PMingLiU"/>
        </w:rPr>
        <w:t>.  Future releases, given more time to work on the PRU aspects, could consider more dynamic approaches (e.g., an “I am a PRU” flag in the MO-LR signalling, and/or a pre-configured location along with the first LPP PDU), but given that SA2 have indicated no time to work on PRUs in Rel-17 (and that RAN2 have limited time as well), it seems not feasible to do a proper evaluation of the options in this release.</w:t>
      </w:r>
    </w:p>
    <w:p w14:paraId="1069FAFE" w14:textId="061A5E65" w:rsidR="00226887" w:rsidRDefault="00226887" w:rsidP="00D86996">
      <w:pPr>
        <w:rPr>
          <w:rFonts w:eastAsia="PMingLiU"/>
        </w:rPr>
      </w:pPr>
      <w:r>
        <w:rPr>
          <w:rFonts w:eastAsia="PMingLiU"/>
        </w:rPr>
        <w:t>If RAN1 indicate that enhancements to assistance data are needed for the PRU case, RAN2 would of course need to make some changes to enable them</w:t>
      </w:r>
      <w:r w:rsidR="006A297E">
        <w:rPr>
          <w:rFonts w:eastAsia="PMingLiU"/>
        </w:rPr>
        <w:t xml:space="preserve"> in the LPP ASN.1 (which, however, still does not imply any procedural changes specific to PRUs)</w:t>
      </w:r>
      <w:r>
        <w:rPr>
          <w:rFonts w:eastAsia="PMingLiU"/>
        </w:rPr>
        <w:t>.  Absent such a request, we propose that RAN2 takes no action in this release.</w:t>
      </w:r>
    </w:p>
    <w:p w14:paraId="75D91E34" w14:textId="5DC675E8" w:rsidR="005906F8" w:rsidRPr="005906F8" w:rsidRDefault="005906F8" w:rsidP="00D86996">
      <w:pPr>
        <w:rPr>
          <w:rFonts w:eastAsia="PMingLiU"/>
        </w:rPr>
      </w:pPr>
      <w:r>
        <w:rPr>
          <w:rFonts w:eastAsia="PMingLiU"/>
          <w:b/>
          <w:bCs/>
        </w:rPr>
        <w:t>Proposal 2:</w:t>
      </w:r>
      <w:r>
        <w:rPr>
          <w:rFonts w:eastAsia="PMingLiU"/>
        </w:rPr>
        <w:t xml:space="preserve"> In Rel-17, RAN2 makes no specification changes </w:t>
      </w:r>
      <w:r w:rsidR="00226887">
        <w:rPr>
          <w:rFonts w:eastAsia="PMingLiU"/>
        </w:rPr>
        <w:t>to support PRU functionality, except for assistance data enhancements</w:t>
      </w:r>
      <w:r w:rsidR="006A297E">
        <w:rPr>
          <w:rFonts w:eastAsia="PMingLiU"/>
        </w:rPr>
        <w:t xml:space="preserve"> if</w:t>
      </w:r>
      <w:r w:rsidR="00226887">
        <w:rPr>
          <w:rFonts w:eastAsia="PMingLiU"/>
        </w:rPr>
        <w:t xml:space="preserve"> requested by RAN1</w:t>
      </w:r>
      <w:r>
        <w:rPr>
          <w:rFonts w:eastAsia="PMingLiU"/>
        </w:rPr>
        <w:t>.</w:t>
      </w:r>
    </w:p>
    <w:p w14:paraId="3A88A533" w14:textId="76D5D8F4"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3ACC8D8B" w:rsidR="00A32E79" w:rsidRDefault="00AD72C1" w:rsidP="00A32E79">
      <w:pPr>
        <w:overflowPunct/>
        <w:autoSpaceDE/>
        <w:autoSpaceDN/>
        <w:adjustRightInd/>
        <w:spacing w:after="240"/>
        <w:textAlignment w:val="auto"/>
        <w:rPr>
          <w:rFonts w:eastAsia="PMingLiU"/>
          <w:lang w:eastAsia="zh-TW"/>
        </w:rPr>
      </w:pPr>
      <w:r>
        <w:rPr>
          <w:rFonts w:eastAsia="PMingLiU"/>
          <w:lang w:eastAsia="zh-TW"/>
        </w:rPr>
        <w:t>This document promulgates the following proposals:</w:t>
      </w:r>
    </w:p>
    <w:p w14:paraId="538FB920" w14:textId="77777777" w:rsidR="00AD72C1" w:rsidRPr="007B400B" w:rsidRDefault="00AD72C1" w:rsidP="00AD72C1">
      <w:pPr>
        <w:overflowPunct/>
        <w:autoSpaceDE/>
        <w:autoSpaceDN/>
        <w:adjustRightInd/>
        <w:spacing w:after="240"/>
        <w:textAlignment w:val="auto"/>
        <w:rPr>
          <w:rFonts w:eastAsia="PMingLiU"/>
          <w:lang w:eastAsia="zh-TW"/>
        </w:rPr>
      </w:pPr>
      <w:r w:rsidRPr="007B400B">
        <w:rPr>
          <w:rFonts w:eastAsia="PMingLiU"/>
          <w:b/>
          <w:bCs/>
          <w:lang w:eastAsia="zh-TW"/>
        </w:rPr>
        <w:t>Proposal 1:</w:t>
      </w:r>
      <w:r w:rsidRPr="007B400B">
        <w:rPr>
          <w:rFonts w:eastAsia="PMingLiU"/>
          <w:lang w:eastAsia="zh-TW"/>
        </w:rPr>
        <w:t xml:space="preserve"> For PRU operation in Rel-17, RAN2 considers</w:t>
      </w:r>
      <w:r>
        <w:rPr>
          <w:rFonts w:eastAsia="PMingLiU"/>
          <w:lang w:eastAsia="zh-TW"/>
        </w:rPr>
        <w:t xml:space="preserve"> PRU-specific operations</w:t>
      </w:r>
      <w:r w:rsidRPr="007B400B">
        <w:rPr>
          <w:rFonts w:eastAsia="PMingLiU"/>
          <w:lang w:eastAsia="zh-TW"/>
        </w:rPr>
        <w:t xml:space="preserve"> only </w:t>
      </w:r>
      <w:r>
        <w:rPr>
          <w:rFonts w:eastAsia="PMingLiU"/>
          <w:lang w:eastAsia="zh-TW"/>
        </w:rPr>
        <w:t xml:space="preserve">for </w:t>
      </w:r>
      <w:r w:rsidRPr="007B400B">
        <w:rPr>
          <w:rFonts w:eastAsia="PMingLiU"/>
          <w:lang w:eastAsia="zh-TW"/>
        </w:rPr>
        <w:t>the case where the PRU initiates an MO-LR.</w:t>
      </w:r>
    </w:p>
    <w:p w14:paraId="4BBDF18B" w14:textId="77777777" w:rsidR="00AD72C1" w:rsidRPr="005906F8" w:rsidRDefault="00AD72C1" w:rsidP="00AD72C1">
      <w:pPr>
        <w:rPr>
          <w:rFonts w:eastAsia="PMingLiU"/>
        </w:rPr>
      </w:pPr>
      <w:r>
        <w:rPr>
          <w:rFonts w:eastAsia="PMingLiU"/>
          <w:b/>
          <w:bCs/>
        </w:rPr>
        <w:t>Proposal 2:</w:t>
      </w:r>
      <w:r>
        <w:rPr>
          <w:rFonts w:eastAsia="PMingLiU"/>
        </w:rPr>
        <w:t xml:space="preserve"> In Rel-17, RAN2 makes no specification changes to support PRU functionality, except for assistance data enhancements if requested by RAN1.</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0E6517A1" w:rsidR="00A32E79" w:rsidRPr="005906F8" w:rsidRDefault="008E36F7" w:rsidP="00A32E79">
      <w:pPr>
        <w:overflowPunct/>
        <w:autoSpaceDE/>
        <w:autoSpaceDN/>
        <w:adjustRightInd/>
        <w:spacing w:after="0"/>
        <w:ind w:left="720" w:hanging="720"/>
        <w:textAlignment w:val="auto"/>
        <w:rPr>
          <w:rFonts w:eastAsia="PMingLiU"/>
          <w:lang w:eastAsia="en-US"/>
        </w:rPr>
      </w:pPr>
      <w:r w:rsidRPr="005906F8">
        <w:rPr>
          <w:rFonts w:eastAsia="PMingLiU"/>
          <w:lang w:eastAsia="en-US"/>
        </w:rPr>
        <w:t>[1]</w:t>
      </w:r>
      <w:r w:rsidRPr="005906F8">
        <w:rPr>
          <w:rFonts w:eastAsia="PMingLiU"/>
          <w:lang w:eastAsia="en-US"/>
        </w:rPr>
        <w:tab/>
      </w:r>
      <w:bookmarkEnd w:id="2"/>
      <w:bookmarkEnd w:id="3"/>
      <w:bookmarkEnd w:id="4"/>
      <w:bookmarkEnd w:id="5"/>
      <w:bookmarkEnd w:id="6"/>
      <w:bookmarkEnd w:id="7"/>
      <w:r w:rsidR="00BB4781" w:rsidRPr="005906F8">
        <w:rPr>
          <w:rFonts w:eastAsia="PMingLiU"/>
          <w:lang w:eastAsia="en-US"/>
        </w:rPr>
        <w:t>R2-22xxxxx/S2-2109105, “Response LS on Positioning Reference Units (PRUs) for enhancing positioning performance”, LS from SA2 to RAN1/RAN2, RAN2#116bis-e</w:t>
      </w:r>
    </w:p>
    <w:p w14:paraId="2B7EB614" w14:textId="39F0D63C" w:rsidR="00733538" w:rsidRPr="005906F8" w:rsidRDefault="00BB4781" w:rsidP="00A32E79">
      <w:pPr>
        <w:overflowPunct/>
        <w:autoSpaceDE/>
        <w:autoSpaceDN/>
        <w:adjustRightInd/>
        <w:spacing w:after="0"/>
        <w:ind w:left="720" w:hanging="720"/>
        <w:textAlignment w:val="auto"/>
        <w:rPr>
          <w:rFonts w:eastAsia="PMingLiU"/>
          <w:lang w:eastAsia="en-US"/>
        </w:rPr>
      </w:pPr>
      <w:r w:rsidRPr="005906F8">
        <w:rPr>
          <w:rFonts w:eastAsia="PMingLiU"/>
          <w:lang w:eastAsia="en-US"/>
        </w:rPr>
        <w:t>[2]</w:t>
      </w:r>
      <w:r w:rsidRPr="005906F8">
        <w:rPr>
          <w:rFonts w:eastAsia="PMingLiU"/>
          <w:lang w:eastAsia="en-US"/>
        </w:rPr>
        <w:tab/>
        <w:t>TS 38.305</w:t>
      </w:r>
    </w:p>
    <w:sectPr w:rsidR="00733538" w:rsidRPr="005906F8" w:rsidSect="002018B9">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133C6" w14:textId="77777777" w:rsidR="004A1ECE" w:rsidRDefault="004A1ECE">
      <w:pPr>
        <w:spacing w:after="0"/>
      </w:pPr>
      <w:r>
        <w:separator/>
      </w:r>
    </w:p>
  </w:endnote>
  <w:endnote w:type="continuationSeparator" w:id="0">
    <w:p w14:paraId="3AA6FDD8" w14:textId="77777777" w:rsidR="004A1ECE" w:rsidRDefault="004A1ECE">
      <w:pPr>
        <w:spacing w:after="0"/>
      </w:pPr>
      <w:r>
        <w:continuationSeparator/>
      </w:r>
    </w:p>
  </w:endnote>
  <w:endnote w:type="continuationNotice" w:id="1">
    <w:p w14:paraId="4890B2D2" w14:textId="77777777" w:rsidR="004A1ECE" w:rsidRDefault="004A1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7C52C" w14:textId="77777777" w:rsidR="004A1ECE" w:rsidRDefault="004A1ECE">
      <w:pPr>
        <w:spacing w:after="0"/>
      </w:pPr>
      <w:r>
        <w:separator/>
      </w:r>
    </w:p>
  </w:footnote>
  <w:footnote w:type="continuationSeparator" w:id="0">
    <w:p w14:paraId="2E4DD677" w14:textId="77777777" w:rsidR="004A1ECE" w:rsidRDefault="004A1ECE">
      <w:pPr>
        <w:spacing w:after="0"/>
      </w:pPr>
      <w:r>
        <w:continuationSeparator/>
      </w:r>
    </w:p>
  </w:footnote>
  <w:footnote w:type="continuationNotice" w:id="1">
    <w:p w14:paraId="7EC8C307" w14:textId="77777777" w:rsidR="004A1ECE" w:rsidRDefault="004A1E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6"/>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8"/>
  </w:num>
  <w:num w:numId="19">
    <w:abstractNumId w:val="9"/>
  </w:num>
  <w:num w:numId="20">
    <w:abstractNumId w:val="11"/>
  </w:num>
  <w:num w:numId="2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29A"/>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5B7"/>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87"/>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ECE"/>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6F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97E"/>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06"/>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2D0"/>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0B"/>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0D2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715"/>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2D9"/>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2C1"/>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1"/>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C4"/>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D43"/>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0EB"/>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99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653</Words>
  <Characters>3728</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2022-01-11T03:42:00Z</dcterms:created>
  <dcterms:modified xsi:type="dcterms:W3CDTF">2022-01-11T03:42:00Z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