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b/>
          <w:kern w:val="2"/>
          <w:sz w:val="24"/>
          <w:szCs w:val="21"/>
          <w:highlight w:val="none"/>
          <w:lang w:val="en-US" w:eastAsia="zh-CN"/>
        </w:rPr>
      </w:pPr>
      <w:bookmarkStart w:id="0" w:name="_Toc18403966"/>
      <w:bookmarkStart w:id="1" w:name="_Toc18413600"/>
      <w:bookmarkStart w:id="2" w:name="_Toc18404533"/>
      <w:r>
        <w:rPr>
          <w:rFonts w:ascii="Times New Roman" w:hAnsi="Times New Roman"/>
          <w:b/>
          <w:sz w:val="24"/>
          <w:highlight w:val="none"/>
        </w:rPr>
        <w:t>3GPP TSG-RAN WG2 Meeting #</w:t>
      </w:r>
      <w:r>
        <w:rPr>
          <w:rFonts w:ascii="Times New Roman" w:hAnsi="Times New Roman"/>
          <w:b/>
          <w:sz w:val="24"/>
          <w:highlight w:val="none"/>
          <w:lang w:eastAsia="zh-CN"/>
        </w:rPr>
        <w:t>1</w:t>
      </w:r>
      <w:r>
        <w:rPr>
          <w:rFonts w:hint="eastAsia" w:ascii="Times New Roman" w:hAnsi="Times New Roman"/>
          <w:b/>
          <w:sz w:val="24"/>
          <w:highlight w:val="none"/>
          <w:lang w:val="en-US" w:eastAsia="zh-CN"/>
        </w:rPr>
        <w:t>1</w:t>
      </w:r>
      <w:r>
        <w:rPr>
          <w:rFonts w:ascii="Times New Roman" w:hAnsi="Times New Roman"/>
          <w:b/>
          <w:sz w:val="24"/>
          <w:highlight w:val="none"/>
          <w:lang w:val="en-US" w:eastAsia="zh-CN"/>
        </w:rPr>
        <w:t>6bis</w:t>
      </w:r>
      <w:r>
        <w:rPr>
          <w:rFonts w:hint="eastAsia" w:ascii="Times New Roman" w:hAnsi="Times New Roman"/>
          <w:b/>
          <w:sz w:val="24"/>
          <w:highlight w:val="none"/>
          <w:lang w:val="en-US" w:eastAsia="zh-CN"/>
        </w:rPr>
        <w:t>-e</w:t>
      </w:r>
      <w:r>
        <w:rPr>
          <w:rFonts w:ascii="Times New Roman" w:hAnsi="Times New Roman"/>
          <w:b/>
          <w:i/>
          <w:sz w:val="24"/>
          <w:highlight w:val="none"/>
        </w:rPr>
        <w:t xml:space="preserve"> </w:t>
      </w:r>
      <w:r>
        <w:rPr>
          <w:rFonts w:ascii="Times New Roman" w:hAnsi="Times New Roman"/>
          <w:b/>
          <w:i/>
          <w:sz w:val="24"/>
          <w:highlight w:val="none"/>
          <w:lang w:val="en-US" w:eastAsia="zh-CN"/>
        </w:rPr>
        <w:t xml:space="preserve">                       </w:t>
      </w:r>
      <w:r>
        <w:rPr>
          <w:rFonts w:hint="eastAsia"/>
          <w:b/>
          <w:kern w:val="2"/>
          <w:sz w:val="24"/>
          <w:szCs w:val="21"/>
          <w:highlight w:val="none"/>
          <w:lang w:val="en-US" w:eastAsia="zh-CN"/>
        </w:rPr>
        <w:t xml:space="preserve"> R2-2200267</w:t>
      </w:r>
    </w:p>
    <w:p>
      <w:pPr>
        <w:pStyle w:val="286"/>
        <w:rPr>
          <w:rFonts w:cs="Arial"/>
          <w:bCs/>
          <w:kern w:val="0"/>
          <w:sz w:val="28"/>
          <w:szCs w:val="28"/>
          <w:highlight w:val="none"/>
        </w:rPr>
      </w:pPr>
      <w:r>
        <w:rPr>
          <w:highlight w:val="none"/>
        </w:rPr>
        <w:t xml:space="preserve">Electronic meeting, </w:t>
      </w:r>
      <w:r>
        <w:rPr>
          <w:rFonts w:hint="eastAsia"/>
          <w:highlight w:val="none"/>
          <w:lang w:val="en-US" w:eastAsia="zh-CN"/>
        </w:rPr>
        <w:t>17 Jan</w:t>
      </w:r>
      <w:r>
        <w:rPr>
          <w:highlight w:val="none"/>
        </w:rPr>
        <w:t xml:space="preserve"> – </w:t>
      </w:r>
      <w:r>
        <w:rPr>
          <w:rFonts w:hint="eastAsia" w:eastAsia="宋体"/>
          <w:highlight w:val="none"/>
          <w:lang w:val="en-US" w:eastAsia="zh-CN"/>
        </w:rPr>
        <w:t>2</w:t>
      </w:r>
      <w:r>
        <w:rPr>
          <w:rFonts w:hint="default" w:eastAsia="宋体"/>
          <w:highlight w:val="none"/>
          <w:lang w:val="en-US" w:eastAsia="zh-CN"/>
        </w:rPr>
        <w:t>5</w:t>
      </w:r>
      <w:r>
        <w:rPr>
          <w:highlight w:val="none"/>
        </w:rPr>
        <w:t xml:space="preserve"> </w:t>
      </w:r>
      <w:r>
        <w:rPr>
          <w:rFonts w:hint="eastAsia"/>
          <w:highlight w:val="none"/>
          <w:lang w:val="en-US" w:eastAsia="zh-CN"/>
        </w:rPr>
        <w:t>Jan</w:t>
      </w:r>
      <w:r>
        <w:rPr>
          <w:rFonts w:hint="eastAsia" w:eastAsia="宋体"/>
          <w:highlight w:val="none"/>
          <w:lang w:val="en-US" w:eastAsia="zh-CN"/>
        </w:rPr>
        <w:t xml:space="preserve"> </w:t>
      </w:r>
      <w:r>
        <w:rPr>
          <w:highlight w:val="none"/>
        </w:rPr>
        <w:t>202</w:t>
      </w:r>
      <w:r>
        <w:rPr>
          <w:rFonts w:hint="eastAsia"/>
          <w:highlight w:val="none"/>
          <w:lang w:val="en-US" w:eastAsia="zh-CN"/>
        </w:rPr>
        <w:t>2</w:t>
      </w:r>
      <w:r>
        <w:rPr>
          <w:rFonts w:cs="Arial"/>
          <w:bCs/>
          <w:kern w:val="0"/>
          <w:sz w:val="28"/>
          <w:szCs w:val="28"/>
          <w:highlight w:val="none"/>
        </w:rPr>
        <w:tab/>
      </w:r>
      <w:r>
        <w:rPr>
          <w:rFonts w:cs="Arial"/>
          <w:bCs/>
          <w:kern w:val="0"/>
          <w:sz w:val="28"/>
          <w:szCs w:val="28"/>
          <w:highlight w:val="none"/>
        </w:rPr>
        <w:t xml:space="preserve">      </w:t>
      </w:r>
      <w:r>
        <w:rPr>
          <w:rFonts w:cs="Arial"/>
          <w:bCs/>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b/>
          <w:sz w:val="24"/>
          <w:highlight w:val="none"/>
          <w:lang w:val="en-US" w:eastAsia="zh-CN"/>
        </w:rPr>
        <w:t xml:space="preserve"> QoE configurat</w:t>
      </w:r>
      <w:bookmarkStart w:id="13" w:name="_GoBack"/>
      <w:bookmarkEnd w:id="13"/>
      <w:r>
        <w:rPr>
          <w:b/>
          <w:sz w:val="24"/>
          <w:highlight w:val="none"/>
          <w:lang w:val="en-US" w:eastAsia="zh-CN"/>
        </w:rPr>
        <w:t>ion</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z w:val="24"/>
          <w:highlight w:val="none"/>
          <w:lang w:val="en-US" w:eastAsia="zh-CN"/>
        </w:rPr>
        <w:t>8.14.</w:t>
      </w:r>
      <w:r>
        <w:rPr>
          <w:rFonts w:hint="default"/>
          <w:b/>
          <w:sz w:val="24"/>
          <w:highlight w:val="none"/>
          <w:lang w:val="en-US" w:eastAsia="zh-CN"/>
        </w:rPr>
        <w:t>3</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eastAsia="宋体" w:cs="Arial"/>
          <w:lang w:val="en-US" w:eastAsia="zh-CN"/>
        </w:rPr>
      </w:pPr>
      <w:r>
        <w:rPr>
          <w:rFonts w:hint="eastAsia" w:eastAsia="宋体" w:cs="Arial"/>
          <w:lang w:val="en-US" w:eastAsia="zh-CN"/>
        </w:rPr>
        <w:t>Below agreements about NR QoE configuration have been made by companies in RAN2#11</w:t>
      </w:r>
      <w:r>
        <w:rPr>
          <w:rFonts w:eastAsia="宋体" w:cs="Arial"/>
          <w:lang w:val="en-US" w:eastAsia="zh-CN"/>
        </w:rPr>
        <w:t>6_</w:t>
      </w:r>
      <w:r>
        <w:rPr>
          <w:rFonts w:hint="eastAsia" w:eastAsia="宋体" w:cs="Arial"/>
          <w:lang w:val="en-US" w:eastAsia="zh-CN"/>
        </w:rPr>
        <w:t>e[1]:</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Forward the measConfigAppLayerId from the AS layer to the application layer together with the QoE configuration.</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Forward the measConfigAppLayerId from the application layer to the AS layer together with the QoE report.</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Reply to SA4 that the size limitation of the QoE report has chanegd. RAN2 has agreed to optionally support RRC segmentation for transmission of QoE reports, and we indicate the new limits</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Size limit of QoE configuration = size of one PDCP SDU.</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 xml:space="preserve">FFS if to Allow multiple QoE reports in the same RRC message, but leave it to UE implementation when / whether to use this (does not involve additional buffering). </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pPr>
      <w:r>
        <w:t>Support RRC segmentation for the Reporting</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pPr>
      <w:r>
        <w:t>FFS whether it is optional or cond. mandatory for UE that support QoE (can continue discuss in this meeting)</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pPr>
      <w:r>
        <w:t>Will inform other groups (R3, SA5, SA4, CT1?)</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The intention of this contribution is to share our views on the </w:t>
      </w:r>
      <w:r>
        <w:rPr>
          <w:rFonts w:eastAsia="宋体" w:cs="Arial"/>
          <w:color w:val="000000"/>
          <w:sz w:val="21"/>
          <w:lang w:val="en-US" w:eastAsia="zh-CN"/>
        </w:rPr>
        <w:t>FFS points left in previous meeting.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area scope handling</w:t>
      </w:r>
    </w:p>
    <w:p>
      <w:pPr>
        <w:rPr>
          <w:rFonts w:eastAsia="宋体" w:cs="Arial"/>
          <w:color w:val="000000"/>
          <w:kern w:val="0"/>
          <w:lang w:val="en-US" w:eastAsia="zh-CN"/>
        </w:rPr>
      </w:pPr>
      <w:r>
        <w:rPr>
          <w:rFonts w:eastAsia="宋体" w:cs="Arial"/>
          <w:color w:val="000000"/>
          <w:kern w:val="0"/>
          <w:lang w:val="en-US" w:eastAsia="zh-CN"/>
        </w:rPr>
        <w:t>Companies have provided their views on the post email discussion after the RAN2#116e. There is no consensus on how to handle the QoE session and QoE measurement when UE moves out of area scope. Based on our understanding, the NW is responsible for the area scope checking and shall send the release indication to the UE when UE exits the QoE configured area, and the UE shall release involved QoE session regardless of whether it is ongoing or not. Our reasons are shown below:</w:t>
      </w:r>
    </w:p>
    <w:p>
      <w:pPr>
        <w:rPr>
          <w:bCs/>
          <w:u w:val="single"/>
          <w:lang w:val="en-US" w:eastAsia="zh-CN"/>
        </w:rPr>
      </w:pPr>
      <w:r>
        <w:rPr>
          <w:rFonts w:hint="eastAsia"/>
          <w:bCs/>
          <w:u w:val="single"/>
          <w:lang w:val="en-US" w:eastAsia="zh-CN"/>
        </w:rPr>
        <w:t xml:space="preserve">1. </w:t>
      </w:r>
      <w:r>
        <w:rPr>
          <w:bCs/>
          <w:u w:val="single"/>
          <w:lang w:val="en-US" w:eastAsia="zh-CN"/>
        </w:rPr>
        <w:t>RAN3 agreements explanation:</w:t>
      </w:r>
    </w:p>
    <w:p>
      <w:pPr>
        <w:rPr>
          <w:bCs/>
          <w:lang w:val="en-US" w:eastAsia="zh-CN"/>
        </w:rPr>
      </w:pPr>
      <w:r>
        <w:rPr>
          <w:rFonts w:hint="eastAsia"/>
          <w:bCs/>
          <w:lang w:val="en-US" w:eastAsia="zh-CN"/>
        </w:rPr>
        <w:t xml:space="preserve">RAN3 have agreed the following agreements on the </w:t>
      </w:r>
      <w:r>
        <w:rPr>
          <w:bCs/>
          <w:lang w:val="en-US" w:eastAsia="zh-CN"/>
        </w:rPr>
        <w:t xml:space="preserve">QoE </w:t>
      </w:r>
      <w:r>
        <w:rPr>
          <w:rFonts w:hint="eastAsia"/>
          <w:bCs/>
          <w:lang w:val="en-US" w:eastAsia="zh-CN"/>
        </w:rPr>
        <w:t>area scope handling</w:t>
      </w:r>
      <w:r>
        <w:rPr>
          <w:bCs/>
          <w:lang w:val="en-US" w:eastAsia="zh-CN"/>
        </w:rPr>
        <w:t>:</w:t>
      </w:r>
    </w:p>
    <w:p>
      <w:pPr>
        <w:pBdr>
          <w:top w:val="single" w:color="auto" w:sz="4" w:space="1"/>
          <w:left w:val="single" w:color="auto" w:sz="4" w:space="4"/>
          <w:bottom w:val="single" w:color="auto" w:sz="4" w:space="1"/>
          <w:right w:val="single" w:color="auto" w:sz="4" w:space="4"/>
        </w:pBdr>
        <w:rPr>
          <w:rFonts w:eastAsia="等线"/>
          <w:b/>
          <w:lang w:eastAsia="zh-CN"/>
        </w:rPr>
      </w:pPr>
      <w:r>
        <w:rPr>
          <w:rFonts w:eastAsia="等线"/>
          <w:b/>
          <w:lang w:eastAsia="zh-CN"/>
        </w:rPr>
        <w:t>The network is responsible for keeping track of whether the UE is inside or outside the area.</w:t>
      </w:r>
    </w:p>
    <w:p>
      <w:pPr>
        <w:pBdr>
          <w:top w:val="single" w:color="auto" w:sz="4" w:space="1"/>
          <w:left w:val="single" w:color="auto" w:sz="4" w:space="4"/>
          <w:bottom w:val="single" w:color="auto" w:sz="4" w:space="1"/>
          <w:right w:val="single" w:color="auto" w:sz="4" w:space="4"/>
        </w:pBdr>
        <w:spacing w:after="120"/>
        <w:rPr>
          <w:rFonts w:eastAsia="等线"/>
          <w:b/>
          <w:lang w:eastAsia="zh-CN"/>
        </w:rPr>
      </w:pPr>
      <w:r>
        <w:rPr>
          <w:rFonts w:eastAsia="等线"/>
          <w:b/>
          <w:lang w:eastAsia="zh-CN"/>
        </w:rPr>
        <w:t>A UE should continue an ongoing measurement once it leaves the Area, unless the network indicates to the UE to release the QoE configuration.</w:t>
      </w:r>
    </w:p>
    <w:p>
      <w:pPr>
        <w:rPr>
          <w:rFonts w:eastAsia="Times New Roman" w:cs="Arial"/>
          <w:lang w:eastAsia="zh-CN"/>
        </w:rPr>
      </w:pPr>
      <w:r>
        <w:rPr>
          <w:bCs/>
          <w:lang w:eastAsia="zh-CN"/>
        </w:rPr>
        <w:t xml:space="preserve">The first RAN3 agreement above is contained in the RAN3 LS </w:t>
      </w:r>
      <w:r>
        <w:rPr>
          <w:lang w:val="en-US" w:eastAsia="zh-CN"/>
        </w:rPr>
        <w:t xml:space="preserve">R2-2106949, it is noticed that RAN3 have made decision on how to handle NR QoE during HO based on the outcome </w:t>
      </w:r>
      <w:r>
        <w:rPr>
          <w:rFonts w:eastAsia="Times New Roman" w:cs="Arial"/>
          <w:lang w:eastAsia="zh-CN"/>
        </w:rPr>
        <w:t xml:space="preserve">TR 38.890 in Rel-17 SI phase. It is obvious that NW should keep the area scope of a QoE configuration and be responsible to determine whether the QoE should be released after handover. </w:t>
      </w:r>
    </w:p>
    <w:p>
      <w:pPr>
        <w:rPr>
          <w:bCs/>
          <w:lang w:eastAsia="zh-CN"/>
        </w:rPr>
      </w:pPr>
      <w:r>
        <w:rPr>
          <w:bCs/>
          <w:lang w:eastAsia="zh-CN"/>
        </w:rPr>
        <w:t>T</w:t>
      </w:r>
      <w:r>
        <w:rPr>
          <w:rFonts w:hint="eastAsia"/>
          <w:bCs/>
          <w:lang w:eastAsia="zh-CN"/>
        </w:rPr>
        <w:t xml:space="preserve">he </w:t>
      </w:r>
      <w:r>
        <w:rPr>
          <w:bCs/>
          <w:lang w:eastAsia="zh-CN"/>
        </w:rPr>
        <w:t xml:space="preserve">second one shown above has been agreed by RAN3 in previous RAN3 meeting. From our point of view, this agreement means the NW shall release an ongoing QoE configuration when the UE moves out of the area scope. And if the NW does not do so, the ongoing QoE session can keep performing. </w:t>
      </w:r>
    </w:p>
    <w:p>
      <w:pPr>
        <w:rPr>
          <w:bCs/>
          <w:lang w:eastAsia="zh-CN"/>
        </w:rPr>
      </w:pPr>
      <w:r>
        <w:rPr>
          <w:rFonts w:hint="eastAsia"/>
          <w:bCs/>
          <w:lang w:eastAsia="zh-CN"/>
        </w:rPr>
        <w:t xml:space="preserve">In short, the </w:t>
      </w:r>
      <w:r>
        <w:rPr>
          <w:bCs/>
          <w:lang w:eastAsia="zh-CN"/>
        </w:rPr>
        <w:t>related</w:t>
      </w:r>
      <w:r>
        <w:rPr>
          <w:rFonts w:hint="eastAsia"/>
          <w:bCs/>
          <w:lang w:eastAsia="zh-CN"/>
        </w:rPr>
        <w:t xml:space="preserve"> RAN3 agreements </w:t>
      </w:r>
      <w:r>
        <w:rPr>
          <w:bCs/>
          <w:lang w:eastAsia="zh-CN"/>
        </w:rPr>
        <w:t>indicate two aspects:</w:t>
      </w:r>
    </w:p>
    <w:p>
      <w:pPr>
        <w:rPr>
          <w:b/>
          <w:bCs/>
          <w:lang w:eastAsia="zh-CN"/>
        </w:rPr>
      </w:pPr>
      <w:r>
        <w:rPr>
          <w:b/>
          <w:bCs/>
          <w:lang w:eastAsia="zh-CN"/>
        </w:rPr>
        <w:t xml:space="preserve">Observation </w:t>
      </w:r>
      <w:r>
        <w:rPr>
          <w:rFonts w:hint="default"/>
          <w:b/>
          <w:bCs/>
          <w:lang w:val="en-US" w:eastAsia="zh-CN"/>
        </w:rPr>
        <w:t>1</w:t>
      </w:r>
      <w:r>
        <w:rPr>
          <w:b/>
          <w:bCs/>
          <w:lang w:eastAsia="zh-CN"/>
        </w:rPr>
        <w:t>: The following information can be deduced from related RAN3 agreements:</w:t>
      </w:r>
    </w:p>
    <w:p>
      <w:pPr>
        <w:rPr>
          <w:b/>
          <w:bCs/>
          <w:lang w:eastAsia="zh-CN"/>
        </w:rPr>
      </w:pPr>
      <w:r>
        <w:rPr>
          <w:b/>
          <w:bCs/>
          <w:lang w:eastAsia="zh-CN"/>
        </w:rPr>
        <w:tab/>
      </w:r>
      <w:r>
        <w:rPr>
          <w:b/>
          <w:bCs/>
          <w:lang w:eastAsia="zh-CN"/>
        </w:rPr>
        <w:t>1. NW is responsible for area checking of a QoE configuration.</w:t>
      </w:r>
    </w:p>
    <w:p>
      <w:pPr>
        <w:rPr>
          <w:b/>
          <w:bCs/>
          <w:lang w:eastAsia="zh-CN"/>
        </w:rPr>
      </w:pPr>
      <w:r>
        <w:rPr>
          <w:b/>
          <w:bCs/>
          <w:lang w:eastAsia="zh-CN"/>
        </w:rPr>
        <w:tab/>
      </w:r>
      <w:r>
        <w:rPr>
          <w:b/>
          <w:bCs/>
          <w:lang w:eastAsia="zh-CN"/>
        </w:rPr>
        <w:t xml:space="preserve">2. </w:t>
      </w:r>
      <w:r>
        <w:rPr>
          <w:rFonts w:hint="eastAsia"/>
          <w:b/>
          <w:bCs/>
          <w:lang w:eastAsia="zh-CN"/>
        </w:rPr>
        <w:t xml:space="preserve">NW </w:t>
      </w:r>
      <w:r>
        <w:rPr>
          <w:b/>
          <w:bCs/>
          <w:lang w:eastAsia="zh-CN"/>
        </w:rPr>
        <w:t>can</w:t>
      </w:r>
      <w:r>
        <w:rPr>
          <w:rFonts w:hint="eastAsia"/>
          <w:b/>
          <w:bCs/>
          <w:lang w:eastAsia="zh-CN"/>
        </w:rPr>
        <w:t xml:space="preserve"> release an ongoing QoE configuration when UE moves out of the area scope.</w:t>
      </w:r>
    </w:p>
    <w:p>
      <w:pPr>
        <w:rPr>
          <w:bCs/>
          <w:u w:val="single"/>
          <w:lang w:val="en-US" w:eastAsia="zh-CN"/>
        </w:rPr>
      </w:pPr>
      <w:r>
        <w:rPr>
          <w:rFonts w:hint="eastAsia"/>
          <w:bCs/>
          <w:u w:val="single"/>
          <w:lang w:val="en-US" w:eastAsia="zh-CN"/>
        </w:rPr>
        <w:t xml:space="preserve">2. </w:t>
      </w:r>
      <w:r>
        <w:rPr>
          <w:bCs/>
          <w:u w:val="single"/>
          <w:lang w:val="en-US" w:eastAsia="zh-CN"/>
        </w:rPr>
        <w:t>Understanding of area scope:</w:t>
      </w:r>
    </w:p>
    <w:p>
      <w:pPr>
        <w:rPr>
          <w:bCs/>
          <w:lang w:val="en-US" w:eastAsia="zh-CN"/>
        </w:rPr>
      </w:pPr>
      <w:r>
        <w:rPr>
          <w:bCs/>
          <w:lang w:val="en-US" w:eastAsia="zh-CN"/>
        </w:rPr>
        <w:t xml:space="preserve">Based on our understanding, MCE is only interested in the QoE data which is collected inside the area scope. Otherwise, the area scope does not make any sense. Hence, it is low data transportation efficient to forward the unnecessary data from UE to NW. </w:t>
      </w:r>
    </w:p>
    <w:p>
      <w:pPr>
        <w:rPr>
          <w:b/>
          <w:bCs/>
          <w:lang w:val="en-US" w:eastAsia="zh-CN"/>
        </w:rPr>
      </w:pPr>
      <w:r>
        <w:rPr>
          <w:b/>
          <w:bCs/>
          <w:lang w:val="en-US" w:eastAsia="zh-CN"/>
        </w:rPr>
        <w:t xml:space="preserve">Observation </w:t>
      </w:r>
      <w:r>
        <w:rPr>
          <w:rFonts w:hint="default"/>
          <w:b/>
          <w:bCs/>
          <w:lang w:val="en-US" w:eastAsia="zh-CN"/>
        </w:rPr>
        <w:t>2</w:t>
      </w:r>
      <w:r>
        <w:rPr>
          <w:b/>
          <w:bCs/>
          <w:lang w:val="en-US" w:eastAsia="zh-CN"/>
        </w:rPr>
        <w:t>: It is low efficient to forward the QoE data generated when UE out of the area scope.</w:t>
      </w:r>
    </w:p>
    <w:p>
      <w:pPr>
        <w:rPr>
          <w:bCs/>
          <w:lang w:val="en-US" w:eastAsia="zh-CN"/>
        </w:rPr>
      </w:pPr>
      <w:r>
        <w:rPr>
          <w:bCs/>
          <w:lang w:val="en-US" w:eastAsia="zh-CN"/>
        </w:rPr>
        <w:t xml:space="preserve">For the QoE data integrity and utility issue, some companies concerned that if UE does not transport the QoE data generated out of the area scope, NW received data which is generated inside the area scope may not be used. </w:t>
      </w:r>
    </w:p>
    <w:p>
      <w:pPr>
        <w:rPr>
          <w:bCs/>
          <w:lang w:val="en-US" w:eastAsia="zh-CN"/>
        </w:rPr>
      </w:pPr>
      <w:r>
        <w:rPr>
          <w:bCs/>
          <w:lang w:val="en-US" w:eastAsia="zh-CN"/>
        </w:rPr>
        <w:t>3 kinds of scenarios shall be discussed for this concern:</w:t>
      </w:r>
    </w:p>
    <w:p>
      <w:pPr>
        <w:rPr>
          <w:bCs/>
          <w:i/>
          <w:lang w:val="en-US" w:eastAsia="zh-CN"/>
        </w:rPr>
      </w:pPr>
      <w:r>
        <w:rPr>
          <w:bCs/>
          <w:i/>
          <w:lang w:val="en-US" w:eastAsia="zh-CN"/>
        </w:rPr>
        <w:tab/>
      </w:r>
      <w:r>
        <w:rPr>
          <w:bCs/>
          <w:i/>
          <w:lang w:val="en-US" w:eastAsia="zh-CN"/>
        </w:rPr>
        <w:t>1. UE moves out of the area scope at the end of the QoE session.</w:t>
      </w:r>
    </w:p>
    <w:p>
      <w:pPr>
        <w:rPr>
          <w:bCs/>
          <w:lang w:val="en-US" w:eastAsia="zh-CN"/>
        </w:rPr>
      </w:pPr>
      <w:r>
        <w:rPr>
          <w:rFonts w:hint="eastAsia"/>
          <w:bCs/>
          <w:lang w:val="en-US" w:eastAsia="zh-CN"/>
        </w:rPr>
        <w:t>I</w:t>
      </w:r>
      <w:r>
        <w:rPr>
          <w:bCs/>
          <w:lang w:val="en-US" w:eastAsia="zh-CN"/>
        </w:rPr>
        <w:t xml:space="preserve">n SA4 LS(R2-2109386) on the limitation of the container size, SA4 explained that </w:t>
      </w:r>
    </w:p>
    <w:p>
      <w:pPr>
        <w:jc w:val="center"/>
        <w:rPr>
          <w:bCs/>
          <w:lang w:val="en-US" w:eastAsia="zh-CN"/>
        </w:rPr>
      </w:pPr>
      <w:r>
        <w:rPr>
          <w:rFonts w:hint="eastAsia"/>
          <w:bCs/>
          <w:lang w:val="en-US" w:eastAsia="zh-CN"/>
        </w:rPr>
        <w:t>=</w:t>
      </w:r>
      <w:r>
        <w:rPr>
          <w:bCs/>
          <w:lang w:val="en-US" w:eastAsia="zh-CN"/>
        </w:rPr>
        <w:t>=== content in R2-2109386 ====</w:t>
      </w:r>
    </w:p>
    <w:p>
      <w:pPr>
        <w:rPr>
          <w:rFonts w:cs="Arial"/>
          <w:color w:val="000000"/>
          <w:sz w:val="22"/>
          <w:szCs w:val="22"/>
        </w:rPr>
      </w:pPr>
      <w:r>
        <w:rPr>
          <w:rFonts w:cs="Arial"/>
          <w:color w:val="000000"/>
          <w:sz w:val="22"/>
          <w:szCs w:val="22"/>
        </w:rPr>
        <w:t>The current limits were defined based on the then-existing QoE metrics from the MTSI and 3GP-DASH streaming services. While there could be no hard guarantees, it was seen as unlikely that these limits would be exceeded, except for rare cases. Currently, any QoE container exceeding the size limit is simply discarded, under the assumption that such discards are very rare.</w:t>
      </w:r>
    </w:p>
    <w:p>
      <w:pPr>
        <w:jc w:val="center"/>
        <w:rPr>
          <w:bCs/>
          <w:lang w:val="en-US" w:eastAsia="zh-CN"/>
        </w:rPr>
      </w:pPr>
      <w:r>
        <w:rPr>
          <w:rFonts w:hint="eastAsia"/>
          <w:bCs/>
          <w:lang w:val="en-US" w:eastAsia="zh-CN"/>
        </w:rPr>
        <w:t>=</w:t>
      </w:r>
      <w:r>
        <w:rPr>
          <w:bCs/>
          <w:lang w:val="en-US" w:eastAsia="zh-CN"/>
        </w:rPr>
        <w:t>=== content in R2-2109386 ====</w:t>
      </w:r>
    </w:p>
    <w:p>
      <w:pPr>
        <w:rPr>
          <w:bCs/>
          <w:lang w:val="en-US" w:eastAsia="zh-CN"/>
        </w:rPr>
      </w:pPr>
      <w:r>
        <w:rPr>
          <w:rFonts w:hint="eastAsia"/>
          <w:bCs/>
          <w:lang w:val="en-US" w:eastAsia="zh-CN"/>
        </w:rPr>
        <w:t>I</w:t>
      </w:r>
      <w:r>
        <w:rPr>
          <w:bCs/>
          <w:lang w:val="en-US" w:eastAsia="zh-CN"/>
        </w:rPr>
        <w:t>t is clear that the QoE container exceeding the size limit will be discarded directly based on current achieved specifications. Considering the current mechanism on the discard oversized QoE container works well, it is reasonable that discarded minority QoE data packets because of UE moves out of the area scope will not impact the final result at NW side.</w:t>
      </w:r>
    </w:p>
    <w:p>
      <w:pPr>
        <w:rPr>
          <w:b/>
          <w:bCs/>
          <w:lang w:val="en-US" w:eastAsia="zh-CN"/>
        </w:rPr>
      </w:pPr>
      <w:r>
        <w:rPr>
          <w:b/>
          <w:bCs/>
          <w:lang w:val="en-US" w:eastAsia="zh-CN"/>
        </w:rPr>
        <w:t xml:space="preserve">Observation </w:t>
      </w:r>
      <w:r>
        <w:rPr>
          <w:rFonts w:hint="default"/>
          <w:b/>
          <w:bCs/>
          <w:lang w:val="en-US" w:eastAsia="zh-CN"/>
        </w:rPr>
        <w:t>3</w:t>
      </w:r>
      <w:r>
        <w:rPr>
          <w:b/>
          <w:bCs/>
          <w:lang w:val="en-US" w:eastAsia="zh-CN"/>
        </w:rPr>
        <w:t>: Based on the SA4’s LS, it is clear that the final result of the QoE session will not be impact if some QoE measurement reports are discarded rarely.</w:t>
      </w:r>
    </w:p>
    <w:p>
      <w:pPr>
        <w:rPr>
          <w:bCs/>
          <w:i/>
          <w:lang w:val="en-US" w:eastAsia="zh-CN"/>
        </w:rPr>
      </w:pPr>
      <w:r>
        <w:rPr>
          <w:bCs/>
          <w:i/>
          <w:lang w:val="en-US" w:eastAsia="zh-CN"/>
        </w:rPr>
        <w:tab/>
      </w:r>
      <w:r>
        <w:rPr>
          <w:bCs/>
          <w:i/>
          <w:lang w:val="en-US" w:eastAsia="zh-CN"/>
        </w:rPr>
        <w:t>2. UE moves out of the area scope at the start of the QoE session.</w:t>
      </w:r>
    </w:p>
    <w:p>
      <w:pPr>
        <w:rPr>
          <w:bCs/>
          <w:lang w:val="en-US" w:eastAsia="zh-CN"/>
        </w:rPr>
      </w:pPr>
      <w:r>
        <w:rPr>
          <w:rFonts w:hint="eastAsia"/>
          <w:bCs/>
          <w:lang w:val="en-US" w:eastAsia="zh-CN"/>
        </w:rPr>
        <w:t xml:space="preserve">As we explained </w:t>
      </w:r>
      <w:r>
        <w:rPr>
          <w:bCs/>
          <w:lang w:val="en-US" w:eastAsia="zh-CN"/>
        </w:rPr>
        <w:t xml:space="preserve">previously, based on our understanding, the data collected when UE outside the area scope does not make any sense to the NW. In this case, if RAN node does not release the ongoing QoE session, the UE has to keep transmitting such useless QoE data to NW in the most duration of this QoE session. </w:t>
      </w:r>
    </w:p>
    <w:p>
      <w:pPr>
        <w:rPr>
          <w:bCs/>
          <w:i/>
          <w:lang w:val="en-US" w:eastAsia="zh-CN"/>
        </w:rPr>
      </w:pPr>
      <w:r>
        <w:rPr>
          <w:bCs/>
          <w:i/>
          <w:lang w:val="en-US" w:eastAsia="zh-CN"/>
        </w:rPr>
        <w:tab/>
      </w:r>
      <w:r>
        <w:rPr>
          <w:bCs/>
          <w:i/>
          <w:lang w:val="en-US" w:eastAsia="zh-CN"/>
        </w:rPr>
        <w:t>3. The scenarios between 1 and 2.</w:t>
      </w:r>
    </w:p>
    <w:p>
      <w:pPr>
        <w:rPr>
          <w:bCs/>
          <w:lang w:val="en-US" w:eastAsia="zh-CN"/>
        </w:rPr>
      </w:pPr>
      <w:r>
        <w:rPr>
          <w:bCs/>
          <w:lang w:val="en-US" w:eastAsia="zh-CN"/>
        </w:rPr>
        <w:t>Compared with the above two cases, this is a more valuable case. The final QoE result may be impact if NW releases the QoE session when UE moves out of scope. But the impact can be minimized by configuring an appropriate area scope for a QoE session.</w:t>
      </w:r>
    </w:p>
    <w:p>
      <w:pPr>
        <w:rPr>
          <w:bCs/>
          <w:lang w:val="en-US" w:eastAsia="zh-CN"/>
        </w:rPr>
      </w:pPr>
      <w:r>
        <w:rPr>
          <w:bCs/>
          <w:lang w:val="en-US" w:eastAsia="zh-CN"/>
        </w:rPr>
        <w:t>For management based QoE, NW will configure the QoE session to a large number of UEs in the area scope. And the final result at the NW side will also be based on the data collected from all configured UEs. It is obvious that NW will not define that the QoE data collected from one specific UE is much important than other ones in the management based QoE. Based on the large number of involved UEs and appropriate area scope, that several UEs do not complete the whole QoE session has little impact on the final result at the NW side.</w:t>
      </w:r>
    </w:p>
    <w:p>
      <w:pPr>
        <w:rPr>
          <w:b/>
          <w:bCs/>
          <w:lang w:val="en-US" w:eastAsia="zh-CN"/>
        </w:rPr>
      </w:pPr>
      <w:r>
        <w:rPr>
          <w:b/>
          <w:bCs/>
          <w:lang w:val="en-US" w:eastAsia="zh-CN"/>
        </w:rPr>
        <w:t xml:space="preserve">Observation </w:t>
      </w:r>
      <w:r>
        <w:rPr>
          <w:rFonts w:hint="default"/>
          <w:b/>
          <w:bCs/>
          <w:lang w:val="en-US" w:eastAsia="zh-CN"/>
        </w:rPr>
        <w:t>4</w:t>
      </w:r>
      <w:r>
        <w:rPr>
          <w:b/>
          <w:bCs/>
          <w:lang w:val="en-US" w:eastAsia="zh-CN"/>
        </w:rPr>
        <w:t>: For management based QoE, based on the large number of involved UEs, that several UEs do not complete the whole QoE session has little impact on the final result at the NW side.</w:t>
      </w:r>
    </w:p>
    <w:p>
      <w:pPr>
        <w:rPr>
          <w:bCs/>
          <w:lang w:val="en-US" w:eastAsia="zh-CN"/>
        </w:rPr>
      </w:pPr>
      <w:r>
        <w:rPr>
          <w:rFonts w:hint="eastAsia"/>
          <w:bCs/>
          <w:lang w:val="en-US" w:eastAsia="zh-CN"/>
        </w:rPr>
        <w:t xml:space="preserve">For </w:t>
      </w:r>
      <w:r>
        <w:rPr>
          <w:bCs/>
          <w:lang w:val="en-US" w:eastAsia="zh-CN"/>
        </w:rPr>
        <w:t xml:space="preserve">signaling based QoE, an appropriate area scope can efficiently avoid UE moving out of the area scope during the QoE session. In other hand, even though the QoE data which is collected by the UE who is configured signaling based QoE is important and can have great impact on the NW result, the QoE data which is generated outside of the area scope does not mean anything to the NW. </w:t>
      </w:r>
    </w:p>
    <w:p>
      <w:pPr>
        <w:rPr>
          <w:b/>
          <w:bCs/>
          <w:lang w:val="en-US" w:eastAsia="zh-CN"/>
        </w:rPr>
      </w:pPr>
      <w:r>
        <w:rPr>
          <w:b/>
          <w:bCs/>
          <w:lang w:val="en-US" w:eastAsia="zh-CN"/>
        </w:rPr>
        <w:t xml:space="preserve">Observation </w:t>
      </w:r>
      <w:r>
        <w:rPr>
          <w:rFonts w:hint="default"/>
          <w:b/>
          <w:bCs/>
          <w:lang w:val="en-US" w:eastAsia="zh-CN"/>
        </w:rPr>
        <w:t>5</w:t>
      </w:r>
      <w:r>
        <w:rPr>
          <w:b/>
          <w:bCs/>
          <w:lang w:val="en-US" w:eastAsia="zh-CN"/>
        </w:rPr>
        <w:t xml:space="preserve">: For signaling based QoE, with an appropriate area scope, a UE can stay in the area scope and transmit all QoE collected data during the whole QoE session. </w:t>
      </w:r>
    </w:p>
    <w:p>
      <w:pPr>
        <w:rPr>
          <w:bCs/>
          <w:lang w:val="en-US" w:eastAsia="zh-CN"/>
        </w:rPr>
      </w:pPr>
      <w:r>
        <w:rPr>
          <w:bCs/>
          <w:lang w:val="en-US" w:eastAsia="zh-CN"/>
        </w:rPr>
        <w:t xml:space="preserve">As we explained above, </w:t>
      </w:r>
    </w:p>
    <w:p>
      <w:pPr>
        <w:rPr>
          <w:bCs/>
          <w:lang w:val="en-US" w:eastAsia="zh-CN"/>
        </w:rPr>
      </w:pPr>
      <w:r>
        <w:rPr>
          <w:bCs/>
          <w:lang w:val="en-US" w:eastAsia="zh-CN"/>
        </w:rPr>
        <w:tab/>
      </w:r>
      <w:r>
        <w:rPr>
          <w:bCs/>
          <w:lang w:val="en-US" w:eastAsia="zh-CN"/>
        </w:rPr>
        <w:t>1. The data collected outside the area scope makes no sense to the MCE.</w:t>
      </w:r>
    </w:p>
    <w:p>
      <w:pPr>
        <w:rPr>
          <w:bCs/>
          <w:lang w:val="en-US" w:eastAsia="zh-CN"/>
        </w:rPr>
      </w:pPr>
      <w:r>
        <w:rPr>
          <w:bCs/>
          <w:lang w:val="en-US" w:eastAsia="zh-CN"/>
        </w:rPr>
        <w:tab/>
      </w:r>
      <w:r>
        <w:rPr>
          <w:bCs/>
          <w:lang w:val="en-US" w:eastAsia="zh-CN"/>
        </w:rPr>
        <w:t>2. An appropriate area scope configured by NW side can avoid the UE moves out of the area scope in most cases and can minimize the impact of the final result in some rare cases.</w:t>
      </w:r>
    </w:p>
    <w:p>
      <w:pPr>
        <w:rPr>
          <w:bCs/>
          <w:lang w:val="en-US" w:eastAsia="zh-CN"/>
        </w:rPr>
      </w:pPr>
      <w:r>
        <w:rPr>
          <w:rFonts w:hint="eastAsia"/>
          <w:bCs/>
          <w:lang w:val="en-US" w:eastAsia="zh-CN"/>
        </w:rPr>
        <w:t>In addition,</w:t>
      </w:r>
      <w:r>
        <w:rPr>
          <w:bCs/>
          <w:lang w:val="en-US" w:eastAsia="zh-CN"/>
        </w:rPr>
        <w:t xml:space="preserve"> more than 6 different alternatives have been pointed out by companies in the relevant post email discussion. RAN3 or SA4 may be involved in some of these alternatives. And only 2 more meetings left in RAN2 for the QoE discussion in Rel-17. We wonder whether RAN2 can complete this topic in time if companies keep struggling on the further enhancement on the area scope issue. To complete this topic in next two RAN2 meetings, we prefer to follow existing RAN3 agreements and SA4 definitions. Further enhancement on the area scope handling can be considering in the future. That is:</w:t>
      </w:r>
    </w:p>
    <w:p>
      <w:pPr>
        <w:rPr>
          <w:b/>
          <w:bCs/>
          <w:lang w:val="en-US" w:eastAsia="zh-CN"/>
        </w:rPr>
      </w:pPr>
      <w:r>
        <w:rPr>
          <w:b/>
          <w:bCs/>
          <w:lang w:val="en-US" w:eastAsia="zh-CN"/>
        </w:rPr>
        <w:t xml:space="preserve">Proposal </w:t>
      </w:r>
      <w:r>
        <w:rPr>
          <w:rFonts w:hint="default"/>
          <w:b/>
          <w:bCs/>
          <w:lang w:val="en-US" w:eastAsia="zh-CN"/>
        </w:rPr>
        <w:t>1</w:t>
      </w:r>
      <w:r>
        <w:rPr>
          <w:b/>
          <w:bCs/>
          <w:lang w:val="en-US" w:eastAsia="zh-CN"/>
        </w:rPr>
        <w:t xml:space="preserve">: It is proposed for RAN2 to agree that NW sends the release indication to UE when UE exits the area. Then the UE shall release the related QoE configuration regardless of the measurement status.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QoE capability</w:t>
      </w:r>
    </w:p>
    <w:p>
      <w:pPr>
        <w:rPr>
          <w:bCs/>
          <w:lang w:val="en-US" w:eastAsia="zh-CN"/>
        </w:rPr>
      </w:pPr>
      <w:r>
        <w:rPr>
          <w:rFonts w:hint="eastAsia"/>
          <w:bCs/>
          <w:lang w:val="en-US" w:eastAsia="zh-CN"/>
        </w:rPr>
        <w:t>In LTE, the UE capability for QoE is defined per service type.</w:t>
      </w:r>
      <w:r>
        <w:rPr>
          <w:bCs/>
          <w:lang w:val="en-US" w:eastAsia="zh-CN"/>
        </w:rPr>
        <w:t xml:space="preserve"> We prefer to consider LTE mechanism as baseline and use per service type UE capability for the NR legacy QoE. In addition, considering RAN visible QoE will not configure extra measurements to a UE other than legacy QoE required, 1 bit RVQoE capability with the relevant legacy QoE capability can be used to show whether a UE supports the RAN visible QoE for a specific service type.</w:t>
      </w:r>
    </w:p>
    <w:p>
      <w:pPr>
        <w:rPr>
          <w:b/>
          <w:bCs/>
          <w:lang w:val="en-US" w:eastAsia="zh-CN"/>
        </w:rPr>
      </w:pPr>
      <w:r>
        <w:rPr>
          <w:b/>
          <w:bCs/>
          <w:lang w:val="en-US" w:eastAsia="zh-CN"/>
        </w:rPr>
        <w:t xml:space="preserve">Proposal </w:t>
      </w:r>
      <w:r>
        <w:rPr>
          <w:rFonts w:hint="default"/>
          <w:b/>
          <w:bCs/>
          <w:lang w:val="en-US" w:eastAsia="zh-CN"/>
        </w:rPr>
        <w:t>2</w:t>
      </w:r>
      <w:r>
        <w:rPr>
          <w:b/>
          <w:bCs/>
          <w:lang w:val="en-US" w:eastAsia="zh-CN"/>
        </w:rPr>
        <w:t>: It is proposed for RAN2 to introduce UE capability for each service types for legacy NR QoE and introduce 1 UE capability for RAN visible QoE.</w:t>
      </w:r>
    </w:p>
    <w:p>
      <w:pPr>
        <w:rPr>
          <w:b/>
          <w:bCs/>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multiple QoE reports in one RRC message</w:t>
      </w:r>
    </w:p>
    <w:p>
      <w:pPr>
        <w:rPr>
          <w:bCs/>
          <w:lang w:val="en-US" w:eastAsia="zh-CN"/>
        </w:rPr>
      </w:pPr>
      <w:r>
        <w:rPr>
          <w:bCs/>
          <w:lang w:val="en-US" w:eastAsia="zh-CN"/>
        </w:rPr>
        <w:t>The FFS left in previous RAN2 meeting is shown below:</w:t>
      </w:r>
    </w:p>
    <w:p>
      <w:pPr>
        <w:pStyle w:val="187"/>
        <w:numPr>
          <w:ilvl w:val="0"/>
          <w:numId w:val="6"/>
        </w:numPr>
        <w:pBdr>
          <w:top w:val="single" w:color="auto" w:sz="4" w:space="1"/>
          <w:left w:val="single" w:color="auto" w:sz="4" w:space="4"/>
          <w:bottom w:val="single" w:color="auto" w:sz="4" w:space="1"/>
          <w:right w:val="single" w:color="auto" w:sz="4" w:space="4"/>
        </w:pBdr>
        <w:tabs>
          <w:tab w:val="left" w:pos="1620"/>
          <w:tab w:val="clear" w:pos="6930"/>
          <w:tab w:val="clear" w:pos="1619"/>
        </w:tabs>
        <w:spacing w:before="78" w:after="78" w:line="240" w:lineRule="auto"/>
        <w:ind w:left="1620"/>
        <w:rPr>
          <w:lang w:val="sv-SE"/>
        </w:rPr>
      </w:pPr>
      <w:r>
        <w:rPr>
          <w:lang w:val="sv-SE"/>
        </w:rPr>
        <w:t xml:space="preserve">FFS if to Allow multiple QoE reports in the same RRC message, but leave it to UE implementation when / whether to use this (does not involve additional buffering). </w:t>
      </w:r>
    </w:p>
    <w:p>
      <w:pPr>
        <w:rPr>
          <w:bCs/>
          <w:lang w:val="sv-SE" w:eastAsia="zh-CN"/>
        </w:rPr>
      </w:pPr>
      <w:r>
        <w:rPr>
          <w:bCs/>
          <w:lang w:val="sv-SE" w:eastAsia="zh-CN"/>
        </w:rPr>
        <w:t>F</w:t>
      </w:r>
      <w:r>
        <w:rPr>
          <w:rFonts w:hint="eastAsia"/>
          <w:bCs/>
          <w:lang w:val="sv-SE" w:eastAsia="zh-CN"/>
        </w:rPr>
        <w:t xml:space="preserve">rom </w:t>
      </w:r>
      <w:r>
        <w:rPr>
          <w:bCs/>
          <w:lang w:val="sv-SE" w:eastAsia="zh-CN"/>
        </w:rPr>
        <w:t>our point of view, UE may only need to add multiple QoE reports in one RRC message if the following crieteria are fulfilled:</w:t>
      </w:r>
    </w:p>
    <w:p>
      <w:pPr>
        <w:rPr>
          <w:bCs/>
          <w:lang w:val="sv-SE" w:eastAsia="zh-CN"/>
        </w:rPr>
      </w:pPr>
      <w:r>
        <w:rPr>
          <w:bCs/>
          <w:lang w:val="sv-SE" w:eastAsia="zh-CN"/>
        </w:rPr>
        <w:tab/>
      </w:r>
      <w:r>
        <w:rPr>
          <w:bCs/>
          <w:lang w:val="sv-SE" w:eastAsia="zh-CN"/>
        </w:rPr>
        <w:t>1. Different QoE sessions have the same reporting period or buffered QoE reports are going to be transmited.</w:t>
      </w:r>
    </w:p>
    <w:p>
      <w:pPr>
        <w:rPr>
          <w:bCs/>
          <w:lang w:val="sv-SE" w:eastAsia="zh-CN"/>
        </w:rPr>
      </w:pPr>
      <w:r>
        <w:rPr>
          <w:bCs/>
          <w:lang w:val="sv-SE" w:eastAsia="zh-CN"/>
        </w:rPr>
        <w:tab/>
      </w:r>
      <w:r>
        <w:rPr>
          <w:bCs/>
          <w:lang w:val="sv-SE" w:eastAsia="zh-CN"/>
        </w:rPr>
        <w:t xml:space="preserve">2. QoE reports for different QoE sessions share the same destination address. </w:t>
      </w:r>
    </w:p>
    <w:p>
      <w:pPr>
        <w:rPr>
          <w:bCs/>
          <w:lang w:val="sv-SE" w:eastAsia="zh-CN"/>
        </w:rPr>
      </w:pPr>
      <w:r>
        <w:rPr>
          <w:bCs/>
          <w:lang w:val="sv-SE" w:eastAsia="zh-CN"/>
        </w:rPr>
        <w:t>It is obvious that the case shown above is not a common case in the deployment environment. For the minority case, it is hard to evaluate whether adding several QoE reports into one RRC message and performming RRC segmentation to the message are more efficient than transmitting the QoE reports in several RRC messages. Hence, from simplicity point of view, we do not prefer to add multiple QoE reports in one RRC message.</w:t>
      </w:r>
    </w:p>
    <w:p>
      <w:pPr>
        <w:rPr>
          <w:rFonts w:hint="eastAsia"/>
          <w:b/>
          <w:bCs/>
          <w:lang w:val="sv-SE" w:eastAsia="zh-CN"/>
        </w:rPr>
      </w:pPr>
      <w:r>
        <w:rPr>
          <w:b/>
          <w:bCs/>
          <w:lang w:val="sv-SE" w:eastAsia="zh-CN"/>
        </w:rPr>
        <w:t xml:space="preserve">Proposal </w:t>
      </w:r>
      <w:r>
        <w:rPr>
          <w:rFonts w:hint="default"/>
          <w:b/>
          <w:bCs/>
          <w:lang w:val="en-US" w:eastAsia="zh-CN"/>
        </w:rPr>
        <w:t>3</w:t>
      </w:r>
      <w:r>
        <w:rPr>
          <w:b/>
          <w:bCs/>
          <w:lang w:val="sv-SE" w:eastAsia="zh-CN"/>
        </w:rPr>
        <w:t>: It is not allowed to add multiple QoE reports in one RRC message.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lang w:val="en-US" w:eastAsia="zh-CN"/>
        </w:rPr>
      </w:pPr>
      <w:r>
        <w:rPr>
          <w:rFonts w:hint="eastAsia"/>
          <w:lang w:val="en-US" w:eastAsia="zh-CN"/>
        </w:rPr>
        <w:t>Based on the discussions above, we have the following proposal.</w:t>
      </w:r>
    </w:p>
    <w:p>
      <w:pPr>
        <w:rPr>
          <w:b/>
          <w:bCs/>
          <w:lang w:eastAsia="zh-CN"/>
        </w:rPr>
      </w:pPr>
      <w:bookmarkStart w:id="8" w:name="_Toc18413612"/>
      <w:bookmarkStart w:id="9" w:name="_Toc18404543"/>
      <w:bookmarkStart w:id="10" w:name="_Toc18403976"/>
      <w:bookmarkStart w:id="11" w:name="OLE_LINK4"/>
      <w:r>
        <w:rPr>
          <w:b/>
          <w:bCs/>
          <w:lang w:eastAsia="zh-CN"/>
        </w:rPr>
        <w:t xml:space="preserve">Observation </w:t>
      </w:r>
      <w:r>
        <w:rPr>
          <w:rFonts w:hint="default"/>
          <w:b/>
          <w:bCs/>
          <w:lang w:val="en-US" w:eastAsia="zh-CN"/>
        </w:rPr>
        <w:t>1</w:t>
      </w:r>
      <w:r>
        <w:rPr>
          <w:b/>
          <w:bCs/>
          <w:lang w:eastAsia="zh-CN"/>
        </w:rPr>
        <w:t>: The following information can be deduced from related RAN3 agreements:</w:t>
      </w:r>
    </w:p>
    <w:p>
      <w:pPr>
        <w:rPr>
          <w:b/>
          <w:bCs/>
          <w:lang w:eastAsia="zh-CN"/>
        </w:rPr>
      </w:pPr>
      <w:r>
        <w:rPr>
          <w:b/>
          <w:bCs/>
          <w:lang w:eastAsia="zh-CN"/>
        </w:rPr>
        <w:tab/>
      </w:r>
      <w:r>
        <w:rPr>
          <w:b/>
          <w:bCs/>
          <w:lang w:eastAsia="zh-CN"/>
        </w:rPr>
        <w:t>1. NW is responsible for area checking of a QoE configuration.</w:t>
      </w:r>
    </w:p>
    <w:p>
      <w:pPr>
        <w:rPr>
          <w:b/>
          <w:bCs/>
          <w:lang w:eastAsia="zh-CN"/>
        </w:rPr>
      </w:pPr>
      <w:r>
        <w:rPr>
          <w:b/>
          <w:bCs/>
          <w:lang w:eastAsia="zh-CN"/>
        </w:rPr>
        <w:tab/>
      </w:r>
      <w:r>
        <w:rPr>
          <w:b/>
          <w:bCs/>
          <w:lang w:eastAsia="zh-CN"/>
        </w:rPr>
        <w:t xml:space="preserve">2. </w:t>
      </w:r>
      <w:r>
        <w:rPr>
          <w:rFonts w:hint="eastAsia"/>
          <w:b/>
          <w:bCs/>
          <w:lang w:eastAsia="zh-CN"/>
        </w:rPr>
        <w:t xml:space="preserve">NW </w:t>
      </w:r>
      <w:r>
        <w:rPr>
          <w:b/>
          <w:bCs/>
          <w:lang w:eastAsia="zh-CN"/>
        </w:rPr>
        <w:t>can</w:t>
      </w:r>
      <w:r>
        <w:rPr>
          <w:rFonts w:hint="eastAsia"/>
          <w:b/>
          <w:bCs/>
          <w:lang w:eastAsia="zh-CN"/>
        </w:rPr>
        <w:t xml:space="preserve"> release an ongoing QoE configuration when UE moves out of the area scope.</w:t>
      </w:r>
    </w:p>
    <w:p>
      <w:pPr>
        <w:rPr>
          <w:b/>
          <w:bCs/>
          <w:lang w:val="en-US" w:eastAsia="zh-CN"/>
        </w:rPr>
      </w:pPr>
      <w:r>
        <w:rPr>
          <w:b/>
          <w:bCs/>
          <w:lang w:val="en-US" w:eastAsia="zh-CN"/>
        </w:rPr>
        <w:t xml:space="preserve">Observation </w:t>
      </w:r>
      <w:r>
        <w:rPr>
          <w:rFonts w:hint="default"/>
          <w:b/>
          <w:bCs/>
          <w:lang w:val="en-US" w:eastAsia="zh-CN"/>
        </w:rPr>
        <w:t>2</w:t>
      </w:r>
      <w:r>
        <w:rPr>
          <w:b/>
          <w:bCs/>
          <w:lang w:val="en-US" w:eastAsia="zh-CN"/>
        </w:rPr>
        <w:t>: It is low efficient to forward the QoE data generated when UE out of the area scope.</w:t>
      </w:r>
    </w:p>
    <w:p>
      <w:pPr>
        <w:rPr>
          <w:b/>
          <w:bCs/>
          <w:lang w:val="en-US" w:eastAsia="zh-CN"/>
        </w:rPr>
      </w:pPr>
      <w:r>
        <w:rPr>
          <w:b/>
          <w:bCs/>
          <w:lang w:val="en-US" w:eastAsia="zh-CN"/>
        </w:rPr>
        <w:t xml:space="preserve">Observation </w:t>
      </w:r>
      <w:r>
        <w:rPr>
          <w:rFonts w:hint="default"/>
          <w:b/>
          <w:bCs/>
          <w:lang w:val="en-US" w:eastAsia="zh-CN"/>
        </w:rPr>
        <w:t>3</w:t>
      </w:r>
      <w:r>
        <w:rPr>
          <w:b/>
          <w:bCs/>
          <w:lang w:val="en-US" w:eastAsia="zh-CN"/>
        </w:rPr>
        <w:t>: Based on the SA4’s LS, it is clear that the final result of the QoE session will not be impact if some QoE measurement reports are discarded rarely.</w:t>
      </w:r>
    </w:p>
    <w:p>
      <w:pPr>
        <w:rPr>
          <w:b/>
          <w:bCs/>
          <w:lang w:val="en-US" w:eastAsia="zh-CN"/>
        </w:rPr>
      </w:pPr>
      <w:r>
        <w:rPr>
          <w:b/>
          <w:bCs/>
          <w:lang w:val="en-US" w:eastAsia="zh-CN"/>
        </w:rPr>
        <w:t xml:space="preserve">Observation </w:t>
      </w:r>
      <w:r>
        <w:rPr>
          <w:rFonts w:hint="default"/>
          <w:b/>
          <w:bCs/>
          <w:lang w:val="en-US" w:eastAsia="zh-CN"/>
        </w:rPr>
        <w:t>4</w:t>
      </w:r>
      <w:r>
        <w:rPr>
          <w:b/>
          <w:bCs/>
          <w:lang w:val="en-US" w:eastAsia="zh-CN"/>
        </w:rPr>
        <w:t>: For management based QoE, based on the large number of involved UEs, that several UEs do not complete the whole QoE session has little impact on the final result at the NW side.</w:t>
      </w:r>
    </w:p>
    <w:p>
      <w:pPr>
        <w:rPr>
          <w:b/>
          <w:bCs/>
          <w:lang w:val="en-US" w:eastAsia="zh-CN"/>
        </w:rPr>
      </w:pPr>
      <w:r>
        <w:rPr>
          <w:b/>
          <w:bCs/>
          <w:lang w:val="en-US" w:eastAsia="zh-CN"/>
        </w:rPr>
        <w:t xml:space="preserve">Observation </w:t>
      </w:r>
      <w:r>
        <w:rPr>
          <w:rFonts w:hint="default"/>
          <w:b/>
          <w:bCs/>
          <w:lang w:val="en-US" w:eastAsia="zh-CN"/>
        </w:rPr>
        <w:t>5</w:t>
      </w:r>
      <w:r>
        <w:rPr>
          <w:b/>
          <w:bCs/>
          <w:lang w:val="en-US" w:eastAsia="zh-CN"/>
        </w:rPr>
        <w:t xml:space="preserve">: For signaling based QoE, with an appropriate area scope, a UE can stay in the area scope and transmit all QoE collected data during the whole QoE session. </w:t>
      </w:r>
    </w:p>
    <w:p>
      <w:pPr>
        <w:rPr>
          <w:b/>
          <w:bCs/>
          <w:lang w:val="en-US" w:eastAsia="zh-CN"/>
        </w:rPr>
      </w:pPr>
      <w:r>
        <w:rPr>
          <w:b/>
          <w:bCs/>
          <w:lang w:val="en-US" w:eastAsia="zh-CN"/>
        </w:rPr>
        <w:t xml:space="preserve">Proposal </w:t>
      </w:r>
      <w:r>
        <w:rPr>
          <w:rFonts w:hint="default"/>
          <w:b/>
          <w:bCs/>
          <w:lang w:val="en-US" w:eastAsia="zh-CN"/>
        </w:rPr>
        <w:t>1</w:t>
      </w:r>
      <w:r>
        <w:rPr>
          <w:b/>
          <w:bCs/>
          <w:lang w:val="en-US" w:eastAsia="zh-CN"/>
        </w:rPr>
        <w:t xml:space="preserve">: It is proposed for RAN2 to agree that NW sends the release indication to UE when UE exits the area. Then the UE shall release the related QoE configuration regardless of the measurement status. </w:t>
      </w:r>
    </w:p>
    <w:p>
      <w:pPr>
        <w:rPr>
          <w:b/>
          <w:bCs/>
          <w:lang w:val="en-US" w:eastAsia="zh-CN"/>
        </w:rPr>
      </w:pPr>
      <w:r>
        <w:rPr>
          <w:b/>
          <w:bCs/>
          <w:lang w:val="en-US" w:eastAsia="zh-CN"/>
        </w:rPr>
        <w:t xml:space="preserve">Proposal </w:t>
      </w:r>
      <w:r>
        <w:rPr>
          <w:rFonts w:hint="default"/>
          <w:b/>
          <w:bCs/>
          <w:lang w:val="en-US" w:eastAsia="zh-CN"/>
        </w:rPr>
        <w:t>2</w:t>
      </w:r>
      <w:r>
        <w:rPr>
          <w:b/>
          <w:bCs/>
          <w:lang w:val="en-US" w:eastAsia="zh-CN"/>
        </w:rPr>
        <w:t>: It is proposed for RAN2 to introduce UE capability for each service types for legacy NR QoE and introduce 1 UE capability for RAN visible QoE.</w:t>
      </w:r>
    </w:p>
    <w:p>
      <w:pPr>
        <w:rPr>
          <w:rFonts w:hint="eastAsia"/>
          <w:b/>
          <w:bCs/>
          <w:lang w:val="sv-SE" w:eastAsia="zh-CN"/>
        </w:rPr>
      </w:pPr>
      <w:r>
        <w:rPr>
          <w:b/>
          <w:bCs/>
          <w:lang w:val="sv-SE" w:eastAsia="zh-CN"/>
        </w:rPr>
        <w:t xml:space="preserve">Proposal </w:t>
      </w:r>
      <w:r>
        <w:rPr>
          <w:rFonts w:hint="default"/>
          <w:b/>
          <w:bCs/>
          <w:lang w:val="en-US" w:eastAsia="zh-CN"/>
        </w:rPr>
        <w:t>3</w:t>
      </w:r>
      <w:r>
        <w:rPr>
          <w:b/>
          <w:bCs/>
          <w:lang w:val="sv-SE" w:eastAsia="zh-CN"/>
        </w:rPr>
        <w:t>: It is not allowed to add multiple QoE reports in one RRC message.</w:t>
      </w:r>
    </w:p>
    <w:p>
      <w:pPr>
        <w:rPr>
          <w:rFonts w:eastAsia="宋体"/>
          <w:b/>
          <w:bCs/>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pPr>
        <w:numPr>
          <w:ilvl w:val="0"/>
          <w:numId w:val="7"/>
        </w:numPr>
        <w:spacing w:line="240" w:lineRule="auto"/>
        <w:rPr>
          <w:rFonts w:eastAsia="宋体" w:cs="Arial"/>
          <w:highlight w:val="none"/>
          <w:lang w:val="en-US" w:eastAsia="zh-CN"/>
        </w:rPr>
      </w:pPr>
      <w:bookmarkStart w:id="12" w:name="OLE_LINK3"/>
      <w:r>
        <w:rPr>
          <w:rFonts w:hint="eastAsia" w:eastAsia="宋体" w:cs="Arial"/>
          <w:highlight w:val="none"/>
          <w:lang w:val="en-US" w:eastAsia="zh-CN"/>
        </w:rPr>
        <w:t>Chairman note for RAN2-11</w:t>
      </w:r>
      <w:r>
        <w:rPr>
          <w:rFonts w:hint="default" w:eastAsia="宋体" w:cs="Arial"/>
          <w:highlight w:val="none"/>
          <w:lang w:val="en-US" w:eastAsia="zh-CN"/>
        </w:rPr>
        <w:t>6</w:t>
      </w:r>
      <w:r>
        <w:rPr>
          <w:rFonts w:hint="eastAsia" w:eastAsia="宋体" w:cs="Arial"/>
          <w:highlight w:val="none"/>
          <w:lang w:val="en-US" w:eastAsia="zh-CN"/>
        </w:rPr>
        <w:t>-e.</w:t>
      </w:r>
    </w:p>
    <w:p>
      <w:pPr>
        <w:pStyle w:val="53"/>
        <w:numPr>
          <w:ilvl w:val="0"/>
          <w:numId w:val="7"/>
        </w:numPr>
        <w:spacing w:before="75" w:beforeAutospacing="0" w:after="75" w:afterAutospacing="0" w:line="240" w:lineRule="auto"/>
        <w:rPr>
          <w:rFonts w:cs="Arial"/>
          <w:color w:val="000000"/>
          <w:sz w:val="21"/>
          <w:highlight w:val="none"/>
        </w:rPr>
      </w:pPr>
      <w:r>
        <w:rPr>
          <w:rFonts w:hint="eastAsia" w:eastAsia="宋体" w:cs="Arial"/>
          <w:color w:val="000000"/>
          <w:sz w:val="21"/>
          <w:highlight w:val="none"/>
          <w:lang w:val="en-US" w:eastAsia="zh-CN"/>
        </w:rPr>
        <w:t>3GPP T</w:t>
      </w:r>
      <w:r>
        <w:rPr>
          <w:rFonts w:eastAsia="宋体" w:cs="Arial"/>
          <w:color w:val="000000"/>
          <w:sz w:val="21"/>
          <w:highlight w:val="none"/>
          <w:lang w:val="en-US" w:eastAsia="zh-CN"/>
        </w:rPr>
        <w:t>S 28.405</w:t>
      </w:r>
      <w:r>
        <w:rPr>
          <w:rFonts w:hint="eastAsia" w:eastAsia="宋体" w:cs="Arial"/>
          <w:color w:val="000000"/>
          <w:sz w:val="21"/>
          <w:highlight w:val="none"/>
          <w:lang w:val="en-US" w:eastAsia="zh-CN"/>
        </w:rPr>
        <w:t xml:space="preserve">, </w:t>
      </w:r>
      <w:r>
        <w:rPr>
          <w:rFonts w:eastAsia="宋体" w:cs="Arial"/>
          <w:color w:val="000000"/>
          <w:sz w:val="21"/>
          <w:highlight w:val="none"/>
          <w:lang w:val="en-US" w:eastAsia="zh-CN"/>
        </w:rPr>
        <w:t>“</w:t>
      </w:r>
      <w:r>
        <w:rPr>
          <w:rFonts w:hint="eastAsia" w:eastAsia="宋体" w:cs="Arial"/>
          <w:color w:val="000000"/>
          <w:sz w:val="21"/>
          <w:highlight w:val="none"/>
          <w:lang w:val="en-US" w:eastAsia="zh-CN"/>
        </w:rPr>
        <w:t>Quality of Experience (QoE) measurement collection;</w:t>
      </w:r>
      <w:r>
        <w:rPr>
          <w:rFonts w:eastAsia="宋体" w:cs="Arial"/>
          <w:color w:val="000000"/>
          <w:sz w:val="21"/>
          <w:highlight w:val="none"/>
          <w:lang w:val="en-US" w:eastAsia="zh-CN"/>
        </w:rPr>
        <w:t xml:space="preserve"> </w:t>
      </w:r>
      <w:r>
        <w:rPr>
          <w:rFonts w:hint="eastAsia" w:eastAsia="宋体" w:cs="Arial"/>
          <w:color w:val="000000"/>
          <w:sz w:val="21"/>
          <w:highlight w:val="none"/>
          <w:lang w:val="en-US" w:eastAsia="zh-CN"/>
        </w:rPr>
        <w:t>Control and configuration</w:t>
      </w:r>
      <w:r>
        <w:rPr>
          <w:rFonts w:eastAsia="宋体" w:cs="Arial"/>
          <w:color w:val="000000"/>
          <w:sz w:val="21"/>
          <w:highlight w:val="none"/>
          <w:lang w:val="en-US" w:eastAsia="zh-CN"/>
        </w:rPr>
        <w:t>”</w:t>
      </w:r>
      <w:r>
        <w:rPr>
          <w:rFonts w:hint="eastAsia" w:eastAsia="宋体" w:cs="Arial"/>
          <w:color w:val="000000"/>
          <w:sz w:val="21"/>
          <w:highlight w:val="none"/>
          <w:lang w:val="en-US" w:eastAsia="zh-CN"/>
        </w:rPr>
        <w:t>, Release 1</w:t>
      </w:r>
      <w:r>
        <w:rPr>
          <w:rFonts w:eastAsia="宋体" w:cs="Arial"/>
          <w:color w:val="000000"/>
          <w:sz w:val="21"/>
          <w:highlight w:val="none"/>
          <w:lang w:val="en-US" w:eastAsia="zh-CN"/>
        </w:rPr>
        <w:t>6</w:t>
      </w:r>
      <w:r>
        <w:rPr>
          <w:rFonts w:hint="eastAsia" w:eastAsia="宋体" w:cs="Arial"/>
          <w:color w:val="000000"/>
          <w:sz w:val="21"/>
          <w:highlight w:val="none"/>
          <w:lang w:val="en-US" w:eastAsia="zh-CN"/>
        </w:rPr>
        <w:t>,v</w:t>
      </w:r>
      <w:r>
        <w:rPr>
          <w:rFonts w:eastAsia="宋体" w:cs="Arial"/>
          <w:color w:val="000000"/>
          <w:sz w:val="21"/>
          <w:highlight w:val="none"/>
          <w:lang w:val="en-US" w:eastAsia="zh-CN"/>
        </w:rPr>
        <w:t>16</w:t>
      </w:r>
      <w:r>
        <w:rPr>
          <w:rFonts w:hint="eastAsia" w:eastAsia="宋体" w:cs="Arial"/>
          <w:color w:val="000000"/>
          <w:sz w:val="21"/>
          <w:highlight w:val="none"/>
          <w:lang w:val="en-US" w:eastAsia="zh-CN"/>
        </w:rPr>
        <w:t>.</w:t>
      </w:r>
      <w:r>
        <w:rPr>
          <w:rFonts w:eastAsia="宋体" w:cs="Arial"/>
          <w:color w:val="000000"/>
          <w:sz w:val="21"/>
          <w:highlight w:val="none"/>
          <w:lang w:val="en-US" w:eastAsia="zh-CN"/>
        </w:rPr>
        <w:t>0</w:t>
      </w:r>
      <w:r>
        <w:rPr>
          <w:rFonts w:hint="eastAsia" w:eastAsia="宋体" w:cs="Arial"/>
          <w:color w:val="000000"/>
          <w:sz w:val="21"/>
          <w:highlight w:val="none"/>
          <w:lang w:val="en-US" w:eastAsia="zh-CN"/>
        </w:rPr>
        <w:t xml:space="preserve">.0, </w:t>
      </w:r>
      <w:r>
        <w:rPr>
          <w:rFonts w:eastAsia="宋体" w:cs="Arial"/>
          <w:color w:val="000000"/>
          <w:sz w:val="21"/>
          <w:highlight w:val="none"/>
          <w:lang w:val="en-US" w:eastAsia="zh-CN"/>
        </w:rPr>
        <w:t>Jul</w:t>
      </w:r>
      <w:r>
        <w:rPr>
          <w:rFonts w:hint="eastAsia" w:eastAsia="宋体" w:cs="Arial"/>
          <w:color w:val="000000"/>
          <w:sz w:val="21"/>
          <w:highlight w:val="none"/>
          <w:lang w:val="en-US" w:eastAsia="zh-CN"/>
        </w:rPr>
        <w:t>, 2020.</w:t>
      </w:r>
    </w:p>
    <w:p>
      <w:pPr>
        <w:pStyle w:val="53"/>
        <w:numPr>
          <w:ilvl w:val="0"/>
          <w:numId w:val="7"/>
        </w:numPr>
        <w:spacing w:before="75" w:beforeAutospacing="0" w:after="75" w:afterAutospacing="0" w:line="240" w:lineRule="auto"/>
        <w:rPr>
          <w:rFonts w:cs="Arial"/>
          <w:color w:val="000000"/>
          <w:highlight w:val="none"/>
        </w:rPr>
      </w:pPr>
      <w:r>
        <w:rPr>
          <w:rFonts w:hint="eastAsia" w:eastAsia="宋体" w:cs="Arial"/>
          <w:color w:val="000000"/>
          <w:sz w:val="21"/>
          <w:highlight w:val="none"/>
          <w:lang w:val="en-US" w:eastAsia="zh-CN"/>
        </w:rPr>
        <w:t>3GPP T</w:t>
      </w:r>
      <w:r>
        <w:rPr>
          <w:rFonts w:eastAsia="宋体" w:cs="Arial"/>
          <w:color w:val="000000"/>
          <w:sz w:val="21"/>
          <w:highlight w:val="none"/>
          <w:lang w:val="en-US" w:eastAsia="zh-CN"/>
        </w:rPr>
        <w:t>S 26.247</w:t>
      </w:r>
      <w:r>
        <w:rPr>
          <w:rFonts w:hint="eastAsia" w:eastAsia="宋体" w:cs="Arial"/>
          <w:color w:val="000000"/>
          <w:sz w:val="21"/>
          <w:highlight w:val="none"/>
          <w:lang w:val="en-US" w:eastAsia="zh-CN"/>
        </w:rPr>
        <w:t xml:space="preserve">, </w:t>
      </w:r>
      <w:r>
        <w:rPr>
          <w:rFonts w:eastAsia="宋体" w:cs="Arial"/>
          <w:color w:val="000000"/>
          <w:sz w:val="21"/>
          <w:highlight w:val="none"/>
          <w:lang w:val="en-US" w:eastAsia="zh-CN"/>
        </w:rPr>
        <w:t>“</w:t>
      </w:r>
      <w:r>
        <w:rPr>
          <w:highlight w:val="none"/>
        </w:rPr>
        <w:t>Dynamic Adaptive Streaming over HTTP (3GP-DASH)</w:t>
      </w:r>
      <w:r>
        <w:rPr>
          <w:rFonts w:eastAsia="宋体" w:cs="Arial"/>
          <w:color w:val="000000"/>
          <w:sz w:val="21"/>
          <w:highlight w:val="none"/>
          <w:lang w:val="en-US" w:eastAsia="zh-CN"/>
        </w:rPr>
        <w:t>”</w:t>
      </w:r>
      <w:r>
        <w:rPr>
          <w:rFonts w:hint="eastAsia" w:eastAsia="宋体" w:cs="Arial"/>
          <w:color w:val="000000"/>
          <w:sz w:val="21"/>
          <w:highlight w:val="none"/>
          <w:lang w:val="en-US" w:eastAsia="zh-CN"/>
        </w:rPr>
        <w:t>, Release 1</w:t>
      </w:r>
      <w:r>
        <w:rPr>
          <w:rFonts w:eastAsia="宋体" w:cs="Arial"/>
          <w:color w:val="000000"/>
          <w:sz w:val="21"/>
          <w:highlight w:val="none"/>
          <w:lang w:val="en-US" w:eastAsia="zh-CN"/>
        </w:rPr>
        <w:t>6</w:t>
      </w:r>
      <w:r>
        <w:rPr>
          <w:rFonts w:hint="eastAsia" w:eastAsia="宋体" w:cs="Arial"/>
          <w:color w:val="000000"/>
          <w:sz w:val="21"/>
          <w:highlight w:val="none"/>
          <w:lang w:val="en-US" w:eastAsia="zh-CN"/>
        </w:rPr>
        <w:t>,v</w:t>
      </w:r>
      <w:r>
        <w:rPr>
          <w:rFonts w:eastAsia="宋体" w:cs="Arial"/>
          <w:color w:val="000000"/>
          <w:sz w:val="21"/>
          <w:highlight w:val="none"/>
          <w:lang w:val="en-US" w:eastAsia="zh-CN"/>
        </w:rPr>
        <w:t>16</w:t>
      </w:r>
      <w:r>
        <w:rPr>
          <w:rFonts w:hint="eastAsia" w:eastAsia="宋体" w:cs="Arial"/>
          <w:color w:val="000000"/>
          <w:sz w:val="21"/>
          <w:highlight w:val="none"/>
          <w:lang w:val="en-US" w:eastAsia="zh-CN"/>
        </w:rPr>
        <w:t>.</w:t>
      </w:r>
      <w:r>
        <w:rPr>
          <w:rFonts w:eastAsia="宋体" w:cs="Arial"/>
          <w:color w:val="000000"/>
          <w:sz w:val="21"/>
          <w:highlight w:val="none"/>
          <w:lang w:val="en-US" w:eastAsia="zh-CN"/>
        </w:rPr>
        <w:t>3</w:t>
      </w:r>
      <w:r>
        <w:rPr>
          <w:rFonts w:hint="eastAsia" w:eastAsia="宋体" w:cs="Arial"/>
          <w:color w:val="000000"/>
          <w:sz w:val="21"/>
          <w:highlight w:val="none"/>
          <w:lang w:val="en-US" w:eastAsia="zh-CN"/>
        </w:rPr>
        <w:t xml:space="preserve">.0, </w:t>
      </w:r>
      <w:r>
        <w:rPr>
          <w:rFonts w:eastAsia="宋体" w:cs="Arial"/>
          <w:color w:val="000000"/>
          <w:sz w:val="21"/>
          <w:highlight w:val="none"/>
          <w:lang w:val="en-US" w:eastAsia="zh-CN"/>
        </w:rPr>
        <w:t>Jun</w:t>
      </w:r>
      <w:r>
        <w:rPr>
          <w:rFonts w:hint="eastAsia" w:eastAsia="宋体" w:cs="Arial"/>
          <w:color w:val="000000"/>
          <w:sz w:val="21"/>
          <w:highlight w:val="none"/>
          <w:lang w:val="en-US" w:eastAsia="zh-CN"/>
        </w:rPr>
        <w:t>, 2020.</w:t>
      </w:r>
      <w:bookmarkEnd w:id="11"/>
      <w:bookmarkEnd w:id="12"/>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87B"/>
    <w:rsid w:val="00042E6F"/>
    <w:rsid w:val="00043923"/>
    <w:rsid w:val="00043FCA"/>
    <w:rsid w:val="00044EB3"/>
    <w:rsid w:val="00045EDE"/>
    <w:rsid w:val="00046E3D"/>
    <w:rsid w:val="000513C0"/>
    <w:rsid w:val="000563ED"/>
    <w:rsid w:val="000603D6"/>
    <w:rsid w:val="00063276"/>
    <w:rsid w:val="0007093A"/>
    <w:rsid w:val="00071D0A"/>
    <w:rsid w:val="0007205B"/>
    <w:rsid w:val="00072B7E"/>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413"/>
    <w:rsid w:val="0009587E"/>
    <w:rsid w:val="00095918"/>
    <w:rsid w:val="000969D7"/>
    <w:rsid w:val="00097209"/>
    <w:rsid w:val="00097368"/>
    <w:rsid w:val="0009777E"/>
    <w:rsid w:val="000A04A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2F19"/>
    <w:rsid w:val="000D46DC"/>
    <w:rsid w:val="000E1125"/>
    <w:rsid w:val="000E1993"/>
    <w:rsid w:val="000E1EF3"/>
    <w:rsid w:val="000E3B8A"/>
    <w:rsid w:val="000F0A49"/>
    <w:rsid w:val="000F0A7B"/>
    <w:rsid w:val="000F4CFF"/>
    <w:rsid w:val="000F4D2A"/>
    <w:rsid w:val="000F5C94"/>
    <w:rsid w:val="00100030"/>
    <w:rsid w:val="00101A67"/>
    <w:rsid w:val="00111739"/>
    <w:rsid w:val="00111C96"/>
    <w:rsid w:val="00111CE0"/>
    <w:rsid w:val="00111DF0"/>
    <w:rsid w:val="001135C5"/>
    <w:rsid w:val="00114117"/>
    <w:rsid w:val="0011413B"/>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608C"/>
    <w:rsid w:val="00147740"/>
    <w:rsid w:val="00150BAB"/>
    <w:rsid w:val="0015372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054"/>
    <w:rsid w:val="001A6AFD"/>
    <w:rsid w:val="001B1C33"/>
    <w:rsid w:val="001B21A1"/>
    <w:rsid w:val="001B337C"/>
    <w:rsid w:val="001B5AE5"/>
    <w:rsid w:val="001B7027"/>
    <w:rsid w:val="001B7C67"/>
    <w:rsid w:val="001C0CED"/>
    <w:rsid w:val="001C1105"/>
    <w:rsid w:val="001C17C6"/>
    <w:rsid w:val="001C22DE"/>
    <w:rsid w:val="001C2385"/>
    <w:rsid w:val="001C2AF5"/>
    <w:rsid w:val="001C2B3C"/>
    <w:rsid w:val="001C3C4C"/>
    <w:rsid w:val="001C6C39"/>
    <w:rsid w:val="001C7F10"/>
    <w:rsid w:val="001D2914"/>
    <w:rsid w:val="001D2FB0"/>
    <w:rsid w:val="001D75F3"/>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788"/>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7136"/>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3F00"/>
    <w:rsid w:val="002F5517"/>
    <w:rsid w:val="00300EE0"/>
    <w:rsid w:val="003031CE"/>
    <w:rsid w:val="003043E2"/>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6B5"/>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31C6"/>
    <w:rsid w:val="003546A6"/>
    <w:rsid w:val="00354915"/>
    <w:rsid w:val="00354E6F"/>
    <w:rsid w:val="00355E51"/>
    <w:rsid w:val="003577BE"/>
    <w:rsid w:val="00362FCF"/>
    <w:rsid w:val="003645A1"/>
    <w:rsid w:val="0036468F"/>
    <w:rsid w:val="003658D8"/>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2F8"/>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C674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E14"/>
    <w:rsid w:val="003E6BF7"/>
    <w:rsid w:val="003E6F50"/>
    <w:rsid w:val="003E7C95"/>
    <w:rsid w:val="003E7D68"/>
    <w:rsid w:val="003F1437"/>
    <w:rsid w:val="003F20AF"/>
    <w:rsid w:val="003F3365"/>
    <w:rsid w:val="003F37FF"/>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59BF"/>
    <w:rsid w:val="004228A3"/>
    <w:rsid w:val="004229AC"/>
    <w:rsid w:val="00423CC3"/>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542"/>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060"/>
    <w:rsid w:val="0049176F"/>
    <w:rsid w:val="00492EA5"/>
    <w:rsid w:val="00493247"/>
    <w:rsid w:val="00493650"/>
    <w:rsid w:val="00494495"/>
    <w:rsid w:val="00494981"/>
    <w:rsid w:val="00495E19"/>
    <w:rsid w:val="0049613E"/>
    <w:rsid w:val="0049650D"/>
    <w:rsid w:val="004A0053"/>
    <w:rsid w:val="004A014A"/>
    <w:rsid w:val="004A0572"/>
    <w:rsid w:val="004A1051"/>
    <w:rsid w:val="004A1B41"/>
    <w:rsid w:val="004A2687"/>
    <w:rsid w:val="004A402F"/>
    <w:rsid w:val="004A59EE"/>
    <w:rsid w:val="004A759D"/>
    <w:rsid w:val="004B12D7"/>
    <w:rsid w:val="004B2B05"/>
    <w:rsid w:val="004B2BBA"/>
    <w:rsid w:val="004B3CCE"/>
    <w:rsid w:val="004B5502"/>
    <w:rsid w:val="004B71F4"/>
    <w:rsid w:val="004B76B6"/>
    <w:rsid w:val="004C09FF"/>
    <w:rsid w:val="004C0B5E"/>
    <w:rsid w:val="004C16C3"/>
    <w:rsid w:val="004C16F8"/>
    <w:rsid w:val="004C21A1"/>
    <w:rsid w:val="004C6041"/>
    <w:rsid w:val="004C6366"/>
    <w:rsid w:val="004C63EE"/>
    <w:rsid w:val="004C7E8F"/>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0FF"/>
    <w:rsid w:val="005214BE"/>
    <w:rsid w:val="005219AA"/>
    <w:rsid w:val="005223EA"/>
    <w:rsid w:val="00522736"/>
    <w:rsid w:val="00522F3B"/>
    <w:rsid w:val="00524965"/>
    <w:rsid w:val="00525585"/>
    <w:rsid w:val="00525811"/>
    <w:rsid w:val="00525BAC"/>
    <w:rsid w:val="0052657B"/>
    <w:rsid w:val="00534869"/>
    <w:rsid w:val="0053653D"/>
    <w:rsid w:val="005371D2"/>
    <w:rsid w:val="00537528"/>
    <w:rsid w:val="005417DB"/>
    <w:rsid w:val="00542A44"/>
    <w:rsid w:val="00542ED7"/>
    <w:rsid w:val="00545A76"/>
    <w:rsid w:val="005505EB"/>
    <w:rsid w:val="005506C7"/>
    <w:rsid w:val="005514AA"/>
    <w:rsid w:val="00553234"/>
    <w:rsid w:val="00553A61"/>
    <w:rsid w:val="0055402E"/>
    <w:rsid w:val="0055689F"/>
    <w:rsid w:val="005604D2"/>
    <w:rsid w:val="00560AD9"/>
    <w:rsid w:val="00561349"/>
    <w:rsid w:val="00561E2F"/>
    <w:rsid w:val="00562D9C"/>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555"/>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5C8E"/>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4760"/>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514"/>
    <w:rsid w:val="006C2D21"/>
    <w:rsid w:val="006C5CB0"/>
    <w:rsid w:val="006C60A2"/>
    <w:rsid w:val="006C60B2"/>
    <w:rsid w:val="006C6193"/>
    <w:rsid w:val="006D0533"/>
    <w:rsid w:val="006D5430"/>
    <w:rsid w:val="006D63EF"/>
    <w:rsid w:val="006D783C"/>
    <w:rsid w:val="006D79B7"/>
    <w:rsid w:val="006D7C19"/>
    <w:rsid w:val="006D7CA8"/>
    <w:rsid w:val="006E133C"/>
    <w:rsid w:val="006E2FE4"/>
    <w:rsid w:val="006E36C6"/>
    <w:rsid w:val="006E3B73"/>
    <w:rsid w:val="006E4123"/>
    <w:rsid w:val="006E7570"/>
    <w:rsid w:val="006F0E3E"/>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509"/>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4D0B"/>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1A2"/>
    <w:rsid w:val="00803B06"/>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09D"/>
    <w:rsid w:val="0085338A"/>
    <w:rsid w:val="00853419"/>
    <w:rsid w:val="00855CBD"/>
    <w:rsid w:val="00856F99"/>
    <w:rsid w:val="00857F63"/>
    <w:rsid w:val="008609B3"/>
    <w:rsid w:val="00860FE6"/>
    <w:rsid w:val="00864140"/>
    <w:rsid w:val="00864D17"/>
    <w:rsid w:val="008702BF"/>
    <w:rsid w:val="008707C6"/>
    <w:rsid w:val="008719DB"/>
    <w:rsid w:val="00871FA9"/>
    <w:rsid w:val="00872250"/>
    <w:rsid w:val="008731B8"/>
    <w:rsid w:val="00873D16"/>
    <w:rsid w:val="008757FA"/>
    <w:rsid w:val="008768D2"/>
    <w:rsid w:val="00876B45"/>
    <w:rsid w:val="00880F6C"/>
    <w:rsid w:val="0088223F"/>
    <w:rsid w:val="00883BE3"/>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8F7F38"/>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2F6"/>
    <w:rsid w:val="0096459F"/>
    <w:rsid w:val="009647C5"/>
    <w:rsid w:val="0096604F"/>
    <w:rsid w:val="00966280"/>
    <w:rsid w:val="009663C5"/>
    <w:rsid w:val="00970E5A"/>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C6A61"/>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48E"/>
    <w:rsid w:val="00A04BEB"/>
    <w:rsid w:val="00A04DE2"/>
    <w:rsid w:val="00A05412"/>
    <w:rsid w:val="00A117FD"/>
    <w:rsid w:val="00A11A20"/>
    <w:rsid w:val="00A11DFB"/>
    <w:rsid w:val="00A11F1E"/>
    <w:rsid w:val="00A14BA5"/>
    <w:rsid w:val="00A14E89"/>
    <w:rsid w:val="00A15C80"/>
    <w:rsid w:val="00A15DA4"/>
    <w:rsid w:val="00A20607"/>
    <w:rsid w:val="00A20B6F"/>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61EA"/>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67E69"/>
    <w:rsid w:val="00A727DA"/>
    <w:rsid w:val="00A72A3A"/>
    <w:rsid w:val="00A72A62"/>
    <w:rsid w:val="00A7440B"/>
    <w:rsid w:val="00A74F48"/>
    <w:rsid w:val="00A756EC"/>
    <w:rsid w:val="00A815A9"/>
    <w:rsid w:val="00A81A3A"/>
    <w:rsid w:val="00A831D7"/>
    <w:rsid w:val="00A83E6C"/>
    <w:rsid w:val="00A84AFB"/>
    <w:rsid w:val="00A84D8D"/>
    <w:rsid w:val="00A854F8"/>
    <w:rsid w:val="00A857D2"/>
    <w:rsid w:val="00A900AE"/>
    <w:rsid w:val="00A9330E"/>
    <w:rsid w:val="00A93FD6"/>
    <w:rsid w:val="00A9447A"/>
    <w:rsid w:val="00A95040"/>
    <w:rsid w:val="00A95088"/>
    <w:rsid w:val="00A957EB"/>
    <w:rsid w:val="00A960AC"/>
    <w:rsid w:val="00AA3298"/>
    <w:rsid w:val="00AA41AA"/>
    <w:rsid w:val="00AA435D"/>
    <w:rsid w:val="00AA4C99"/>
    <w:rsid w:val="00AA6892"/>
    <w:rsid w:val="00AA72CC"/>
    <w:rsid w:val="00AA76B7"/>
    <w:rsid w:val="00AB049C"/>
    <w:rsid w:val="00AB1D7B"/>
    <w:rsid w:val="00AB1EA3"/>
    <w:rsid w:val="00AB3399"/>
    <w:rsid w:val="00AB3D67"/>
    <w:rsid w:val="00AB770B"/>
    <w:rsid w:val="00AC173D"/>
    <w:rsid w:val="00AC3ACD"/>
    <w:rsid w:val="00AC4276"/>
    <w:rsid w:val="00AC464D"/>
    <w:rsid w:val="00AC51E8"/>
    <w:rsid w:val="00AC70FC"/>
    <w:rsid w:val="00AD0CA9"/>
    <w:rsid w:val="00AD1C5F"/>
    <w:rsid w:val="00AD2407"/>
    <w:rsid w:val="00AD374C"/>
    <w:rsid w:val="00AD3E16"/>
    <w:rsid w:val="00AD5FBC"/>
    <w:rsid w:val="00AD62D8"/>
    <w:rsid w:val="00AD6B6A"/>
    <w:rsid w:val="00AD7273"/>
    <w:rsid w:val="00AE5146"/>
    <w:rsid w:val="00AE55C5"/>
    <w:rsid w:val="00AE5A4F"/>
    <w:rsid w:val="00AE7B16"/>
    <w:rsid w:val="00AF0B65"/>
    <w:rsid w:val="00AF31BD"/>
    <w:rsid w:val="00AF5FFE"/>
    <w:rsid w:val="00AF75DB"/>
    <w:rsid w:val="00AF7EEF"/>
    <w:rsid w:val="00B002E0"/>
    <w:rsid w:val="00B0053F"/>
    <w:rsid w:val="00B0132A"/>
    <w:rsid w:val="00B029C1"/>
    <w:rsid w:val="00B0354C"/>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6502"/>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449B"/>
    <w:rsid w:val="00B87D03"/>
    <w:rsid w:val="00B909E8"/>
    <w:rsid w:val="00B916CC"/>
    <w:rsid w:val="00B9259A"/>
    <w:rsid w:val="00B928EE"/>
    <w:rsid w:val="00B92AD5"/>
    <w:rsid w:val="00B94BA4"/>
    <w:rsid w:val="00B96D07"/>
    <w:rsid w:val="00B97DB5"/>
    <w:rsid w:val="00BA27F3"/>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683D"/>
    <w:rsid w:val="00C67235"/>
    <w:rsid w:val="00C67382"/>
    <w:rsid w:val="00C720C8"/>
    <w:rsid w:val="00C72471"/>
    <w:rsid w:val="00C72B4C"/>
    <w:rsid w:val="00C73AE5"/>
    <w:rsid w:val="00C76180"/>
    <w:rsid w:val="00C76F2B"/>
    <w:rsid w:val="00C77BC1"/>
    <w:rsid w:val="00C8086B"/>
    <w:rsid w:val="00C82D97"/>
    <w:rsid w:val="00C84D14"/>
    <w:rsid w:val="00C91C45"/>
    <w:rsid w:val="00C9369C"/>
    <w:rsid w:val="00C93EDD"/>
    <w:rsid w:val="00C953EF"/>
    <w:rsid w:val="00C953F6"/>
    <w:rsid w:val="00C96816"/>
    <w:rsid w:val="00C97FD3"/>
    <w:rsid w:val="00CA0363"/>
    <w:rsid w:val="00CA06A4"/>
    <w:rsid w:val="00CA1C15"/>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80F"/>
    <w:rsid w:val="00D029CB"/>
    <w:rsid w:val="00D033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B1"/>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82D"/>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BC8"/>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2D68"/>
    <w:rsid w:val="00DD34DF"/>
    <w:rsid w:val="00DD34FE"/>
    <w:rsid w:val="00DD42F9"/>
    <w:rsid w:val="00DE1B4A"/>
    <w:rsid w:val="00DE26EF"/>
    <w:rsid w:val="00DE2CFF"/>
    <w:rsid w:val="00DE3330"/>
    <w:rsid w:val="00DE5939"/>
    <w:rsid w:val="00DE5E57"/>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2DC5"/>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0C0E"/>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3C23"/>
    <w:rsid w:val="00E943EE"/>
    <w:rsid w:val="00E94456"/>
    <w:rsid w:val="00E94FE2"/>
    <w:rsid w:val="00E95E39"/>
    <w:rsid w:val="00E9727E"/>
    <w:rsid w:val="00E97B23"/>
    <w:rsid w:val="00EA0385"/>
    <w:rsid w:val="00EA3791"/>
    <w:rsid w:val="00EA3FC2"/>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CB"/>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4A89"/>
    <w:rsid w:val="00F15414"/>
    <w:rsid w:val="00F16AB3"/>
    <w:rsid w:val="00F202B4"/>
    <w:rsid w:val="00F25BEF"/>
    <w:rsid w:val="00F270BA"/>
    <w:rsid w:val="00F308AF"/>
    <w:rsid w:val="00F32911"/>
    <w:rsid w:val="00F32B9B"/>
    <w:rsid w:val="00F33320"/>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1BCA"/>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39BF"/>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1819"/>
    <w:rsid w:val="00FB25A0"/>
    <w:rsid w:val="00FB2D7C"/>
    <w:rsid w:val="00FB412F"/>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E7DCD"/>
    <w:rsid w:val="00FF0471"/>
    <w:rsid w:val="00FF0771"/>
    <w:rsid w:val="00FF0AAD"/>
    <w:rsid w:val="00FF29CE"/>
    <w:rsid w:val="00FF2E7C"/>
    <w:rsid w:val="00FF33F4"/>
    <w:rsid w:val="00FF3A1B"/>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473134F"/>
    <w:rsid w:val="04F16D92"/>
    <w:rsid w:val="052848EA"/>
    <w:rsid w:val="05AE40A8"/>
    <w:rsid w:val="05D1293B"/>
    <w:rsid w:val="06270E5D"/>
    <w:rsid w:val="06301129"/>
    <w:rsid w:val="065A1065"/>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A3638E"/>
    <w:rsid w:val="09AC5B6F"/>
    <w:rsid w:val="09CB5A6C"/>
    <w:rsid w:val="09F00BD8"/>
    <w:rsid w:val="09F318B6"/>
    <w:rsid w:val="09FD6E02"/>
    <w:rsid w:val="0A1A74F5"/>
    <w:rsid w:val="0A1D73FF"/>
    <w:rsid w:val="0A697E61"/>
    <w:rsid w:val="0A750F68"/>
    <w:rsid w:val="0AE61C59"/>
    <w:rsid w:val="0AEC356E"/>
    <w:rsid w:val="0B545B44"/>
    <w:rsid w:val="0BC81D1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3643CD"/>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BF0200"/>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51465"/>
    <w:rsid w:val="3C893061"/>
    <w:rsid w:val="3C8C09A7"/>
    <w:rsid w:val="3CB674D9"/>
    <w:rsid w:val="3CC4206D"/>
    <w:rsid w:val="3CC937E3"/>
    <w:rsid w:val="3D0F30FA"/>
    <w:rsid w:val="3D634A82"/>
    <w:rsid w:val="3D9210CE"/>
    <w:rsid w:val="3DAC0E95"/>
    <w:rsid w:val="3E08361A"/>
    <w:rsid w:val="3E7A082F"/>
    <w:rsid w:val="3E926EC3"/>
    <w:rsid w:val="3E93478A"/>
    <w:rsid w:val="3E9F10BF"/>
    <w:rsid w:val="3EC40624"/>
    <w:rsid w:val="3EC74949"/>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1CE480C"/>
    <w:rsid w:val="421B0E01"/>
    <w:rsid w:val="42481B2A"/>
    <w:rsid w:val="42B049D2"/>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8F75F7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E017D"/>
    <w:rsid w:val="4E43407C"/>
    <w:rsid w:val="4E5F59DA"/>
    <w:rsid w:val="4EA44C2A"/>
    <w:rsid w:val="4EF23E87"/>
    <w:rsid w:val="4F2941D5"/>
    <w:rsid w:val="4FF955FD"/>
    <w:rsid w:val="4FFC0A94"/>
    <w:rsid w:val="50081059"/>
    <w:rsid w:val="504F4E51"/>
    <w:rsid w:val="509E2AE6"/>
    <w:rsid w:val="50F36CD9"/>
    <w:rsid w:val="512E641B"/>
    <w:rsid w:val="517D059D"/>
    <w:rsid w:val="51FA56D9"/>
    <w:rsid w:val="521723B7"/>
    <w:rsid w:val="523F7F97"/>
    <w:rsid w:val="53047529"/>
    <w:rsid w:val="53133561"/>
    <w:rsid w:val="535D658C"/>
    <w:rsid w:val="53B9060B"/>
    <w:rsid w:val="54107975"/>
    <w:rsid w:val="5451551D"/>
    <w:rsid w:val="548C2C0D"/>
    <w:rsid w:val="54D6790A"/>
    <w:rsid w:val="55205953"/>
    <w:rsid w:val="55237443"/>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6206D"/>
    <w:rsid w:val="63BE6B4B"/>
    <w:rsid w:val="63E41E32"/>
    <w:rsid w:val="6406254B"/>
    <w:rsid w:val="643636FB"/>
    <w:rsid w:val="64522BD2"/>
    <w:rsid w:val="646766DC"/>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712D24"/>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B730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99"/>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89840-1E72-4244-ACB6-FF4BE60B79F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1534</Words>
  <Characters>8750</Characters>
  <Lines>72</Lines>
  <Paragraphs>20</Paragraphs>
  <TotalTime>0</TotalTime>
  <ScaleCrop>false</ScaleCrop>
  <LinksUpToDate>false</LinksUpToDate>
  <CharactersWithSpaces>10264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2022-01-04T00:07:00Z</dcterms:created>
  <dc:creator>10033860</dc:creator>
  <cp:lastModifiedBy>ZTE</cp:lastModifiedBy>
  <cp:lastPrinted>2113-01-01T00:00:00Z</cp:lastPrinted>
  <dcterms:modified xsi:type="dcterms:W3CDTF">2022-01-10T06:52:15Z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