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3952A" w14:textId="6EDA866C" w:rsidR="00117F03" w:rsidRDefault="00117F03">
      <w:pPr>
        <w:tabs>
          <w:tab w:val="left" w:pos="1979"/>
        </w:tabs>
        <w:overflowPunct w:val="0"/>
        <w:autoSpaceDE w:val="0"/>
        <w:autoSpaceDN w:val="0"/>
        <w:adjustRightInd w:val="0"/>
        <w:textAlignment w:val="baseline"/>
        <w:rPr>
          <w:rFonts w:ascii="Arial" w:eastAsia="SimSun" w:hAnsi="Arial" w:cs="Arial"/>
          <w:b/>
          <w:bCs/>
          <w:sz w:val="24"/>
          <w:lang w:eastAsia="zh-CN"/>
        </w:rPr>
      </w:pPr>
      <w:bookmarkStart w:id="0" w:name="OLE_LINK24"/>
      <w:bookmarkStart w:id="1" w:name="OLE_LINK25"/>
      <w:r>
        <w:rPr>
          <w:rFonts w:ascii="Arial" w:eastAsia="SimSun" w:hAnsi="Arial" w:cs="Arial"/>
          <w:b/>
          <w:bCs/>
          <w:sz w:val="24"/>
        </w:rPr>
        <w:t>3GPP TSG-RAN WG2 Meeting #1</w:t>
      </w:r>
      <w:r>
        <w:rPr>
          <w:rFonts w:ascii="Arial" w:eastAsia="SimSun" w:hAnsi="Arial" w:cs="Arial" w:hint="eastAsia"/>
          <w:b/>
          <w:bCs/>
          <w:sz w:val="24"/>
        </w:rPr>
        <w:t>1</w:t>
      </w:r>
      <w:r w:rsidR="00DF778E">
        <w:rPr>
          <w:rFonts w:ascii="Arial" w:eastAsia="SimSun" w:hAnsi="Arial" w:cs="Arial" w:hint="eastAsia"/>
          <w:b/>
          <w:bCs/>
          <w:sz w:val="24"/>
          <w:lang w:eastAsia="zh-CN"/>
        </w:rPr>
        <w:t>6</w:t>
      </w:r>
      <w:r w:rsidR="00CF1102">
        <w:rPr>
          <w:rFonts w:ascii="Arial" w:eastAsia="SimSun" w:hAnsi="Arial" w:cs="Arial"/>
          <w:b/>
          <w:bCs/>
          <w:sz w:val="24"/>
          <w:lang w:eastAsia="zh-CN"/>
        </w:rPr>
        <w:t>e</w:t>
      </w:r>
      <w:r w:rsidR="00CF1102">
        <w:rPr>
          <w:rFonts w:ascii="Arial" w:eastAsia="SimSun" w:hAnsi="Arial" w:cs="Arial"/>
          <w:b/>
          <w:bCs/>
          <w:sz w:val="24"/>
          <w:lang w:eastAsia="zh-CN"/>
        </w:rPr>
        <w:tab/>
      </w:r>
      <w:r w:rsidR="00CF1102">
        <w:rPr>
          <w:rFonts w:ascii="Arial" w:eastAsia="SimSun" w:hAnsi="Arial" w:cs="Arial"/>
          <w:b/>
          <w:bCs/>
          <w:sz w:val="24"/>
          <w:lang w:eastAsia="zh-CN"/>
        </w:rPr>
        <w:tab/>
      </w:r>
      <w:r>
        <w:rPr>
          <w:rFonts w:ascii="Arial" w:eastAsia="SimSun" w:hAnsi="Arial" w:cs="Arial"/>
          <w:b/>
          <w:bCs/>
          <w:sz w:val="24"/>
          <w:lang w:eastAsia="zh-CN"/>
        </w:rPr>
        <w:t xml:space="preserve">           </w:t>
      </w:r>
      <w:r>
        <w:rPr>
          <w:rFonts w:ascii="Arial" w:eastAsia="SimSun" w:hAnsi="Arial" w:cs="Arial"/>
          <w:b/>
          <w:bCs/>
          <w:sz w:val="24"/>
          <w:lang w:eastAsia="zh-CN"/>
        </w:rPr>
        <w:tab/>
      </w:r>
      <w:r>
        <w:rPr>
          <w:rFonts w:ascii="Arial" w:eastAsia="SimSun" w:hAnsi="Arial" w:cs="Arial" w:hint="eastAsia"/>
          <w:b/>
          <w:bCs/>
          <w:sz w:val="24"/>
          <w:lang w:eastAsia="zh-CN"/>
        </w:rPr>
        <w:t xml:space="preserve">                   </w:t>
      </w:r>
      <w:r w:rsidR="009A3B9D" w:rsidRPr="009A3B9D">
        <w:rPr>
          <w:rFonts w:ascii="Arial" w:eastAsia="SimSun" w:hAnsi="Arial" w:cs="Arial"/>
          <w:b/>
          <w:bCs/>
          <w:sz w:val="24"/>
          <w:lang w:eastAsia="zh-CN"/>
        </w:rPr>
        <w:t>R2-</w:t>
      </w:r>
      <w:r w:rsidR="00CF1102" w:rsidRPr="00CF1102">
        <w:rPr>
          <w:rFonts w:ascii="Arial" w:eastAsia="SimSun" w:hAnsi="Arial" w:cs="Arial"/>
          <w:b/>
          <w:bCs/>
          <w:sz w:val="24"/>
          <w:lang w:eastAsia="zh-CN"/>
        </w:rPr>
        <w:t>2109821</w:t>
      </w:r>
    </w:p>
    <w:bookmarkEnd w:id="0"/>
    <w:bookmarkEnd w:id="1"/>
    <w:p w14:paraId="45EE3ADC" w14:textId="5C1B7935" w:rsidR="00117F03" w:rsidRDefault="00117F03">
      <w:pPr>
        <w:tabs>
          <w:tab w:val="left" w:pos="1979"/>
        </w:tabs>
        <w:overflowPunct w:val="0"/>
        <w:autoSpaceDE w:val="0"/>
        <w:autoSpaceDN w:val="0"/>
        <w:adjustRightInd w:val="0"/>
        <w:textAlignment w:val="baseline"/>
        <w:rPr>
          <w:rFonts w:ascii="Arial" w:eastAsia="SimSun" w:hAnsi="Arial" w:cs="Arial"/>
          <w:b/>
          <w:bCs/>
          <w:sz w:val="24"/>
          <w:lang w:eastAsia="zh-CN"/>
        </w:rPr>
      </w:pPr>
      <w:r>
        <w:rPr>
          <w:rFonts w:ascii="Arial" w:eastAsia="SimSun" w:hAnsi="Arial" w:cs="Arial"/>
          <w:b/>
          <w:bCs/>
          <w:sz w:val="24"/>
        </w:rPr>
        <w:t xml:space="preserve">E-Meeting, </w:t>
      </w:r>
      <w:r w:rsidR="00803D93">
        <w:rPr>
          <w:rFonts w:ascii="Arial" w:eastAsia="SimSun" w:hAnsi="Arial" w:cs="Arial"/>
          <w:b/>
          <w:bCs/>
          <w:sz w:val="24"/>
          <w:lang w:val="de-DE"/>
        </w:rPr>
        <w:t>1</w:t>
      </w:r>
      <w:r>
        <w:rPr>
          <w:rFonts w:ascii="Arial" w:eastAsia="SimSun" w:hAnsi="Arial" w:cs="Arial"/>
          <w:b/>
          <w:bCs/>
          <w:sz w:val="24"/>
          <w:lang w:val="de-DE"/>
        </w:rPr>
        <w:t xml:space="preserve"> </w:t>
      </w:r>
      <w:r w:rsidR="004E0DAF">
        <w:rPr>
          <w:rFonts w:ascii="Arial" w:eastAsia="SimSun" w:hAnsi="Arial" w:cs="Arial"/>
          <w:b/>
          <w:bCs/>
          <w:sz w:val="24"/>
          <w:lang w:val="de-DE"/>
        </w:rPr>
        <w:t>–</w:t>
      </w:r>
      <w:r>
        <w:rPr>
          <w:rFonts w:ascii="Arial" w:eastAsia="SimSun" w:hAnsi="Arial" w:cs="Arial"/>
          <w:b/>
          <w:bCs/>
          <w:sz w:val="24"/>
          <w:lang w:val="de-DE"/>
        </w:rPr>
        <w:t xml:space="preserve"> </w:t>
      </w:r>
      <w:r w:rsidR="00DF778E">
        <w:rPr>
          <w:rFonts w:ascii="Arial" w:eastAsia="SimSun" w:hAnsi="Arial" w:cs="Arial" w:hint="eastAsia"/>
          <w:b/>
          <w:bCs/>
          <w:sz w:val="24"/>
          <w:lang w:val="de-DE" w:eastAsia="zh-CN"/>
        </w:rPr>
        <w:t>12</w:t>
      </w:r>
      <w:r w:rsidR="00803D93">
        <w:rPr>
          <w:rFonts w:ascii="Arial" w:eastAsia="SimSun" w:hAnsi="Arial" w:cs="Arial"/>
          <w:b/>
          <w:bCs/>
          <w:sz w:val="24"/>
          <w:lang w:val="de-DE"/>
        </w:rPr>
        <w:t xml:space="preserve"> </w:t>
      </w:r>
      <w:r w:rsidR="00DF778E">
        <w:rPr>
          <w:rFonts w:ascii="Arial" w:eastAsia="SimSun" w:hAnsi="Arial" w:cs="Arial" w:hint="eastAsia"/>
          <w:b/>
          <w:bCs/>
          <w:sz w:val="24"/>
          <w:lang w:val="de-DE" w:eastAsia="zh-CN"/>
        </w:rPr>
        <w:t>November</w:t>
      </w:r>
      <w:r>
        <w:rPr>
          <w:rFonts w:ascii="Arial" w:eastAsia="SimSun" w:hAnsi="Arial" w:cs="Arial" w:hint="eastAsia"/>
          <w:b/>
          <w:bCs/>
          <w:sz w:val="24"/>
        </w:rPr>
        <w:t xml:space="preserve"> </w:t>
      </w:r>
      <w:r>
        <w:rPr>
          <w:rFonts w:ascii="Arial" w:eastAsia="SimSun" w:hAnsi="Arial" w:cs="Arial"/>
          <w:b/>
          <w:bCs/>
          <w:sz w:val="24"/>
        </w:rPr>
        <w:t>202</w:t>
      </w:r>
      <w:r>
        <w:rPr>
          <w:rFonts w:ascii="Arial" w:eastAsia="SimSun" w:hAnsi="Arial" w:cs="Arial" w:hint="eastAsia"/>
          <w:b/>
          <w:bCs/>
          <w:sz w:val="24"/>
          <w:lang w:eastAsia="zh-CN"/>
        </w:rPr>
        <w:t>1</w:t>
      </w:r>
      <w:r>
        <w:rPr>
          <w:rFonts w:ascii="Arial" w:eastAsia="SimSun" w:hAnsi="Arial" w:cs="Arial"/>
          <w:b/>
          <w:bCs/>
          <w:sz w:val="24"/>
          <w:lang w:eastAsia="zh-CN"/>
        </w:rPr>
        <w:t xml:space="preserve">                                       </w:t>
      </w:r>
    </w:p>
    <w:p w14:paraId="5F54D227" w14:textId="77777777" w:rsidR="00117F03" w:rsidRDefault="00117F03" w:rsidP="003B17E3">
      <w:pPr>
        <w:tabs>
          <w:tab w:val="left" w:pos="1979"/>
        </w:tabs>
        <w:overflowPunct w:val="0"/>
        <w:autoSpaceDE w:val="0"/>
        <w:autoSpaceDN w:val="0"/>
        <w:adjustRightInd w:val="0"/>
        <w:snapToGrid w:val="0"/>
        <w:textAlignment w:val="baseline"/>
        <w:rPr>
          <w:rFonts w:ascii="Arial" w:eastAsia="SimSun" w:hAnsi="Arial" w:cs="Arial"/>
          <w:b/>
          <w:bCs/>
          <w:sz w:val="24"/>
          <w:lang w:eastAsia="zh-CN"/>
        </w:rPr>
      </w:pPr>
    </w:p>
    <w:p w14:paraId="540EFFE7" w14:textId="53EFB943" w:rsidR="00117F03" w:rsidRDefault="00117F03" w:rsidP="00C44512">
      <w:pPr>
        <w:tabs>
          <w:tab w:val="left" w:pos="1979"/>
        </w:tabs>
        <w:overflowPunct w:val="0"/>
        <w:autoSpaceDE w:val="0"/>
        <w:autoSpaceDN w:val="0"/>
        <w:adjustRightInd w:val="0"/>
        <w:spacing w:afterLines="20" w:after="72"/>
        <w:ind w:left="1983" w:hangingChars="823" w:hanging="1983"/>
        <w:textAlignment w:val="baseline"/>
        <w:rPr>
          <w:rFonts w:ascii="Arial" w:eastAsia="SimSun" w:hAnsi="Arial" w:cs="Arial"/>
          <w:b/>
          <w:bCs/>
          <w:sz w:val="24"/>
          <w:lang w:eastAsia="zh-CN"/>
        </w:rPr>
      </w:pPr>
      <w:r>
        <w:rPr>
          <w:rFonts w:ascii="Arial" w:eastAsia="SimSun" w:hAnsi="Arial" w:cs="Arial"/>
          <w:b/>
          <w:bCs/>
          <w:sz w:val="24"/>
        </w:rPr>
        <w:t>Source:</w:t>
      </w:r>
      <w:r>
        <w:rPr>
          <w:rFonts w:ascii="Arial" w:eastAsia="SimSun" w:hAnsi="Arial" w:cs="Arial"/>
          <w:b/>
          <w:bCs/>
          <w:sz w:val="24"/>
        </w:rPr>
        <w:tab/>
      </w:r>
      <w:proofErr w:type="spellStart"/>
      <w:r w:rsidR="00CF1102">
        <w:rPr>
          <w:rFonts w:ascii="Arial" w:eastAsia="SimSun" w:hAnsi="Arial" w:cs="Arial"/>
          <w:b/>
          <w:bCs/>
          <w:sz w:val="24"/>
        </w:rPr>
        <w:t>GateHouse</w:t>
      </w:r>
      <w:proofErr w:type="spellEnd"/>
      <w:r w:rsidR="00CF1102">
        <w:rPr>
          <w:rFonts w:ascii="Arial" w:eastAsia="SimSun" w:hAnsi="Arial" w:cs="Arial"/>
          <w:b/>
          <w:bCs/>
          <w:sz w:val="24"/>
        </w:rPr>
        <w:t xml:space="preserve">, </w:t>
      </w:r>
      <w:proofErr w:type="spellStart"/>
      <w:r w:rsidR="00CF1102">
        <w:rPr>
          <w:rFonts w:ascii="Arial" w:eastAsia="SimSun" w:hAnsi="Arial" w:cs="Arial"/>
          <w:b/>
          <w:bCs/>
          <w:sz w:val="24"/>
        </w:rPr>
        <w:t>Sateliot</w:t>
      </w:r>
      <w:proofErr w:type="spellEnd"/>
      <w:r w:rsidR="00CF1102">
        <w:rPr>
          <w:rFonts w:ascii="Arial" w:eastAsia="SimSun" w:hAnsi="Arial" w:cs="Arial"/>
          <w:b/>
          <w:bCs/>
          <w:sz w:val="24"/>
        </w:rPr>
        <w:t xml:space="preserve">, ESA, </w:t>
      </w:r>
      <w:proofErr w:type="spellStart"/>
      <w:r w:rsidR="00CF1102">
        <w:rPr>
          <w:rFonts w:ascii="Arial" w:eastAsia="SimSun" w:hAnsi="Arial" w:cs="Arial"/>
          <w:b/>
          <w:bCs/>
          <w:sz w:val="24"/>
        </w:rPr>
        <w:t>Novamint</w:t>
      </w:r>
      <w:proofErr w:type="spellEnd"/>
      <w:r w:rsidR="00CF1102">
        <w:rPr>
          <w:rFonts w:ascii="Arial" w:eastAsia="SimSun" w:hAnsi="Arial" w:cs="Arial"/>
          <w:b/>
          <w:bCs/>
          <w:sz w:val="24"/>
        </w:rPr>
        <w:t>, Lenovo</w:t>
      </w:r>
      <w:r w:rsidR="00A40F08">
        <w:rPr>
          <w:rFonts w:ascii="Arial" w:eastAsia="SimSun" w:hAnsi="Arial" w:cs="Arial"/>
          <w:b/>
          <w:bCs/>
          <w:sz w:val="24"/>
        </w:rPr>
        <w:t>/</w:t>
      </w:r>
      <w:r w:rsidR="00CF1102">
        <w:rPr>
          <w:rFonts w:ascii="Arial" w:eastAsia="SimSun" w:hAnsi="Arial" w:cs="Arial"/>
          <w:b/>
          <w:bCs/>
          <w:sz w:val="24"/>
        </w:rPr>
        <w:t xml:space="preserve">Motorola Mobility, </w:t>
      </w:r>
      <w:r w:rsidR="00A40F08">
        <w:rPr>
          <w:rFonts w:ascii="Arial" w:eastAsia="SimSun" w:hAnsi="Arial" w:cs="Arial"/>
          <w:b/>
          <w:bCs/>
          <w:sz w:val="24"/>
        </w:rPr>
        <w:t xml:space="preserve">OPPO, </w:t>
      </w:r>
      <w:proofErr w:type="spellStart"/>
      <w:r w:rsidR="00CF1102">
        <w:rPr>
          <w:rFonts w:ascii="Arial" w:eastAsia="SimSun" w:hAnsi="Arial" w:cs="Arial"/>
          <w:b/>
          <w:bCs/>
          <w:sz w:val="24"/>
        </w:rPr>
        <w:t>Mediatek</w:t>
      </w:r>
      <w:proofErr w:type="spellEnd"/>
    </w:p>
    <w:p w14:paraId="5E7C23AC" w14:textId="64A2830B" w:rsidR="00117F03" w:rsidRDefault="00117F03" w:rsidP="0076136A">
      <w:pPr>
        <w:tabs>
          <w:tab w:val="left" w:pos="1979"/>
        </w:tabs>
        <w:overflowPunct w:val="0"/>
        <w:autoSpaceDE w:val="0"/>
        <w:autoSpaceDN w:val="0"/>
        <w:adjustRightInd w:val="0"/>
        <w:spacing w:line="288" w:lineRule="auto"/>
        <w:textAlignment w:val="baseline"/>
        <w:rPr>
          <w:rFonts w:ascii="Arial" w:eastAsia="SimSun" w:hAnsi="Arial" w:cs="Arial"/>
          <w:b/>
          <w:bCs/>
          <w:sz w:val="24"/>
        </w:rPr>
      </w:pPr>
      <w:r>
        <w:rPr>
          <w:rFonts w:ascii="Arial" w:eastAsia="SimSun" w:hAnsi="Arial" w:cs="Arial"/>
          <w:b/>
          <w:bCs/>
          <w:sz w:val="24"/>
        </w:rPr>
        <w:t>Title:</w:t>
      </w:r>
      <w:bookmarkStart w:id="2" w:name="Title"/>
      <w:bookmarkEnd w:id="2"/>
      <w:r>
        <w:rPr>
          <w:rFonts w:ascii="Arial" w:eastAsia="SimSun" w:hAnsi="Arial" w:cs="Arial"/>
          <w:b/>
          <w:bCs/>
          <w:sz w:val="24"/>
        </w:rPr>
        <w:tab/>
      </w:r>
      <w:r w:rsidR="00CF1102" w:rsidRPr="00CF1102">
        <w:rPr>
          <w:rFonts w:ascii="Arial" w:eastAsia="SimSun" w:hAnsi="Arial" w:cs="Arial"/>
          <w:b/>
          <w:bCs/>
          <w:sz w:val="24"/>
          <w:lang w:eastAsia="zh-CN"/>
        </w:rPr>
        <w:t>Contents and delivery options for Satellite Assistance Information for NTN</w:t>
      </w:r>
    </w:p>
    <w:p w14:paraId="5B7166C2" w14:textId="654C4E3A" w:rsidR="00117F03" w:rsidRDefault="00117F03" w:rsidP="0076136A">
      <w:pPr>
        <w:tabs>
          <w:tab w:val="left" w:pos="1979"/>
        </w:tabs>
        <w:overflowPunct w:val="0"/>
        <w:autoSpaceDE w:val="0"/>
        <w:autoSpaceDN w:val="0"/>
        <w:adjustRightInd w:val="0"/>
        <w:spacing w:line="288" w:lineRule="auto"/>
        <w:textAlignment w:val="baseline"/>
        <w:rPr>
          <w:rFonts w:ascii="Arial" w:eastAsia="SimSun" w:hAnsi="Arial" w:cs="Arial"/>
          <w:b/>
          <w:bCs/>
          <w:sz w:val="24"/>
          <w:lang w:eastAsia="zh-CN"/>
        </w:rPr>
      </w:pPr>
      <w:r>
        <w:rPr>
          <w:rFonts w:ascii="Arial" w:eastAsia="SimSun" w:hAnsi="Arial" w:cs="Arial"/>
          <w:b/>
          <w:bCs/>
          <w:sz w:val="24"/>
        </w:rPr>
        <w:t>Agenda Item:</w:t>
      </w:r>
      <w:bookmarkStart w:id="3" w:name="Source"/>
      <w:bookmarkEnd w:id="3"/>
      <w:r>
        <w:rPr>
          <w:rFonts w:ascii="Arial" w:eastAsia="SimSun" w:hAnsi="Arial" w:cs="Arial"/>
          <w:b/>
          <w:bCs/>
          <w:sz w:val="24"/>
        </w:rPr>
        <w:tab/>
      </w:r>
      <w:r w:rsidR="00CF1102">
        <w:rPr>
          <w:rFonts w:ascii="Arial" w:eastAsia="SimSun" w:hAnsi="Arial" w:cs="Arial"/>
          <w:b/>
          <w:bCs/>
          <w:sz w:val="24"/>
        </w:rPr>
        <w:t>9.2.2</w:t>
      </w:r>
    </w:p>
    <w:p w14:paraId="2880022F" w14:textId="542DEFF5" w:rsidR="00117F03" w:rsidRDefault="00117F03" w:rsidP="0076136A">
      <w:pPr>
        <w:tabs>
          <w:tab w:val="left" w:pos="1979"/>
        </w:tabs>
        <w:overflowPunct w:val="0"/>
        <w:autoSpaceDE w:val="0"/>
        <w:autoSpaceDN w:val="0"/>
        <w:adjustRightInd w:val="0"/>
        <w:spacing w:line="288" w:lineRule="auto"/>
        <w:textAlignment w:val="baseline"/>
        <w:rPr>
          <w:rFonts w:ascii="Arial" w:eastAsia="SimSun" w:hAnsi="Arial" w:cs="Arial"/>
          <w:b/>
          <w:bCs/>
          <w:sz w:val="24"/>
          <w:lang w:eastAsia="zh-CN"/>
        </w:rPr>
      </w:pPr>
      <w:r>
        <w:rPr>
          <w:rFonts w:ascii="Arial" w:eastAsia="SimSun" w:hAnsi="Arial" w:cs="Arial"/>
          <w:b/>
          <w:bCs/>
          <w:sz w:val="24"/>
        </w:rPr>
        <w:t>Document for:</w:t>
      </w:r>
      <w:r>
        <w:rPr>
          <w:rFonts w:ascii="Arial" w:eastAsia="SimSun" w:hAnsi="Arial" w:cs="Arial"/>
          <w:b/>
          <w:bCs/>
          <w:sz w:val="24"/>
        </w:rPr>
        <w:tab/>
      </w:r>
      <w:bookmarkStart w:id="4" w:name="DocumentFor"/>
      <w:bookmarkEnd w:id="4"/>
      <w:r>
        <w:rPr>
          <w:rFonts w:ascii="Arial" w:eastAsia="SimSun" w:hAnsi="Arial" w:cs="Arial"/>
          <w:b/>
          <w:bCs/>
          <w:sz w:val="24"/>
        </w:rPr>
        <w:t>Discussion</w:t>
      </w:r>
      <w:r w:rsidR="00CF1102">
        <w:rPr>
          <w:rFonts w:ascii="Arial" w:eastAsia="SimSun" w:hAnsi="Arial" w:cs="Arial"/>
          <w:b/>
          <w:bCs/>
          <w:sz w:val="24"/>
          <w:lang w:eastAsia="zh-CN"/>
        </w:rPr>
        <w:t xml:space="preserve"> for </w:t>
      </w:r>
      <w:r w:rsidR="00947E07">
        <w:rPr>
          <w:rFonts w:ascii="Arial" w:eastAsia="SimSun" w:hAnsi="Arial" w:cs="Arial"/>
          <w:b/>
          <w:bCs/>
          <w:sz w:val="24"/>
          <w:lang w:eastAsia="zh-CN"/>
        </w:rPr>
        <w:t>Decision</w:t>
      </w:r>
    </w:p>
    <w:p w14:paraId="51E09985" w14:textId="77777777" w:rsidR="00117F03" w:rsidRPr="00B53871" w:rsidRDefault="00117F03" w:rsidP="002B5137">
      <w:pPr>
        <w:pStyle w:val="Heading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5" w:name="OLE_LINK13"/>
      <w:bookmarkStart w:id="6" w:name="OLE_LINK14"/>
      <w:r w:rsidRPr="00B53871">
        <w:rPr>
          <w:rFonts w:cs="Times New Roman"/>
          <w:b w:val="0"/>
          <w:bCs w:val="0"/>
          <w:kern w:val="0"/>
          <w:sz w:val="36"/>
          <w:szCs w:val="20"/>
          <w:lang w:val="en-GB" w:eastAsia="en-GB"/>
        </w:rPr>
        <w:t>Introduction</w:t>
      </w:r>
    </w:p>
    <w:p w14:paraId="4AE01F40" w14:textId="77777777" w:rsidR="00CF1102" w:rsidRPr="00CF1102" w:rsidRDefault="00CF1102" w:rsidP="00CF1102">
      <w:pPr>
        <w:spacing w:after="120"/>
        <w:jc w:val="both"/>
        <w:rPr>
          <w:rFonts w:eastAsia="SimSun"/>
          <w:bCs/>
          <w:lang w:eastAsia="zh-CN"/>
        </w:rPr>
      </w:pPr>
      <w:r w:rsidRPr="00CF1102">
        <w:rPr>
          <w:rFonts w:eastAsia="SimSun"/>
          <w:bCs/>
          <w:lang w:eastAsia="zh-CN"/>
        </w:rPr>
        <w:t xml:space="preserve">In RAN1 it has been agreed [1] to support the delivery of ephemeris information using two ephemeris formats, state vectors and orbital elements, for Rel-17 NTN enabling UEs to compute and adjust timing advance and frequency for the serving link. In this document, we will refer to this ephemeris information as “ephemeris information (EI)” to avoid any ambiguity with this term. </w:t>
      </w:r>
    </w:p>
    <w:p w14:paraId="131BC1E1" w14:textId="77777777" w:rsidR="00CF1102" w:rsidRPr="00CF1102" w:rsidRDefault="00CF1102" w:rsidP="00CF1102">
      <w:pPr>
        <w:spacing w:after="120"/>
        <w:jc w:val="both"/>
        <w:rPr>
          <w:rFonts w:eastAsia="SimSun"/>
          <w:bCs/>
          <w:lang w:eastAsia="zh-CN"/>
        </w:rPr>
      </w:pPr>
      <w:r w:rsidRPr="00CF1102">
        <w:rPr>
          <w:rFonts w:eastAsia="SimSun"/>
          <w:bCs/>
          <w:lang w:eastAsia="zh-CN"/>
        </w:rPr>
        <w:t>In addition, in RAN2, it has been agreed that satellite assistance information will be used by the UE for predicting coverage discontinuity, though the details of such assistance information are FFS [1]. In this document, we will refer to this information as “satellite assistance information (SAI)” to avoid any ambiguity with this term.</w:t>
      </w:r>
    </w:p>
    <w:p w14:paraId="1FE7FD5C" w14:textId="022657C6" w:rsidR="00CF1102" w:rsidRDefault="00CF1102" w:rsidP="00CF1102">
      <w:pPr>
        <w:spacing w:after="120"/>
        <w:jc w:val="both"/>
        <w:rPr>
          <w:rFonts w:eastAsia="SimSun"/>
          <w:bCs/>
          <w:lang w:eastAsia="zh-CN"/>
        </w:rPr>
      </w:pPr>
      <w:r w:rsidRPr="00CF1102">
        <w:rPr>
          <w:rFonts w:eastAsia="SimSun"/>
          <w:bCs/>
          <w:lang w:eastAsia="zh-CN"/>
        </w:rPr>
        <w:t>In this technical document we propose a solution in line with the proposals in [2] and encompassing the agreements outlined in [2] as well as a set of parameters to be used for SAI for NGSO systems with Earth-moving cells.</w:t>
      </w:r>
    </w:p>
    <w:p w14:paraId="1401FA55" w14:textId="77777777" w:rsidR="00B66778" w:rsidRDefault="00B66778" w:rsidP="00CF1102">
      <w:pPr>
        <w:spacing w:after="120"/>
        <w:jc w:val="both"/>
        <w:rPr>
          <w:rFonts w:eastAsia="SimSun"/>
          <w:bCs/>
          <w:lang w:eastAsia="zh-CN"/>
        </w:rPr>
      </w:pPr>
    </w:p>
    <w:p w14:paraId="5B0BEEEE" w14:textId="6BD1910C" w:rsidR="00CF1102" w:rsidRDefault="00CF1102" w:rsidP="002B5137">
      <w:pPr>
        <w:pStyle w:val="Heading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Problem Statement</w:t>
      </w:r>
    </w:p>
    <w:p w14:paraId="78FEB93D" w14:textId="56E8B9BD" w:rsidR="00CF1102" w:rsidRPr="00CF1102" w:rsidRDefault="00CF1102" w:rsidP="00CF1102">
      <w:pPr>
        <w:jc w:val="both"/>
        <w:rPr>
          <w:szCs w:val="20"/>
        </w:rPr>
      </w:pPr>
      <w:r w:rsidRPr="00CF1102">
        <w:rPr>
          <w:szCs w:val="20"/>
        </w:rPr>
        <w:t xml:space="preserve">In NGSO scenarios with Earth-moving satellite cells and discontinuous coverage, UEs may consume excessive power and radio resources due to e.g., performing cell search/selection routines while being out of coverage, or because mobile originating (MO)-traffic communication is initiated at a low CNR in delay-tolerant cases where the CNR might have been more </w:t>
      </w:r>
      <w:r w:rsidR="00E334EE" w:rsidRPr="00CF1102">
        <w:rPr>
          <w:szCs w:val="20"/>
        </w:rPr>
        <w:t>favorable</w:t>
      </w:r>
      <w:r w:rsidRPr="00CF1102">
        <w:rPr>
          <w:szCs w:val="20"/>
        </w:rPr>
        <w:t xml:space="preserve"> moments later.</w:t>
      </w:r>
    </w:p>
    <w:p w14:paraId="5F15426F" w14:textId="77777777" w:rsidR="00CF1102" w:rsidRPr="00CF1102" w:rsidRDefault="00CF1102" w:rsidP="00CF1102">
      <w:pPr>
        <w:jc w:val="both"/>
        <w:rPr>
          <w:szCs w:val="20"/>
        </w:rPr>
      </w:pPr>
      <w:r w:rsidRPr="00CF1102">
        <w:rPr>
          <w:szCs w:val="20"/>
        </w:rPr>
        <w:t>We define the following subproblems:</w:t>
      </w:r>
    </w:p>
    <w:p w14:paraId="4DA27E1B" w14:textId="77777777" w:rsidR="00CF1102" w:rsidRPr="00CF1102" w:rsidRDefault="00CF1102" w:rsidP="008352F0">
      <w:pPr>
        <w:pStyle w:val="ListParagraph"/>
        <w:widowControl/>
        <w:numPr>
          <w:ilvl w:val="0"/>
          <w:numId w:val="6"/>
        </w:numPr>
        <w:spacing w:after="160" w:line="259" w:lineRule="auto"/>
        <w:ind w:firstLineChars="0"/>
        <w:contextualSpacing/>
        <w:rPr>
          <w:rFonts w:ascii="Times New Roman" w:eastAsia="Times New Roman" w:hAnsi="Times New Roman"/>
          <w:sz w:val="20"/>
          <w:szCs w:val="20"/>
        </w:rPr>
      </w:pPr>
      <w:r w:rsidRPr="00CF1102">
        <w:rPr>
          <w:rFonts w:ascii="Times New Roman" w:eastAsia="Times New Roman" w:hAnsi="Times New Roman"/>
          <w:sz w:val="20"/>
          <w:szCs w:val="20"/>
        </w:rPr>
        <w:t>UE prediction of coverage-end of a currently serving satellite cell.</w:t>
      </w:r>
    </w:p>
    <w:p w14:paraId="6DCCAD38" w14:textId="77777777" w:rsidR="00CF1102" w:rsidRPr="00CF1102" w:rsidRDefault="00CF1102" w:rsidP="008352F0">
      <w:pPr>
        <w:pStyle w:val="ListParagraph"/>
        <w:widowControl/>
        <w:numPr>
          <w:ilvl w:val="0"/>
          <w:numId w:val="6"/>
        </w:numPr>
        <w:spacing w:after="160" w:line="259" w:lineRule="auto"/>
        <w:ind w:firstLineChars="0"/>
        <w:contextualSpacing/>
        <w:rPr>
          <w:rFonts w:ascii="Times New Roman" w:eastAsia="Times New Roman" w:hAnsi="Times New Roman"/>
          <w:sz w:val="20"/>
          <w:szCs w:val="20"/>
        </w:rPr>
      </w:pPr>
      <w:r w:rsidRPr="00CF1102">
        <w:rPr>
          <w:rFonts w:ascii="Times New Roman" w:eastAsia="Times New Roman" w:hAnsi="Times New Roman"/>
          <w:sz w:val="20"/>
          <w:szCs w:val="20"/>
        </w:rPr>
        <w:t>UE prediction of coverage-gaps between a set of satellite cells.</w:t>
      </w:r>
    </w:p>
    <w:p w14:paraId="601E2E42" w14:textId="77777777" w:rsidR="00CF1102" w:rsidRPr="00CF1102" w:rsidRDefault="00CF1102" w:rsidP="008352F0">
      <w:pPr>
        <w:pStyle w:val="ListParagraph"/>
        <w:widowControl/>
        <w:numPr>
          <w:ilvl w:val="0"/>
          <w:numId w:val="6"/>
        </w:numPr>
        <w:spacing w:after="160" w:line="259" w:lineRule="auto"/>
        <w:ind w:firstLineChars="0"/>
        <w:contextualSpacing/>
        <w:rPr>
          <w:rFonts w:ascii="Times New Roman" w:eastAsia="Times New Roman" w:hAnsi="Times New Roman"/>
          <w:sz w:val="20"/>
          <w:szCs w:val="20"/>
        </w:rPr>
      </w:pPr>
      <w:r w:rsidRPr="00CF1102">
        <w:rPr>
          <w:rFonts w:ascii="Times New Roman" w:eastAsia="Times New Roman" w:hAnsi="Times New Roman"/>
          <w:sz w:val="20"/>
          <w:szCs w:val="20"/>
        </w:rPr>
        <w:t>UE prediction of optimal time for transmission within the coverage of a satellite cell.</w:t>
      </w:r>
    </w:p>
    <w:p w14:paraId="00E18FFE" w14:textId="77777777" w:rsidR="00CF1102" w:rsidRPr="00CF1102" w:rsidRDefault="00CF1102" w:rsidP="00CF1102">
      <w:pPr>
        <w:jc w:val="both"/>
        <w:rPr>
          <w:szCs w:val="20"/>
        </w:rPr>
      </w:pPr>
      <w:r w:rsidRPr="00CF1102">
        <w:rPr>
          <w:szCs w:val="20"/>
        </w:rPr>
        <w:t>Without any loss of generality but for the sake of clarity in the descriptions and provided figures, we will assume a satellite configuration with a single beam, corresponding to a single satellite cell.</w:t>
      </w:r>
    </w:p>
    <w:p w14:paraId="697C7E55" w14:textId="1AEFBC96" w:rsidR="00CF1102" w:rsidRDefault="00CF1102" w:rsidP="00CF1102">
      <w:pPr>
        <w:pStyle w:val="BodyText"/>
        <w:rPr>
          <w:lang w:val="en-GB" w:eastAsia="en-GB"/>
        </w:rPr>
      </w:pPr>
    </w:p>
    <w:p w14:paraId="7A228966" w14:textId="77777777" w:rsidR="00CF1102" w:rsidRPr="00CF1102" w:rsidRDefault="00CF1102" w:rsidP="00CF1102">
      <w:pPr>
        <w:pStyle w:val="BodyText"/>
        <w:rPr>
          <w:lang w:val="en-GB" w:eastAsia="en-GB"/>
        </w:rPr>
      </w:pPr>
    </w:p>
    <w:p w14:paraId="61D919BE" w14:textId="4B65B864" w:rsidR="000B081E" w:rsidRDefault="000B081E" w:rsidP="000B081E">
      <w:pPr>
        <w:pStyle w:val="Heading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Discussion</w:t>
      </w:r>
    </w:p>
    <w:p w14:paraId="7475787A" w14:textId="185FA255" w:rsidR="00CF1102" w:rsidRPr="00E334EE" w:rsidRDefault="00CF1102" w:rsidP="000B081E">
      <w:pPr>
        <w:pStyle w:val="Heading2"/>
        <w:numPr>
          <w:ilvl w:val="1"/>
          <w:numId w:val="5"/>
        </w:numPr>
        <w:rPr>
          <w:b w:val="0"/>
          <w:bCs w:val="0"/>
          <w:sz w:val="24"/>
          <w:szCs w:val="24"/>
        </w:rPr>
      </w:pPr>
      <w:r w:rsidRPr="00E334EE">
        <w:rPr>
          <w:b w:val="0"/>
          <w:bCs w:val="0"/>
          <w:sz w:val="24"/>
          <w:szCs w:val="24"/>
        </w:rPr>
        <w:t>UE prediction of coverage-end of a currently serving satellite cell</w:t>
      </w:r>
    </w:p>
    <w:p w14:paraId="599BDEA6" w14:textId="77777777" w:rsidR="00CF1102" w:rsidRDefault="00CF1102" w:rsidP="00CF1102">
      <w:pPr>
        <w:pStyle w:val="Caption"/>
      </w:pPr>
    </w:p>
    <w:tbl>
      <w:tblPr>
        <w:tblStyle w:val="TableGrid"/>
        <w:tblW w:w="0" w:type="auto"/>
        <w:tblLook w:val="04A0" w:firstRow="1" w:lastRow="0" w:firstColumn="1" w:lastColumn="0" w:noHBand="0" w:noVBand="1"/>
      </w:tblPr>
      <w:tblGrid>
        <w:gridCol w:w="3514"/>
        <w:gridCol w:w="5556"/>
      </w:tblGrid>
      <w:tr w:rsidR="00CF1102" w14:paraId="28A48FA2" w14:textId="77777777" w:rsidTr="00E61F94">
        <w:tc>
          <w:tcPr>
            <w:tcW w:w="4814" w:type="dxa"/>
            <w:tcBorders>
              <w:top w:val="nil"/>
              <w:left w:val="nil"/>
              <w:bottom w:val="nil"/>
              <w:right w:val="nil"/>
            </w:tcBorders>
          </w:tcPr>
          <w:p w14:paraId="4BB969BC" w14:textId="77777777" w:rsidR="00CF1102" w:rsidRDefault="00CF1102" w:rsidP="00E61F94">
            <w:pPr>
              <w:pStyle w:val="Caption"/>
            </w:pPr>
            <w:r w:rsidRPr="00576766">
              <w:rPr>
                <w:noProof/>
                <w:sz w:val="22"/>
                <w:szCs w:val="22"/>
                <w:lang w:val="en-US"/>
              </w:rPr>
              <w:drawing>
                <wp:inline distT="0" distB="0" distL="0" distR="0" wp14:anchorId="2A510F7A" wp14:editId="02CB879A">
                  <wp:extent cx="1466850" cy="1885950"/>
                  <wp:effectExtent l="0" t="0" r="0" b="0"/>
                  <wp:docPr id="5" name="Picture 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6850" cy="1885950"/>
                          </a:xfrm>
                          <a:prstGeom prst="rect">
                            <a:avLst/>
                          </a:prstGeom>
                          <a:noFill/>
                          <a:ln>
                            <a:noFill/>
                          </a:ln>
                        </pic:spPr>
                      </pic:pic>
                    </a:graphicData>
                  </a:graphic>
                </wp:inline>
              </w:drawing>
            </w:r>
          </w:p>
          <w:p w14:paraId="231A2C90" w14:textId="77777777" w:rsidR="00CF1102" w:rsidRPr="00DD29CE" w:rsidRDefault="00CF1102" w:rsidP="00E61F94">
            <w:pPr>
              <w:pStyle w:val="Caption"/>
              <w:rPr>
                <w:i/>
                <w:iCs/>
                <w:sz w:val="22"/>
                <w:szCs w:val="22"/>
              </w:rPr>
            </w:pPr>
            <w:r w:rsidRPr="00DD29CE">
              <w:rPr>
                <w:i/>
                <w:iCs/>
              </w:rPr>
              <w:t xml:space="preserve">Figure </w:t>
            </w:r>
            <w:r w:rsidRPr="00DD29CE">
              <w:rPr>
                <w:i/>
                <w:iCs/>
              </w:rPr>
              <w:fldChar w:fldCharType="begin"/>
            </w:r>
            <w:r w:rsidRPr="00DD29CE">
              <w:rPr>
                <w:i/>
                <w:iCs/>
              </w:rPr>
              <w:instrText xml:space="preserve"> SEQ Figure \* ARABIC </w:instrText>
            </w:r>
            <w:r w:rsidRPr="00DD29CE">
              <w:rPr>
                <w:i/>
                <w:iCs/>
              </w:rPr>
              <w:fldChar w:fldCharType="separate"/>
            </w:r>
            <w:r w:rsidRPr="00DD29CE">
              <w:rPr>
                <w:i/>
                <w:iCs/>
                <w:noProof/>
              </w:rPr>
              <w:t>1</w:t>
            </w:r>
            <w:r w:rsidRPr="00DD29CE">
              <w:rPr>
                <w:i/>
                <w:iCs/>
                <w:noProof/>
              </w:rPr>
              <w:fldChar w:fldCharType="end"/>
            </w:r>
            <w:r w:rsidRPr="00DD29CE">
              <w:rPr>
                <w:i/>
                <w:iCs/>
              </w:rPr>
              <w:t xml:space="preserve"> – Coverage of a serving satellite cell. A: Satellite path. B: Satellite beam coverage.</w:t>
            </w:r>
          </w:p>
          <w:p w14:paraId="3E2C4CEE" w14:textId="77777777" w:rsidR="00CF1102" w:rsidRPr="00FE6316" w:rsidRDefault="00CF1102" w:rsidP="00E61F94"/>
        </w:tc>
        <w:tc>
          <w:tcPr>
            <w:tcW w:w="4814" w:type="dxa"/>
            <w:tcBorders>
              <w:top w:val="nil"/>
              <w:left w:val="nil"/>
              <w:bottom w:val="nil"/>
              <w:right w:val="nil"/>
            </w:tcBorders>
          </w:tcPr>
          <w:p w14:paraId="44901E47" w14:textId="77777777" w:rsidR="00CF1102" w:rsidRDefault="00CF1102" w:rsidP="00E61F94">
            <w:pPr>
              <w:pStyle w:val="Caption"/>
            </w:pPr>
            <w:r>
              <w:rPr>
                <w:noProof/>
              </w:rPr>
              <w:drawing>
                <wp:inline distT="0" distB="0" distL="0" distR="0" wp14:anchorId="551DCEF9" wp14:editId="739A10DB">
                  <wp:extent cx="3390900" cy="2308860"/>
                  <wp:effectExtent l="0" t="0" r="0" b="0"/>
                  <wp:docPr id="6" name="Graphic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phic 22"/>
                          <pic:cNvPicPr/>
                        </pic:nvPicPr>
                        <pic:blipFill rotWithShape="1">
                          <a:blip r:embed="rId13">
                            <a:extLst>
                              <a:ext uri="{28A0092B-C50C-407E-A947-70E740481C1C}">
                                <a14:useLocalDpi xmlns:a14="http://schemas.microsoft.com/office/drawing/2010/main" val="0"/>
                              </a:ext>
                            </a:extLst>
                          </a:blip>
                          <a:srcRect l="896" t="-4365" r="4896" b="-4365"/>
                          <a:stretch/>
                        </pic:blipFill>
                        <pic:spPr bwMode="auto">
                          <a:xfrm>
                            <a:off x="0" y="0"/>
                            <a:ext cx="3391474" cy="2309420"/>
                          </a:xfrm>
                          <a:prstGeom prst="rect">
                            <a:avLst/>
                          </a:prstGeom>
                          <a:ln>
                            <a:noFill/>
                          </a:ln>
                          <a:extLst>
                            <a:ext uri="{53640926-AAD7-44D8-BBD7-CCE9431645EC}">
                              <a14:shadowObscured xmlns:a14="http://schemas.microsoft.com/office/drawing/2010/main"/>
                            </a:ext>
                          </a:extLst>
                        </pic:spPr>
                      </pic:pic>
                    </a:graphicData>
                  </a:graphic>
                </wp:inline>
              </w:drawing>
            </w:r>
          </w:p>
          <w:p w14:paraId="67E65F22" w14:textId="0BC479C3" w:rsidR="00CF1102" w:rsidRPr="00DD29CE" w:rsidRDefault="00CF1102" w:rsidP="00E61F94">
            <w:pPr>
              <w:pStyle w:val="Caption"/>
              <w:rPr>
                <w:i/>
                <w:iCs/>
                <w:sz w:val="22"/>
                <w:szCs w:val="22"/>
              </w:rPr>
            </w:pPr>
            <w:r w:rsidRPr="00DD29CE">
              <w:rPr>
                <w:i/>
                <w:iCs/>
              </w:rPr>
              <w:t xml:space="preserve">Figure </w:t>
            </w:r>
            <w:r w:rsidRPr="00DD29CE">
              <w:rPr>
                <w:i/>
                <w:iCs/>
              </w:rPr>
              <w:fldChar w:fldCharType="begin"/>
            </w:r>
            <w:r w:rsidRPr="00DD29CE">
              <w:rPr>
                <w:i/>
                <w:iCs/>
              </w:rPr>
              <w:instrText xml:space="preserve"> SEQ Figure \* ARABIC </w:instrText>
            </w:r>
            <w:r w:rsidRPr="00DD29CE">
              <w:rPr>
                <w:i/>
                <w:iCs/>
              </w:rPr>
              <w:fldChar w:fldCharType="separate"/>
            </w:r>
            <w:r w:rsidRPr="00DD29CE">
              <w:rPr>
                <w:i/>
                <w:iCs/>
                <w:noProof/>
              </w:rPr>
              <w:t>2</w:t>
            </w:r>
            <w:r w:rsidRPr="00DD29CE">
              <w:rPr>
                <w:i/>
                <w:iCs/>
              </w:rPr>
              <w:fldChar w:fldCharType="end"/>
            </w:r>
            <w:r w:rsidRPr="00DD29CE">
              <w:rPr>
                <w:i/>
                <w:iCs/>
              </w:rPr>
              <w:t xml:space="preserve"> - Example of antenna gain drop-off</w:t>
            </w:r>
            <w:r w:rsidR="00DD29CE">
              <w:rPr>
                <w:i/>
                <w:iCs/>
              </w:rPr>
              <w:t>.</w:t>
            </w:r>
          </w:p>
          <w:p w14:paraId="0BDC9749" w14:textId="77777777" w:rsidR="00CF1102" w:rsidRPr="00FE6316" w:rsidRDefault="00CF1102" w:rsidP="00E61F94"/>
        </w:tc>
      </w:tr>
    </w:tbl>
    <w:p w14:paraId="4C26F199" w14:textId="297C8711" w:rsidR="00CF1102" w:rsidRPr="00E334EE" w:rsidRDefault="00CF1102" w:rsidP="00B66778">
      <w:pPr>
        <w:jc w:val="both"/>
        <w:rPr>
          <w:szCs w:val="20"/>
        </w:rPr>
      </w:pPr>
      <w:r w:rsidRPr="00E334EE">
        <w:rPr>
          <w:szCs w:val="20"/>
        </w:rPr>
        <w:t xml:space="preserve">Monitoring the evolution of CNR measurements may not be accurate enough for a UE to determine when coverage of a </w:t>
      </w:r>
      <w:r w:rsidRPr="00E334EE">
        <w:rPr>
          <w:szCs w:val="20"/>
        </w:rPr>
        <w:t>synchronized</w:t>
      </w:r>
      <w:r w:rsidRPr="00E334EE">
        <w:rPr>
          <w:szCs w:val="20"/>
        </w:rPr>
        <w:t xml:space="preserve"> satellite cell will be lost because the CNR measured by the UE drops-off in a non-linear fashion due to the antenna gain drop-off as depicted in Fig. 2. Additionally, shadowing and fading contribute to making coverage-end predictions from CNR measurements unreliable. Therefore, having some means other than CNR for predicting the end of the satellite cell coverage may be beneficial.</w:t>
      </w:r>
    </w:p>
    <w:p w14:paraId="0D0F59D2" w14:textId="77777777" w:rsidR="00CF1102" w:rsidRPr="00E334EE" w:rsidRDefault="00CF1102" w:rsidP="00B66778">
      <w:pPr>
        <w:jc w:val="both"/>
        <w:rPr>
          <w:szCs w:val="20"/>
        </w:rPr>
      </w:pPr>
      <w:r w:rsidRPr="00E334EE">
        <w:rPr>
          <w:szCs w:val="20"/>
        </w:rPr>
        <w:t>As illustrated in Fig. 1, predicting the coverage-end of a serving satellite cell requires predicting (</w:t>
      </w:r>
      <w:r w:rsidRPr="00E334EE">
        <w:rPr>
          <w:b/>
          <w:bCs/>
          <w:szCs w:val="20"/>
        </w:rPr>
        <w:t>A</w:t>
      </w:r>
      <w:r w:rsidRPr="00E334EE">
        <w:rPr>
          <w:szCs w:val="20"/>
        </w:rPr>
        <w:t>) the satellite path and predicting (</w:t>
      </w:r>
      <w:r w:rsidRPr="00E334EE">
        <w:rPr>
          <w:b/>
          <w:bCs/>
          <w:szCs w:val="20"/>
        </w:rPr>
        <w:t>B</w:t>
      </w:r>
      <w:r w:rsidRPr="00E334EE">
        <w:rPr>
          <w:szCs w:val="20"/>
        </w:rPr>
        <w:t>) the satellite cell coverage from those positions, i.e., projecting a coverage area in the UE ground-plane based on some sort of beam information.</w:t>
      </w:r>
    </w:p>
    <w:p w14:paraId="20F57B99" w14:textId="23C5CA5D" w:rsidR="00CF1102" w:rsidRDefault="00CF1102" w:rsidP="00B66778">
      <w:pPr>
        <w:jc w:val="both"/>
        <w:rPr>
          <w:szCs w:val="20"/>
        </w:rPr>
      </w:pPr>
      <w:r w:rsidRPr="00E334EE">
        <w:rPr>
          <w:szCs w:val="20"/>
        </w:rPr>
        <w:t>In this respect, the EI, which is broadcast by the serving cell and used by the UE for uplink synchronicity and could be also used for (</w:t>
      </w:r>
      <w:r w:rsidRPr="00E334EE">
        <w:rPr>
          <w:b/>
          <w:bCs/>
          <w:szCs w:val="20"/>
        </w:rPr>
        <w:t>A</w:t>
      </w:r>
      <w:r w:rsidRPr="00E334EE">
        <w:rPr>
          <w:szCs w:val="20"/>
        </w:rPr>
        <w:t>). And for (</w:t>
      </w:r>
      <w:r w:rsidRPr="00E334EE">
        <w:rPr>
          <w:b/>
          <w:bCs/>
          <w:szCs w:val="20"/>
        </w:rPr>
        <w:t>B</w:t>
      </w:r>
      <w:r w:rsidRPr="00E334EE">
        <w:rPr>
          <w:szCs w:val="20"/>
        </w:rPr>
        <w:t>), some information about the beam characteristics would be needed to be made available at the UE. A simple sort of beam-information would be the definition of a GEO-fence around nadir or a minimum elevation angle. Another sort of beam-information could be based on the radio characterization of the coverage of the satellite beam and allow for estimations of UL and DL link-budgets, unevenness between UL and DL (as depicted in Fig. 3) and variation between non-standard satellite payloads and UE modems.</w:t>
      </w:r>
    </w:p>
    <w:p w14:paraId="75F1148C" w14:textId="77777777" w:rsidR="00E334EE" w:rsidRPr="00E334EE" w:rsidRDefault="00E334EE" w:rsidP="00B66778">
      <w:pPr>
        <w:jc w:val="both"/>
        <w:rPr>
          <w:szCs w:val="20"/>
        </w:rPr>
      </w:pPr>
    </w:p>
    <w:p w14:paraId="049359CD" w14:textId="77777777" w:rsidR="00CF1102" w:rsidRPr="00E334EE" w:rsidRDefault="00CF1102" w:rsidP="00B66778">
      <w:pPr>
        <w:jc w:val="both"/>
        <w:rPr>
          <w:i/>
          <w:szCs w:val="20"/>
        </w:rPr>
      </w:pPr>
      <w:r w:rsidRPr="00E334EE">
        <w:rPr>
          <w:i/>
          <w:szCs w:val="20"/>
          <w:u w:val="single"/>
        </w:rPr>
        <w:t>Observation 1</w:t>
      </w:r>
      <w:r w:rsidRPr="00E334EE">
        <w:rPr>
          <w:i/>
          <w:szCs w:val="20"/>
        </w:rPr>
        <w:t>: UEs need both positional- and</w:t>
      </w:r>
      <w:r w:rsidRPr="00E334EE">
        <w:rPr>
          <w:szCs w:val="20"/>
        </w:rPr>
        <w:t xml:space="preserve"> </w:t>
      </w:r>
      <w:r w:rsidRPr="00E334EE">
        <w:rPr>
          <w:i/>
          <w:szCs w:val="20"/>
        </w:rPr>
        <w:t>beam information to predict when coverage ends in a cell.</w:t>
      </w:r>
    </w:p>
    <w:p w14:paraId="23E8D050" w14:textId="77777777" w:rsidR="00CF1102" w:rsidRPr="00576766" w:rsidRDefault="00CF1102" w:rsidP="00CF1102">
      <w:pPr>
        <w:rPr>
          <w:sz w:val="22"/>
          <w:szCs w:val="22"/>
        </w:rPr>
      </w:pPr>
    </w:p>
    <w:p w14:paraId="358C4170" w14:textId="77777777" w:rsidR="00CF1102" w:rsidRPr="00576766" w:rsidRDefault="00CF1102" w:rsidP="00CF1102">
      <w:pPr>
        <w:keepNext/>
      </w:pPr>
      <w:r w:rsidRPr="00576766">
        <w:rPr>
          <w:noProof/>
        </w:rPr>
        <w:lastRenderedPageBreak/>
        <w:drawing>
          <wp:inline distT="0" distB="0" distL="0" distR="0" wp14:anchorId="78858FB3" wp14:editId="36E6C6D4">
            <wp:extent cx="4431959" cy="6815205"/>
            <wp:effectExtent l="0" t="0" r="0" b="0"/>
            <wp:docPr id="535" name="image3.jpg" descr="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jpg" descr="Chart&#10;&#10;Description automatically generated"/>
                    <pic:cNvPicPr preferRelativeResize="0"/>
                  </pic:nvPicPr>
                  <pic:blipFill>
                    <a:blip r:embed="rId14"/>
                    <a:srcRect b="8057"/>
                    <a:stretch>
                      <a:fillRect/>
                    </a:stretch>
                  </pic:blipFill>
                  <pic:spPr>
                    <a:xfrm>
                      <a:off x="0" y="0"/>
                      <a:ext cx="4431959" cy="6815205"/>
                    </a:xfrm>
                    <a:prstGeom prst="rect">
                      <a:avLst/>
                    </a:prstGeom>
                    <a:ln/>
                  </pic:spPr>
                </pic:pic>
              </a:graphicData>
            </a:graphic>
          </wp:inline>
        </w:drawing>
      </w:r>
    </w:p>
    <w:p w14:paraId="60B73E40" w14:textId="77777777" w:rsidR="00CF1102" w:rsidRPr="00B66778" w:rsidRDefault="00CF1102" w:rsidP="00CF1102">
      <w:pPr>
        <w:pStyle w:val="Caption"/>
        <w:rPr>
          <w:i/>
          <w:iCs/>
        </w:rPr>
      </w:pPr>
      <w:r w:rsidRPr="00B66778">
        <w:rPr>
          <w:i/>
          <w:iCs/>
        </w:rPr>
        <w:t xml:space="preserve">Figure </w:t>
      </w:r>
      <w:r w:rsidRPr="00B66778">
        <w:rPr>
          <w:i/>
          <w:iCs/>
        </w:rPr>
        <w:fldChar w:fldCharType="begin"/>
      </w:r>
      <w:r w:rsidRPr="00B66778">
        <w:rPr>
          <w:i/>
          <w:iCs/>
        </w:rPr>
        <w:instrText xml:space="preserve"> SEQ Figure \* ARABIC </w:instrText>
      </w:r>
      <w:r w:rsidRPr="00B66778">
        <w:rPr>
          <w:i/>
          <w:iCs/>
        </w:rPr>
        <w:fldChar w:fldCharType="separate"/>
      </w:r>
      <w:r w:rsidRPr="00B66778">
        <w:rPr>
          <w:i/>
          <w:iCs/>
          <w:noProof/>
        </w:rPr>
        <w:t>3</w:t>
      </w:r>
      <w:r w:rsidRPr="00B66778">
        <w:rPr>
          <w:i/>
          <w:iCs/>
          <w:noProof/>
        </w:rPr>
        <w:fldChar w:fldCharType="end"/>
      </w:r>
      <w:r w:rsidRPr="00B66778">
        <w:rPr>
          <w:i/>
          <w:iCs/>
        </w:rPr>
        <w:t xml:space="preserve"> - Example heatmap for the link-budget (Received CNR) of the </w:t>
      </w:r>
      <w:proofErr w:type="spellStart"/>
      <w:r w:rsidRPr="00B66778">
        <w:rPr>
          <w:i/>
          <w:iCs/>
        </w:rPr>
        <w:t>smallsat</w:t>
      </w:r>
      <w:proofErr w:type="spellEnd"/>
      <w:r w:rsidRPr="00B66778">
        <w:rPr>
          <w:i/>
          <w:iCs/>
        </w:rPr>
        <w:t xml:space="preserve"> system defined in [3].</w:t>
      </w:r>
    </w:p>
    <w:p w14:paraId="70DC11E9" w14:textId="77777777" w:rsidR="00CF1102" w:rsidRPr="00B66778" w:rsidRDefault="00CF1102" w:rsidP="00CF1102">
      <w:pPr>
        <w:pStyle w:val="Caption"/>
        <w:rPr>
          <w:i/>
          <w:iCs/>
        </w:rPr>
      </w:pPr>
      <w:r w:rsidRPr="00B66778">
        <w:rPr>
          <w:i/>
          <w:iCs/>
        </w:rPr>
        <w:t>Uplink is depicted for single-tone 3.75kHz.</w:t>
      </w:r>
    </w:p>
    <w:p w14:paraId="45A810BB" w14:textId="77777777" w:rsidR="00CF1102" w:rsidRPr="00576766" w:rsidRDefault="00CF1102" w:rsidP="00CF1102">
      <w:pPr>
        <w:rPr>
          <w:sz w:val="22"/>
          <w:szCs w:val="22"/>
        </w:rPr>
      </w:pPr>
    </w:p>
    <w:p w14:paraId="5B969DCA" w14:textId="77777777" w:rsidR="00CF1102" w:rsidRPr="00E334EE" w:rsidRDefault="00CF1102" w:rsidP="000B081E">
      <w:pPr>
        <w:pStyle w:val="Heading2"/>
        <w:numPr>
          <w:ilvl w:val="1"/>
          <w:numId w:val="5"/>
        </w:numPr>
        <w:rPr>
          <w:b w:val="0"/>
          <w:bCs w:val="0"/>
          <w:sz w:val="24"/>
          <w:szCs w:val="24"/>
        </w:rPr>
      </w:pPr>
      <w:r w:rsidRPr="00E334EE">
        <w:rPr>
          <w:b w:val="0"/>
          <w:bCs w:val="0"/>
          <w:sz w:val="24"/>
          <w:szCs w:val="24"/>
        </w:rPr>
        <w:t>UE prediction of coverage for a set of satellites</w:t>
      </w:r>
    </w:p>
    <w:p w14:paraId="3C302FA4" w14:textId="77777777" w:rsidR="00CF1102" w:rsidRPr="00E334EE" w:rsidRDefault="00CF1102" w:rsidP="00DD29CE">
      <w:pPr>
        <w:pStyle w:val="BodyText1"/>
        <w:jc w:val="both"/>
        <w:rPr>
          <w:rFonts w:ascii="Times New Roman" w:hAnsi="Times New Roman" w:cs="Times New Roman"/>
          <w:szCs w:val="20"/>
          <w:lang w:eastAsia="da-DK"/>
        </w:rPr>
      </w:pPr>
      <w:r w:rsidRPr="00E334EE">
        <w:rPr>
          <w:rFonts w:ascii="Times New Roman" w:hAnsi="Times New Roman" w:cs="Times New Roman"/>
          <w:szCs w:val="20"/>
          <w:lang w:eastAsia="da-DK"/>
        </w:rPr>
        <w:t>Let us consider that a UE need to start an MO data transfer after losing the coverage of given satellite cell and must predict the duration of the coverage gap until another satellite cell of the constellation, which is likely be a different one from the latest serving cell, becomes visible. Predicting such coverage gap for the very next to come satellite requires the UE to be able to predict the coverage of a set of satellites cells.</w:t>
      </w:r>
    </w:p>
    <w:p w14:paraId="1FA07794" w14:textId="77777777" w:rsidR="00CF1102" w:rsidRPr="00576766" w:rsidRDefault="00CF1102" w:rsidP="00CF1102">
      <w:pPr>
        <w:keepNext/>
      </w:pPr>
      <w:r w:rsidRPr="00576766">
        <w:rPr>
          <w:noProof/>
        </w:rPr>
        <w:lastRenderedPageBreak/>
        <w:drawing>
          <wp:inline distT="0" distB="0" distL="0" distR="0" wp14:anchorId="4E669625" wp14:editId="509AEF31">
            <wp:extent cx="2695575" cy="1914525"/>
            <wp:effectExtent l="0" t="0" r="9525" b="0"/>
            <wp:docPr id="3" name="Picture 3"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95575" cy="1914525"/>
                    </a:xfrm>
                    <a:prstGeom prst="rect">
                      <a:avLst/>
                    </a:prstGeom>
                    <a:noFill/>
                    <a:ln>
                      <a:noFill/>
                    </a:ln>
                  </pic:spPr>
                </pic:pic>
              </a:graphicData>
            </a:graphic>
          </wp:inline>
        </w:drawing>
      </w:r>
    </w:p>
    <w:p w14:paraId="6A1829CD" w14:textId="77777777" w:rsidR="00CF1102" w:rsidRPr="00DD29CE" w:rsidRDefault="00CF1102" w:rsidP="00CF1102">
      <w:pPr>
        <w:pStyle w:val="Caption"/>
        <w:rPr>
          <w:i/>
          <w:iCs/>
        </w:rPr>
      </w:pPr>
      <w:r w:rsidRPr="00DD29CE">
        <w:rPr>
          <w:i/>
          <w:iCs/>
        </w:rPr>
        <w:t xml:space="preserve">Figure </w:t>
      </w:r>
      <w:r w:rsidRPr="00DD29CE">
        <w:rPr>
          <w:i/>
          <w:iCs/>
        </w:rPr>
        <w:fldChar w:fldCharType="begin"/>
      </w:r>
      <w:r w:rsidRPr="00DD29CE">
        <w:rPr>
          <w:i/>
          <w:iCs/>
        </w:rPr>
        <w:instrText xml:space="preserve"> SEQ Figure \* ARABIC </w:instrText>
      </w:r>
      <w:r w:rsidRPr="00DD29CE">
        <w:rPr>
          <w:i/>
          <w:iCs/>
        </w:rPr>
        <w:fldChar w:fldCharType="separate"/>
      </w:r>
      <w:r w:rsidRPr="00DD29CE">
        <w:rPr>
          <w:i/>
          <w:iCs/>
          <w:noProof/>
        </w:rPr>
        <w:t>4</w:t>
      </w:r>
      <w:r w:rsidRPr="00DD29CE">
        <w:rPr>
          <w:i/>
          <w:iCs/>
          <w:noProof/>
        </w:rPr>
        <w:fldChar w:fldCharType="end"/>
      </w:r>
      <w:r w:rsidRPr="00DD29CE">
        <w:rPr>
          <w:i/>
          <w:iCs/>
        </w:rPr>
        <w:t xml:space="preserve"> – Coverage gap between two satellites.</w:t>
      </w:r>
    </w:p>
    <w:p w14:paraId="3C0890CA" w14:textId="77777777" w:rsidR="00CF1102" w:rsidRPr="00E334EE" w:rsidRDefault="00CF1102" w:rsidP="00DD29CE">
      <w:pPr>
        <w:jc w:val="both"/>
        <w:rPr>
          <w:szCs w:val="20"/>
        </w:rPr>
      </w:pPr>
      <w:r w:rsidRPr="00E334EE">
        <w:rPr>
          <w:szCs w:val="20"/>
        </w:rPr>
        <w:t xml:space="preserve">Considering that each satellite cell broadcast only its own IE, the UE may have not collected EI from all the satellites in this set, or the previously EI collected from a given satellite may be no longer valid because it is too old. Notice that EI is based on instantaneous orbit information, which is not so accurate for long-term orbit prediction [4], meaning that the UE should be able to “refresh” such EI information from all satellites in the set, which may be not feasible. </w:t>
      </w:r>
    </w:p>
    <w:p w14:paraId="2FA75DC4" w14:textId="11E7C06B" w:rsidR="00CF1102" w:rsidRDefault="00CF1102" w:rsidP="00DD29CE">
      <w:pPr>
        <w:jc w:val="both"/>
        <w:rPr>
          <w:szCs w:val="20"/>
        </w:rPr>
      </w:pPr>
      <w:r w:rsidRPr="00E334EE">
        <w:rPr>
          <w:szCs w:val="20"/>
        </w:rPr>
        <w:t>Therefore, in addition to EI in each serving cell, other orbital information for every other satellite cell in the set should be made available at the UE in advance to predict coverage gaps in such scenarios. Additionally, some type of beam information is required to project a coverage area from the satellite positions as per observation 1.</w:t>
      </w:r>
    </w:p>
    <w:p w14:paraId="02CD947A" w14:textId="77777777" w:rsidR="00E334EE" w:rsidRPr="00E334EE" w:rsidRDefault="00E334EE" w:rsidP="00DD29CE">
      <w:pPr>
        <w:jc w:val="both"/>
        <w:rPr>
          <w:szCs w:val="20"/>
        </w:rPr>
      </w:pPr>
    </w:p>
    <w:p w14:paraId="42C4ED83" w14:textId="1E6E69E1" w:rsidR="00CF1102" w:rsidRPr="00E334EE" w:rsidRDefault="00CF1102" w:rsidP="00CF1102">
      <w:pPr>
        <w:rPr>
          <w:i/>
          <w:szCs w:val="20"/>
        </w:rPr>
      </w:pPr>
      <w:r w:rsidRPr="00E334EE">
        <w:rPr>
          <w:i/>
          <w:szCs w:val="20"/>
          <w:u w:val="single"/>
        </w:rPr>
        <w:t>Observation 2</w:t>
      </w:r>
      <w:r w:rsidRPr="00E334EE">
        <w:rPr>
          <w:i/>
          <w:szCs w:val="20"/>
        </w:rPr>
        <w:t>: A UE will need orbital- and beam-information for a set of satellites to predict coverage gaps between satellites in the set.</w:t>
      </w:r>
    </w:p>
    <w:p w14:paraId="0CE0A2F3" w14:textId="77777777" w:rsidR="00DD29CE" w:rsidRPr="00576766" w:rsidRDefault="00DD29CE" w:rsidP="00CF1102"/>
    <w:p w14:paraId="17D8951B" w14:textId="77777777" w:rsidR="00CF1102" w:rsidRPr="000B081E" w:rsidRDefault="00CF1102" w:rsidP="000B081E">
      <w:pPr>
        <w:pStyle w:val="Heading2"/>
        <w:numPr>
          <w:ilvl w:val="1"/>
          <w:numId w:val="5"/>
        </w:numPr>
        <w:rPr>
          <w:sz w:val="24"/>
          <w:szCs w:val="24"/>
        </w:rPr>
      </w:pPr>
      <w:r w:rsidRPr="000B081E">
        <w:rPr>
          <w:sz w:val="24"/>
          <w:szCs w:val="24"/>
        </w:rPr>
        <w:t>UE prediction of optimal time for transmission</w:t>
      </w:r>
    </w:p>
    <w:p w14:paraId="6ADCF077" w14:textId="77777777" w:rsidR="00CF1102" w:rsidRPr="00E334EE" w:rsidRDefault="00CF1102" w:rsidP="00DD29CE">
      <w:pPr>
        <w:jc w:val="both"/>
        <w:rPr>
          <w:iCs/>
          <w:szCs w:val="20"/>
        </w:rPr>
      </w:pPr>
      <w:r w:rsidRPr="00E334EE">
        <w:rPr>
          <w:iCs/>
          <w:szCs w:val="20"/>
        </w:rPr>
        <w:t xml:space="preserve">As a satellite </w:t>
      </w:r>
      <w:r w:rsidRPr="00E334EE">
        <w:rPr>
          <w:szCs w:val="20"/>
        </w:rPr>
        <w:t xml:space="preserve">approaches </w:t>
      </w:r>
      <w:r w:rsidRPr="00E334EE">
        <w:rPr>
          <w:iCs/>
          <w:szCs w:val="20"/>
        </w:rPr>
        <w:t xml:space="preserve">a UE, the UE will enter its coverage area </w:t>
      </w:r>
      <w:r w:rsidRPr="00E334EE">
        <w:rPr>
          <w:szCs w:val="20"/>
        </w:rPr>
        <w:t>finding</w:t>
      </w:r>
      <w:r w:rsidRPr="00E334EE">
        <w:rPr>
          <w:iCs/>
          <w:szCs w:val="20"/>
        </w:rPr>
        <w:t xml:space="preserve"> itself in poor channel conditions. The channel conditions improve rapidly as the satellite moves closer to the UE before the channel starts deteriorating again as the satellite starts moving away from the UE.</w:t>
      </w:r>
    </w:p>
    <w:p w14:paraId="39020642" w14:textId="4B2341D6" w:rsidR="00CF1102" w:rsidRDefault="00CF1102" w:rsidP="00DD29CE">
      <w:pPr>
        <w:jc w:val="both"/>
        <w:rPr>
          <w:iCs/>
          <w:szCs w:val="20"/>
        </w:rPr>
      </w:pPr>
      <w:r w:rsidRPr="00E334EE">
        <w:rPr>
          <w:iCs/>
          <w:szCs w:val="20"/>
        </w:rPr>
        <w:t>A UE in this scenario might waste power and system capacity by transmitting in suboptimal channel conditions or initiating the transmission of a message sequence such as ‘MSG1-6/</w:t>
      </w:r>
      <w:proofErr w:type="spellStart"/>
      <w:r w:rsidRPr="00E334EE">
        <w:rPr>
          <w:iCs/>
          <w:szCs w:val="20"/>
        </w:rPr>
        <w:t>DoNAS</w:t>
      </w:r>
      <w:proofErr w:type="spellEnd"/>
      <w:r w:rsidRPr="00E334EE">
        <w:rPr>
          <w:iCs/>
          <w:szCs w:val="20"/>
        </w:rPr>
        <w:t>’ or ‘NAS attach’ and failing to finish the entire message exchange.</w:t>
      </w:r>
    </w:p>
    <w:p w14:paraId="22A19073" w14:textId="77777777" w:rsidR="00E334EE" w:rsidRPr="00E334EE" w:rsidRDefault="00E334EE" w:rsidP="00DD29CE">
      <w:pPr>
        <w:jc w:val="both"/>
        <w:rPr>
          <w:iCs/>
          <w:szCs w:val="20"/>
        </w:rPr>
      </w:pPr>
    </w:p>
    <w:p w14:paraId="1DB6E3BA" w14:textId="77777777" w:rsidR="00CF1102" w:rsidRPr="00E334EE" w:rsidRDefault="00CF1102" w:rsidP="00CF1102">
      <w:pPr>
        <w:rPr>
          <w:i/>
          <w:szCs w:val="20"/>
        </w:rPr>
      </w:pPr>
      <w:r w:rsidRPr="00E334EE">
        <w:rPr>
          <w:i/>
          <w:szCs w:val="20"/>
          <w:u w:val="single"/>
        </w:rPr>
        <w:t>Observation 3</w:t>
      </w:r>
      <w:r w:rsidRPr="00E334EE">
        <w:rPr>
          <w:i/>
          <w:szCs w:val="20"/>
        </w:rPr>
        <w:t>: A UE may use excessive radio resource and would therefore waste power and system capacity on a poorly timed transmission attempt in poor channel conditions.</w:t>
      </w:r>
    </w:p>
    <w:p w14:paraId="0C4B1091" w14:textId="77777777" w:rsidR="00CF1102" w:rsidRPr="00576766" w:rsidRDefault="00CF1102" w:rsidP="00CF1102"/>
    <w:p w14:paraId="36C754C8" w14:textId="77777777" w:rsidR="00CF1102" w:rsidRPr="00576766" w:rsidRDefault="00CF1102" w:rsidP="00CF1102"/>
    <w:p w14:paraId="15C9405D" w14:textId="680F52F3" w:rsidR="00117F03" w:rsidRDefault="000B081E" w:rsidP="002B5137">
      <w:pPr>
        <w:pStyle w:val="Heading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Solution Proposal</w:t>
      </w:r>
    </w:p>
    <w:p w14:paraId="35435A75" w14:textId="77777777" w:rsidR="00B66778" w:rsidRPr="00B66778" w:rsidRDefault="00B66778" w:rsidP="00B66778">
      <w:pPr>
        <w:pStyle w:val="Heading2"/>
        <w:numPr>
          <w:ilvl w:val="1"/>
          <w:numId w:val="5"/>
        </w:numPr>
        <w:rPr>
          <w:sz w:val="24"/>
          <w:szCs w:val="24"/>
        </w:rPr>
      </w:pPr>
      <w:r w:rsidRPr="00B66778">
        <w:rPr>
          <w:sz w:val="24"/>
          <w:szCs w:val="24"/>
        </w:rPr>
        <w:t>SAI Contents</w:t>
      </w:r>
    </w:p>
    <w:p w14:paraId="7B94C056" w14:textId="77777777" w:rsidR="00DD29CE" w:rsidRPr="00E334EE" w:rsidRDefault="00B66778" w:rsidP="00DD29CE">
      <w:pPr>
        <w:pStyle w:val="BodyText1"/>
        <w:rPr>
          <w:rFonts w:ascii="Times New Roman" w:hAnsi="Times New Roman" w:cs="Times New Roman"/>
          <w:bCs/>
          <w:szCs w:val="20"/>
          <w:lang w:eastAsia="da-DK"/>
        </w:rPr>
      </w:pPr>
      <w:r w:rsidRPr="00E334EE">
        <w:rPr>
          <w:rFonts w:ascii="Times New Roman" w:hAnsi="Times New Roman" w:cs="Times New Roman"/>
          <w:bCs/>
          <w:szCs w:val="20"/>
          <w:lang w:eastAsia="da-DK"/>
        </w:rPr>
        <w:t>SAI should include, at least:</w:t>
      </w:r>
    </w:p>
    <w:p w14:paraId="27319A98" w14:textId="588EDBD8" w:rsidR="00B66778" w:rsidRPr="00E334EE" w:rsidRDefault="00B66778" w:rsidP="008352F0">
      <w:pPr>
        <w:pStyle w:val="BodyText1"/>
        <w:numPr>
          <w:ilvl w:val="0"/>
          <w:numId w:val="11"/>
        </w:numPr>
        <w:rPr>
          <w:rFonts w:ascii="Times New Roman" w:hAnsi="Times New Roman" w:cs="Times New Roman"/>
          <w:bCs/>
          <w:szCs w:val="20"/>
          <w:lang w:eastAsia="da-DK"/>
        </w:rPr>
      </w:pPr>
      <w:r w:rsidRPr="00E334EE">
        <w:rPr>
          <w:rFonts w:ascii="Times New Roman" w:hAnsi="Times New Roman" w:cs="Times New Roman"/>
          <w:bCs/>
          <w:szCs w:val="20"/>
          <w:lang w:eastAsia="da-DK"/>
        </w:rPr>
        <w:t xml:space="preserve">Satellite orbital elements, for satellite position prediction. </w:t>
      </w:r>
    </w:p>
    <w:p w14:paraId="35047BAE" w14:textId="77777777" w:rsidR="00B66778" w:rsidRPr="00E334EE" w:rsidRDefault="00B66778" w:rsidP="008352F0">
      <w:pPr>
        <w:pStyle w:val="BodyText1"/>
        <w:numPr>
          <w:ilvl w:val="0"/>
          <w:numId w:val="7"/>
        </w:numPr>
        <w:rPr>
          <w:rFonts w:ascii="Times New Roman" w:hAnsi="Times New Roman" w:cs="Times New Roman"/>
          <w:szCs w:val="20"/>
          <w:lang w:eastAsia="da-DK"/>
        </w:rPr>
      </w:pPr>
      <w:r w:rsidRPr="00E334EE">
        <w:rPr>
          <w:rFonts w:ascii="Times New Roman" w:hAnsi="Times New Roman" w:cs="Times New Roman"/>
          <w:szCs w:val="20"/>
          <w:lang w:eastAsia="da-DK"/>
        </w:rPr>
        <w:t xml:space="preserve">Satellite beam characterization, for more accurate prediction of the coverage footprint shape. </w:t>
      </w:r>
    </w:p>
    <w:p w14:paraId="3A40E41F" w14:textId="77777777" w:rsidR="00D9346B" w:rsidRPr="00E334EE" w:rsidRDefault="00D9346B" w:rsidP="00B66778">
      <w:pPr>
        <w:pStyle w:val="BodyText1"/>
        <w:rPr>
          <w:rFonts w:ascii="Times New Roman" w:hAnsi="Times New Roman" w:cs="Times New Roman"/>
          <w:b/>
          <w:bCs/>
          <w:szCs w:val="20"/>
          <w:lang w:eastAsia="da-DK"/>
        </w:rPr>
      </w:pPr>
    </w:p>
    <w:p w14:paraId="745E08C3" w14:textId="3D211C21" w:rsidR="00B66778" w:rsidRPr="00D9346B" w:rsidRDefault="00B66778" w:rsidP="008352F0">
      <w:pPr>
        <w:pStyle w:val="Heading2"/>
        <w:numPr>
          <w:ilvl w:val="1"/>
          <w:numId w:val="12"/>
        </w:numPr>
        <w:rPr>
          <w:sz w:val="24"/>
          <w:szCs w:val="24"/>
        </w:rPr>
      </w:pPr>
      <w:r w:rsidRPr="00D9346B">
        <w:rPr>
          <w:sz w:val="24"/>
          <w:szCs w:val="24"/>
        </w:rPr>
        <w:t>Satellite orbital elements</w:t>
      </w:r>
    </w:p>
    <w:p w14:paraId="568313A1" w14:textId="77777777" w:rsidR="00B66778" w:rsidRPr="00E334EE" w:rsidRDefault="00B66778" w:rsidP="00D9346B">
      <w:pPr>
        <w:jc w:val="both"/>
        <w:rPr>
          <w:szCs w:val="20"/>
        </w:rPr>
      </w:pPr>
      <w:r w:rsidRPr="00E334EE">
        <w:rPr>
          <w:szCs w:val="20"/>
        </w:rPr>
        <w:t>Given that a serving satellite is going to broadcast EI for UL pre-compensation, the same EI could be used for predicting the next satellite pass. However:</w:t>
      </w:r>
    </w:p>
    <w:p w14:paraId="7D94EBD0" w14:textId="0B654D6B" w:rsidR="00B66778" w:rsidRPr="00E334EE" w:rsidRDefault="00B66778" w:rsidP="008352F0">
      <w:pPr>
        <w:pStyle w:val="ListParagraph"/>
        <w:widowControl/>
        <w:numPr>
          <w:ilvl w:val="0"/>
          <w:numId w:val="9"/>
        </w:numPr>
        <w:spacing w:after="160" w:line="259" w:lineRule="auto"/>
        <w:ind w:firstLineChars="0"/>
        <w:contextualSpacing/>
        <w:rPr>
          <w:rFonts w:ascii="Times New Roman" w:eastAsia="Times New Roman" w:hAnsi="Times New Roman"/>
          <w:sz w:val="20"/>
          <w:szCs w:val="20"/>
        </w:rPr>
      </w:pPr>
      <w:r w:rsidRPr="00E334EE">
        <w:rPr>
          <w:rFonts w:ascii="Times New Roman" w:eastAsia="Times New Roman" w:hAnsi="Times New Roman"/>
          <w:sz w:val="20"/>
          <w:szCs w:val="20"/>
        </w:rPr>
        <w:t xml:space="preserve">Prediction based on instantaneous orbital parameters such as EI is not so accurate as prediction based on the use of </w:t>
      </w:r>
      <w:r w:rsidR="00D9346B" w:rsidRPr="00E334EE">
        <w:rPr>
          <w:rFonts w:ascii="Times New Roman" w:eastAsia="Times New Roman" w:hAnsi="Times New Roman"/>
          <w:sz w:val="20"/>
          <w:szCs w:val="20"/>
        </w:rPr>
        <w:t>e.g.,</w:t>
      </w:r>
      <w:r w:rsidRPr="00E334EE">
        <w:rPr>
          <w:rFonts w:ascii="Times New Roman" w:eastAsia="Times New Roman" w:hAnsi="Times New Roman"/>
          <w:sz w:val="20"/>
          <w:szCs w:val="20"/>
        </w:rPr>
        <w:t xml:space="preserve"> average/mean orbital information such as TLEs for SGP4 orbit propagation. </w:t>
      </w:r>
    </w:p>
    <w:p w14:paraId="55279315" w14:textId="77777777" w:rsidR="00B66778" w:rsidRPr="00E334EE" w:rsidRDefault="00B66778" w:rsidP="008352F0">
      <w:pPr>
        <w:pStyle w:val="ListParagraph"/>
        <w:widowControl/>
        <w:numPr>
          <w:ilvl w:val="0"/>
          <w:numId w:val="9"/>
        </w:numPr>
        <w:spacing w:after="160" w:line="259" w:lineRule="auto"/>
        <w:ind w:firstLineChars="0"/>
        <w:contextualSpacing/>
        <w:rPr>
          <w:rFonts w:ascii="Times New Roman" w:eastAsia="Times New Roman" w:hAnsi="Times New Roman"/>
          <w:sz w:val="20"/>
          <w:szCs w:val="20"/>
        </w:rPr>
      </w:pPr>
      <w:r w:rsidRPr="00E334EE">
        <w:rPr>
          <w:rFonts w:ascii="Times New Roman" w:eastAsia="Times New Roman" w:hAnsi="Times New Roman"/>
          <w:sz w:val="20"/>
          <w:szCs w:val="20"/>
        </w:rPr>
        <w:t>In a constellation of satellites, the next satellite to fly over a given device is likely to be different from the last serving satellite of the device, so a long period of time could happen between the IoT device needs to communication with the same satellite from which it acquired the EI information, further increasing the error of the prediction when only using EI.</w:t>
      </w:r>
    </w:p>
    <w:p w14:paraId="6A4264AB" w14:textId="77777777" w:rsidR="00B66778" w:rsidRPr="00E334EE" w:rsidRDefault="00B66778" w:rsidP="00D9346B">
      <w:pPr>
        <w:jc w:val="both"/>
        <w:rPr>
          <w:szCs w:val="20"/>
        </w:rPr>
      </w:pPr>
      <w:r w:rsidRPr="00E334EE">
        <w:rPr>
          <w:szCs w:val="20"/>
        </w:rPr>
        <w:t xml:space="preserve">Moreover, to address the ‘prediction of coverage gaps in a constellation or set of satellites’, the UE needs to keep information about all the satellites or a potential set of upcoming satellites once it has been in contact with a given satellite. This means that: </w:t>
      </w:r>
    </w:p>
    <w:p w14:paraId="101CDE5F" w14:textId="0D3EA9CE" w:rsidR="00B66778" w:rsidRPr="00E334EE" w:rsidRDefault="00B66778" w:rsidP="008352F0">
      <w:pPr>
        <w:pStyle w:val="ListParagraph"/>
        <w:widowControl/>
        <w:numPr>
          <w:ilvl w:val="0"/>
          <w:numId w:val="10"/>
        </w:numPr>
        <w:spacing w:after="160" w:line="259" w:lineRule="auto"/>
        <w:ind w:firstLineChars="0"/>
        <w:contextualSpacing/>
        <w:rPr>
          <w:rFonts w:ascii="Times New Roman" w:eastAsia="Times New Roman" w:hAnsi="Times New Roman"/>
          <w:sz w:val="20"/>
          <w:szCs w:val="20"/>
        </w:rPr>
      </w:pPr>
      <w:r w:rsidRPr="00E334EE">
        <w:rPr>
          <w:rFonts w:ascii="Times New Roman" w:eastAsia="Times New Roman" w:hAnsi="Times New Roman"/>
          <w:sz w:val="20"/>
          <w:szCs w:val="20"/>
        </w:rPr>
        <w:t>The UE keeps orbital information for all the satellites of the constellation (a sort of almanac) that shall not be refreshed much often and provides more accuracy than the EI for long-term prediction (</w:t>
      </w:r>
      <w:r w:rsidR="00D9346B" w:rsidRPr="00E334EE">
        <w:rPr>
          <w:rFonts w:ascii="Times New Roman" w:eastAsia="Times New Roman" w:hAnsi="Times New Roman"/>
          <w:sz w:val="20"/>
          <w:szCs w:val="20"/>
        </w:rPr>
        <w:t>e.g.,</w:t>
      </w:r>
      <w:r w:rsidRPr="00E334EE">
        <w:rPr>
          <w:rFonts w:ascii="Times New Roman" w:eastAsia="Times New Roman" w:hAnsi="Times New Roman"/>
          <w:sz w:val="20"/>
          <w:szCs w:val="20"/>
        </w:rPr>
        <w:t xml:space="preserve"> TLEs of satellite constellation). </w:t>
      </w:r>
    </w:p>
    <w:p w14:paraId="3E8BABB8" w14:textId="77777777" w:rsidR="00B66778" w:rsidRPr="00E334EE" w:rsidRDefault="00B66778" w:rsidP="008352F0">
      <w:pPr>
        <w:pStyle w:val="ListParagraph"/>
        <w:widowControl/>
        <w:numPr>
          <w:ilvl w:val="0"/>
          <w:numId w:val="10"/>
        </w:numPr>
        <w:spacing w:after="160" w:line="259" w:lineRule="auto"/>
        <w:ind w:firstLineChars="0"/>
        <w:contextualSpacing/>
        <w:rPr>
          <w:rFonts w:ascii="Times New Roman" w:eastAsia="Times New Roman" w:hAnsi="Times New Roman"/>
          <w:sz w:val="20"/>
          <w:szCs w:val="20"/>
        </w:rPr>
      </w:pPr>
      <w:r w:rsidRPr="00E334EE">
        <w:rPr>
          <w:rFonts w:ascii="Times New Roman" w:eastAsia="Times New Roman" w:hAnsi="Times New Roman"/>
          <w:sz w:val="20"/>
          <w:szCs w:val="20"/>
        </w:rPr>
        <w:t>A satellite cell provides orbital information about upcoming satellites, which needs only to be received once by a UE per satellite visit. The broadcast list of upcoming satellites could include the next immediate satellites to cover the area, or a set of satellites that are spread out in their visit times.</w:t>
      </w:r>
    </w:p>
    <w:p w14:paraId="0F477715" w14:textId="77777777" w:rsidR="00B66778" w:rsidRPr="00E334EE" w:rsidRDefault="00B66778" w:rsidP="00B66778">
      <w:pPr>
        <w:rPr>
          <w:szCs w:val="20"/>
        </w:rPr>
      </w:pPr>
    </w:p>
    <w:p w14:paraId="43B00DD0" w14:textId="77777777" w:rsidR="00B66778" w:rsidRPr="00E334EE" w:rsidRDefault="00B66778" w:rsidP="00B66778">
      <w:pPr>
        <w:rPr>
          <w:i/>
          <w:szCs w:val="20"/>
        </w:rPr>
      </w:pPr>
      <w:r w:rsidRPr="00E334EE">
        <w:rPr>
          <w:i/>
          <w:szCs w:val="20"/>
          <w:u w:val="single"/>
        </w:rPr>
        <w:t>Proposal 1</w:t>
      </w:r>
      <w:r w:rsidRPr="00E334EE">
        <w:rPr>
          <w:i/>
          <w:szCs w:val="20"/>
        </w:rPr>
        <w:t>: The SAI should include, at least, average orbital parameters, such as TLE or equivalent, for a set of satellites for the purpose of predicting coverage gaps.</w:t>
      </w:r>
    </w:p>
    <w:p w14:paraId="540EAC58" w14:textId="77777777" w:rsidR="00B66778" w:rsidRPr="00E334EE" w:rsidRDefault="00B66778" w:rsidP="00B66778">
      <w:pPr>
        <w:rPr>
          <w:i/>
          <w:szCs w:val="20"/>
        </w:rPr>
      </w:pPr>
    </w:p>
    <w:p w14:paraId="51F68642" w14:textId="77777777" w:rsidR="00B66778" w:rsidRPr="00E334EE" w:rsidRDefault="00B66778" w:rsidP="00B66778">
      <w:pPr>
        <w:pStyle w:val="BodyText1"/>
        <w:rPr>
          <w:rFonts w:ascii="Times New Roman" w:hAnsi="Times New Roman" w:cs="Times New Roman"/>
          <w:b/>
          <w:bCs/>
          <w:szCs w:val="20"/>
          <w:lang w:eastAsia="da-DK"/>
        </w:rPr>
      </w:pPr>
    </w:p>
    <w:p w14:paraId="79896718" w14:textId="77777777" w:rsidR="00B66778" w:rsidRPr="00E334EE" w:rsidRDefault="00B66778" w:rsidP="00B66778">
      <w:pPr>
        <w:pStyle w:val="BodyText1"/>
        <w:rPr>
          <w:rFonts w:ascii="Times New Roman" w:hAnsi="Times New Roman" w:cs="Times New Roman"/>
          <w:b/>
          <w:bCs/>
          <w:szCs w:val="20"/>
          <w:lang w:eastAsia="da-DK"/>
        </w:rPr>
      </w:pPr>
    </w:p>
    <w:p w14:paraId="2744EABF" w14:textId="77777777" w:rsidR="00B66778" w:rsidRDefault="00B66778" w:rsidP="00B66778">
      <w:pPr>
        <w:pStyle w:val="BodyText1"/>
        <w:rPr>
          <w:rFonts w:ascii="Times New Roman" w:hAnsi="Times New Roman" w:cs="Times New Roman"/>
          <w:b/>
          <w:bCs/>
          <w:sz w:val="22"/>
          <w:lang w:eastAsia="da-DK"/>
        </w:rPr>
      </w:pPr>
    </w:p>
    <w:p w14:paraId="19EE71F0" w14:textId="77777777" w:rsidR="00B66778" w:rsidRPr="00D9346B" w:rsidRDefault="00B66778" w:rsidP="008352F0">
      <w:pPr>
        <w:pStyle w:val="Heading2"/>
        <w:numPr>
          <w:ilvl w:val="1"/>
          <w:numId w:val="12"/>
        </w:numPr>
        <w:rPr>
          <w:sz w:val="24"/>
          <w:szCs w:val="24"/>
        </w:rPr>
      </w:pPr>
      <w:r w:rsidRPr="00D9346B">
        <w:rPr>
          <w:sz w:val="24"/>
          <w:szCs w:val="24"/>
        </w:rPr>
        <w:lastRenderedPageBreak/>
        <w:t xml:space="preserve">Satellite Beam Characterization </w:t>
      </w:r>
    </w:p>
    <w:p w14:paraId="6B95C1C7" w14:textId="77777777" w:rsidR="00B66778" w:rsidRPr="00E334EE" w:rsidRDefault="00B66778" w:rsidP="00D9346B">
      <w:pPr>
        <w:jc w:val="both"/>
        <w:rPr>
          <w:szCs w:val="20"/>
        </w:rPr>
      </w:pPr>
      <w:r w:rsidRPr="00E334EE">
        <w:rPr>
          <w:szCs w:val="20"/>
        </w:rPr>
        <w:t xml:space="preserve">For the prediction of the satellite coverage area, beam information could be in the form of: (1) Geometrical definition of the beam and/or (2) RF parametrization of the beam. </w:t>
      </w:r>
    </w:p>
    <w:p w14:paraId="6B37D4F8" w14:textId="77777777" w:rsidR="00B66778" w:rsidRPr="00E334EE" w:rsidRDefault="00B66778" w:rsidP="00D9346B">
      <w:pPr>
        <w:jc w:val="both"/>
        <w:rPr>
          <w:szCs w:val="20"/>
        </w:rPr>
      </w:pPr>
      <w:r w:rsidRPr="00E334EE">
        <w:rPr>
          <w:szCs w:val="20"/>
        </w:rPr>
        <w:t xml:space="preserve">A geometrical definition of the beam could for example be a geofence given in terms of a radius, elevation angle, contour coordinates relative to nadir or satellite subpoint, or similar. </w:t>
      </w:r>
    </w:p>
    <w:p w14:paraId="57F21AAA" w14:textId="77777777" w:rsidR="00B66778" w:rsidRPr="00E334EE" w:rsidRDefault="00B66778" w:rsidP="00D9346B">
      <w:pPr>
        <w:pStyle w:val="BodyText1"/>
        <w:jc w:val="both"/>
        <w:rPr>
          <w:rFonts w:ascii="Times New Roman" w:hAnsi="Times New Roman" w:cs="Times New Roman"/>
          <w:szCs w:val="20"/>
          <w:lang w:eastAsia="da-DK"/>
        </w:rPr>
      </w:pPr>
      <w:r w:rsidRPr="00E334EE">
        <w:rPr>
          <w:rFonts w:ascii="Times New Roman" w:eastAsia="Times New Roman" w:hAnsi="Times New Roman" w:cs="Times New Roman"/>
          <w:szCs w:val="20"/>
        </w:rPr>
        <w:t>An RF parametrization of the beam could for example be a beam direction, beam bandwidth and beam gain. Table 1 depicts the potential size of such parameters for different resolutions indicating the potential size of RF parameterized beam information in SAI.</w:t>
      </w:r>
    </w:p>
    <w:tbl>
      <w:tblPr>
        <w:tblW w:w="9663" w:type="dxa"/>
        <w:tblBorders>
          <w:top w:val="single" w:sz="4" w:space="0" w:color="7F7F7F"/>
          <w:left w:val="single" w:sz="4" w:space="0" w:color="002957"/>
          <w:bottom w:val="single" w:sz="4" w:space="0" w:color="7F7F7F"/>
          <w:right w:val="single" w:sz="4" w:space="0" w:color="002957"/>
          <w:insideH w:val="single" w:sz="4" w:space="0" w:color="002957"/>
          <w:insideV w:val="single" w:sz="4" w:space="0" w:color="002957"/>
        </w:tblBorders>
        <w:tblLayout w:type="fixed"/>
        <w:tblCellMar>
          <w:left w:w="115" w:type="dxa"/>
          <w:right w:w="115" w:type="dxa"/>
        </w:tblCellMar>
        <w:tblLook w:val="0420" w:firstRow="1" w:lastRow="0" w:firstColumn="0" w:lastColumn="0" w:noHBand="0" w:noVBand="1"/>
      </w:tblPr>
      <w:tblGrid>
        <w:gridCol w:w="278"/>
        <w:gridCol w:w="1415"/>
        <w:gridCol w:w="1557"/>
        <w:gridCol w:w="1698"/>
        <w:gridCol w:w="1556"/>
        <w:gridCol w:w="1556"/>
        <w:gridCol w:w="1603"/>
      </w:tblGrid>
      <w:tr w:rsidR="00B66778" w:rsidRPr="00254676" w14:paraId="08E3D7DB" w14:textId="77777777" w:rsidTr="00E61F94">
        <w:trPr>
          <w:trHeight w:val="139"/>
        </w:trPr>
        <w:tc>
          <w:tcPr>
            <w:tcW w:w="1693" w:type="dxa"/>
            <w:gridSpan w:val="2"/>
            <w:vMerge w:val="restart"/>
            <w:vAlign w:val="center"/>
          </w:tcPr>
          <w:p w14:paraId="7DF5CD3C" w14:textId="77777777" w:rsidR="00B66778" w:rsidRPr="00254676" w:rsidRDefault="00B66778" w:rsidP="00E61F94">
            <w:pPr>
              <w:rPr>
                <w:sz w:val="18"/>
                <w:szCs w:val="18"/>
              </w:rPr>
            </w:pPr>
            <w:r w:rsidRPr="00254676">
              <w:rPr>
                <w:sz w:val="18"/>
                <w:szCs w:val="18"/>
              </w:rPr>
              <w:t>Metric</w:t>
            </w:r>
          </w:p>
        </w:tc>
        <w:tc>
          <w:tcPr>
            <w:tcW w:w="7970" w:type="dxa"/>
            <w:gridSpan w:val="5"/>
            <w:vAlign w:val="center"/>
          </w:tcPr>
          <w:p w14:paraId="59CF8310" w14:textId="77777777" w:rsidR="00B66778" w:rsidRPr="00254676" w:rsidRDefault="00B66778" w:rsidP="00E61F94">
            <w:pPr>
              <w:rPr>
                <w:b/>
                <w:sz w:val="18"/>
                <w:szCs w:val="18"/>
              </w:rPr>
            </w:pPr>
            <w:r w:rsidRPr="00254676">
              <w:rPr>
                <w:b/>
                <w:sz w:val="18"/>
                <w:szCs w:val="18"/>
              </w:rPr>
              <w:t>Antenna / Beam</w:t>
            </w:r>
          </w:p>
        </w:tc>
      </w:tr>
      <w:tr w:rsidR="00B66778" w:rsidRPr="00254676" w14:paraId="44E1173A" w14:textId="77777777" w:rsidTr="00E61F94">
        <w:trPr>
          <w:trHeight w:val="138"/>
        </w:trPr>
        <w:tc>
          <w:tcPr>
            <w:tcW w:w="1693" w:type="dxa"/>
            <w:gridSpan w:val="2"/>
            <w:vMerge/>
            <w:vAlign w:val="center"/>
          </w:tcPr>
          <w:p w14:paraId="27DC9446" w14:textId="77777777" w:rsidR="00B66778" w:rsidRPr="00254676" w:rsidRDefault="00B66778" w:rsidP="00E61F94">
            <w:pPr>
              <w:widowControl w:val="0"/>
              <w:pBdr>
                <w:top w:val="nil"/>
                <w:left w:val="nil"/>
                <w:bottom w:val="nil"/>
                <w:right w:val="nil"/>
                <w:between w:val="nil"/>
              </w:pBdr>
              <w:spacing w:line="276" w:lineRule="auto"/>
              <w:rPr>
                <w:b/>
                <w:sz w:val="18"/>
                <w:szCs w:val="18"/>
              </w:rPr>
            </w:pPr>
          </w:p>
        </w:tc>
        <w:tc>
          <w:tcPr>
            <w:tcW w:w="1557" w:type="dxa"/>
            <w:tcBorders>
              <w:bottom w:val="single" w:sz="4" w:space="0" w:color="002957"/>
            </w:tcBorders>
            <w:shd w:val="clear" w:color="auto" w:fill="003876"/>
            <w:vAlign w:val="center"/>
          </w:tcPr>
          <w:p w14:paraId="5430FF3F" w14:textId="77777777" w:rsidR="00B66778" w:rsidRPr="00254676" w:rsidRDefault="00B66778" w:rsidP="00E61F94">
            <w:pPr>
              <w:rPr>
                <w:sz w:val="18"/>
                <w:szCs w:val="18"/>
              </w:rPr>
            </w:pPr>
            <w:r w:rsidRPr="00254676">
              <w:rPr>
                <w:sz w:val="18"/>
                <w:szCs w:val="18"/>
              </w:rPr>
              <w:t xml:space="preserve">Direction </w:t>
            </w:r>
            <m:oMath>
              <m:sSub>
                <m:sSubPr>
                  <m:ctrlPr>
                    <w:rPr>
                      <w:rFonts w:ascii="Cambria Math" w:eastAsia="Cambria Math" w:hAnsi="Cambria Math"/>
                      <w:sz w:val="18"/>
                      <w:szCs w:val="18"/>
                    </w:rPr>
                  </m:ctrlPr>
                </m:sSubPr>
                <m:e>
                  <m:r>
                    <w:rPr>
                      <w:rFonts w:ascii="Cambria Math" w:hAnsi="Cambria Math"/>
                      <w:sz w:val="18"/>
                      <w:szCs w:val="18"/>
                    </w:rPr>
                    <m:t>β</m:t>
                  </m:r>
                </m:e>
                <m:sub>
                  <m:r>
                    <w:rPr>
                      <w:rFonts w:ascii="Cambria Math" w:eastAsia="Cambria Math" w:hAnsi="Cambria Math"/>
                      <w:sz w:val="18"/>
                      <w:szCs w:val="18"/>
                    </w:rPr>
                    <m:t>orbit</m:t>
                  </m:r>
                </m:sub>
              </m:sSub>
            </m:oMath>
          </w:p>
        </w:tc>
        <w:tc>
          <w:tcPr>
            <w:tcW w:w="1698" w:type="dxa"/>
            <w:tcBorders>
              <w:bottom w:val="single" w:sz="4" w:space="0" w:color="002957"/>
            </w:tcBorders>
            <w:shd w:val="clear" w:color="auto" w:fill="003876"/>
            <w:vAlign w:val="center"/>
          </w:tcPr>
          <w:p w14:paraId="76BCE81A" w14:textId="77777777" w:rsidR="00B66778" w:rsidRPr="00254676" w:rsidRDefault="00B66778" w:rsidP="00E61F94">
            <w:pPr>
              <w:rPr>
                <w:sz w:val="18"/>
                <w:szCs w:val="18"/>
              </w:rPr>
            </w:pPr>
            <w:r w:rsidRPr="00254676">
              <w:rPr>
                <w:sz w:val="18"/>
                <w:szCs w:val="18"/>
              </w:rPr>
              <w:t>Direction</w:t>
            </w:r>
          </w:p>
          <w:p w14:paraId="482133F1" w14:textId="77777777" w:rsidR="00B66778" w:rsidRPr="00254676" w:rsidRDefault="00B66778" w:rsidP="00E61F94">
            <w:pPr>
              <w:rPr>
                <w:rFonts w:eastAsia="Cambria Math"/>
                <w:sz w:val="18"/>
                <w:szCs w:val="18"/>
              </w:rPr>
            </w:pPr>
            <m:oMathPara>
              <m:oMath>
                <m:sSub>
                  <m:sSubPr>
                    <m:ctrlPr>
                      <w:rPr>
                        <w:rFonts w:ascii="Cambria Math" w:eastAsia="Cambria Math" w:hAnsi="Cambria Math"/>
                        <w:sz w:val="18"/>
                        <w:szCs w:val="18"/>
                      </w:rPr>
                    </m:ctrlPr>
                  </m:sSubPr>
                  <m:e>
                    <m:r>
                      <w:rPr>
                        <w:rFonts w:ascii="Cambria Math" w:hAnsi="Cambria Math"/>
                        <w:sz w:val="18"/>
                        <w:szCs w:val="18"/>
                      </w:rPr>
                      <m:t>β</m:t>
                    </m:r>
                  </m:e>
                  <m:sub>
                    <m:r>
                      <w:rPr>
                        <w:rFonts w:ascii="Cambria Math" w:eastAsia="Cambria Math" w:hAnsi="Cambria Math"/>
                        <w:sz w:val="18"/>
                        <w:szCs w:val="18"/>
                      </w:rPr>
                      <m:t>orthogonal</m:t>
                    </m:r>
                  </m:sub>
                </m:sSub>
              </m:oMath>
            </m:oMathPara>
          </w:p>
        </w:tc>
        <w:tc>
          <w:tcPr>
            <w:tcW w:w="1556" w:type="dxa"/>
            <w:tcBorders>
              <w:bottom w:val="single" w:sz="4" w:space="0" w:color="002957"/>
            </w:tcBorders>
            <w:shd w:val="clear" w:color="auto" w:fill="003876"/>
            <w:vAlign w:val="center"/>
          </w:tcPr>
          <w:p w14:paraId="3CD28030" w14:textId="77777777" w:rsidR="00B66778" w:rsidRPr="00254676" w:rsidRDefault="00B66778" w:rsidP="00E61F94">
            <w:pPr>
              <w:rPr>
                <w:sz w:val="18"/>
                <w:szCs w:val="18"/>
              </w:rPr>
            </w:pPr>
            <w:r w:rsidRPr="00254676">
              <w:rPr>
                <w:sz w:val="18"/>
                <w:szCs w:val="18"/>
              </w:rPr>
              <w:t xml:space="preserve">HPBW </w:t>
            </w:r>
          </w:p>
          <w:p w14:paraId="728C90E5" w14:textId="77777777" w:rsidR="00B66778" w:rsidRPr="00254676" w:rsidRDefault="00B66778" w:rsidP="00E61F94">
            <w:pPr>
              <w:rPr>
                <w:rFonts w:eastAsia="Cambria Math"/>
                <w:sz w:val="18"/>
                <w:szCs w:val="18"/>
              </w:rPr>
            </w:pPr>
            <m:oMathPara>
              <m:oMath>
                <m:r>
                  <w:rPr>
                    <w:rFonts w:ascii="Cambria Math" w:eastAsia="Cambria Math" w:hAnsi="Cambria Math"/>
                    <w:sz w:val="18"/>
                    <w:szCs w:val="18"/>
                  </w:rPr>
                  <m:t>orbital</m:t>
                </m:r>
              </m:oMath>
            </m:oMathPara>
          </w:p>
        </w:tc>
        <w:tc>
          <w:tcPr>
            <w:tcW w:w="1556" w:type="dxa"/>
            <w:tcBorders>
              <w:bottom w:val="single" w:sz="4" w:space="0" w:color="002957"/>
            </w:tcBorders>
            <w:shd w:val="clear" w:color="auto" w:fill="003876"/>
            <w:vAlign w:val="center"/>
          </w:tcPr>
          <w:p w14:paraId="159F8AC5" w14:textId="77777777" w:rsidR="00B66778" w:rsidRPr="00254676" w:rsidRDefault="00B66778" w:rsidP="00E61F94">
            <w:pPr>
              <w:rPr>
                <w:sz w:val="18"/>
                <w:szCs w:val="18"/>
              </w:rPr>
            </w:pPr>
            <w:r w:rsidRPr="00254676">
              <w:rPr>
                <w:sz w:val="18"/>
                <w:szCs w:val="18"/>
              </w:rPr>
              <w:t xml:space="preserve">HPBW </w:t>
            </w:r>
          </w:p>
          <w:p w14:paraId="249B587F" w14:textId="77777777" w:rsidR="00B66778" w:rsidRPr="00254676" w:rsidRDefault="00B66778" w:rsidP="00E61F94">
            <w:pPr>
              <w:rPr>
                <w:rFonts w:eastAsia="Cambria Math"/>
                <w:sz w:val="18"/>
                <w:szCs w:val="18"/>
              </w:rPr>
            </w:pPr>
            <m:oMathPara>
              <m:oMath>
                <m:r>
                  <w:rPr>
                    <w:rFonts w:ascii="Cambria Math" w:eastAsia="Cambria Math" w:hAnsi="Cambria Math"/>
                    <w:sz w:val="18"/>
                    <w:szCs w:val="18"/>
                  </w:rPr>
                  <m:t>ortogonal</m:t>
                </m:r>
              </m:oMath>
            </m:oMathPara>
          </w:p>
        </w:tc>
        <w:tc>
          <w:tcPr>
            <w:tcW w:w="1600" w:type="dxa"/>
            <w:tcBorders>
              <w:bottom w:val="single" w:sz="4" w:space="0" w:color="002957"/>
            </w:tcBorders>
            <w:shd w:val="clear" w:color="auto" w:fill="003876"/>
            <w:vAlign w:val="center"/>
          </w:tcPr>
          <w:p w14:paraId="769ECB10" w14:textId="77777777" w:rsidR="00B66778" w:rsidRPr="00254676" w:rsidRDefault="00B66778" w:rsidP="00E61F94">
            <w:pPr>
              <w:rPr>
                <w:sz w:val="18"/>
                <w:szCs w:val="18"/>
              </w:rPr>
            </w:pPr>
            <w:r w:rsidRPr="00254676">
              <w:rPr>
                <w:sz w:val="18"/>
                <w:szCs w:val="18"/>
              </w:rPr>
              <w:t>Gain</w:t>
            </w:r>
          </w:p>
        </w:tc>
      </w:tr>
      <w:tr w:rsidR="00B66778" w:rsidRPr="00254676" w14:paraId="28A4E90A" w14:textId="77777777" w:rsidTr="00E61F94">
        <w:trPr>
          <w:trHeight w:val="161"/>
        </w:trPr>
        <w:tc>
          <w:tcPr>
            <w:tcW w:w="1693" w:type="dxa"/>
            <w:gridSpan w:val="2"/>
            <w:vAlign w:val="center"/>
          </w:tcPr>
          <w:p w14:paraId="0A44F400" w14:textId="77777777" w:rsidR="00B66778" w:rsidRPr="00254676" w:rsidRDefault="00B66778" w:rsidP="00E61F94">
            <w:pPr>
              <w:rPr>
                <w:sz w:val="18"/>
                <w:szCs w:val="18"/>
              </w:rPr>
            </w:pPr>
            <w:r w:rsidRPr="00254676">
              <w:rPr>
                <w:sz w:val="18"/>
                <w:szCs w:val="18"/>
              </w:rPr>
              <w:t>Range</w:t>
            </w:r>
          </w:p>
        </w:tc>
        <w:tc>
          <w:tcPr>
            <w:tcW w:w="1557" w:type="dxa"/>
            <w:vAlign w:val="center"/>
          </w:tcPr>
          <w:p w14:paraId="12515502" w14:textId="77777777" w:rsidR="00B66778" w:rsidRPr="00254676" w:rsidRDefault="00B66778" w:rsidP="00E61F94">
            <w:pPr>
              <w:jc w:val="center"/>
              <w:rPr>
                <w:sz w:val="18"/>
                <w:szCs w:val="18"/>
              </w:rPr>
            </w:pPr>
            <w:r w:rsidRPr="00254676">
              <w:rPr>
                <w:sz w:val="18"/>
                <w:szCs w:val="18"/>
              </w:rPr>
              <w:t>0-90</w:t>
            </w:r>
          </w:p>
        </w:tc>
        <w:tc>
          <w:tcPr>
            <w:tcW w:w="1698" w:type="dxa"/>
            <w:vAlign w:val="center"/>
          </w:tcPr>
          <w:p w14:paraId="5536D942" w14:textId="77777777" w:rsidR="00B66778" w:rsidRPr="00254676" w:rsidRDefault="00B66778" w:rsidP="00E61F94">
            <w:pPr>
              <w:jc w:val="center"/>
              <w:rPr>
                <w:sz w:val="18"/>
                <w:szCs w:val="18"/>
              </w:rPr>
            </w:pPr>
            <w:r w:rsidRPr="00254676">
              <w:rPr>
                <w:sz w:val="18"/>
                <w:szCs w:val="18"/>
              </w:rPr>
              <w:t>0-90</w:t>
            </w:r>
          </w:p>
        </w:tc>
        <w:tc>
          <w:tcPr>
            <w:tcW w:w="1556" w:type="dxa"/>
            <w:vAlign w:val="center"/>
          </w:tcPr>
          <w:p w14:paraId="3439A746" w14:textId="77777777" w:rsidR="00B66778" w:rsidRPr="00254676" w:rsidRDefault="00B66778" w:rsidP="00E61F94">
            <w:pPr>
              <w:jc w:val="center"/>
              <w:rPr>
                <w:sz w:val="18"/>
                <w:szCs w:val="18"/>
              </w:rPr>
            </w:pPr>
            <w:r w:rsidRPr="00254676">
              <w:rPr>
                <w:sz w:val="18"/>
                <w:szCs w:val="18"/>
              </w:rPr>
              <w:t>0-180</w:t>
            </w:r>
          </w:p>
        </w:tc>
        <w:tc>
          <w:tcPr>
            <w:tcW w:w="1556" w:type="dxa"/>
            <w:vAlign w:val="center"/>
          </w:tcPr>
          <w:p w14:paraId="22D2EA4B" w14:textId="77777777" w:rsidR="00B66778" w:rsidRPr="00254676" w:rsidRDefault="00B66778" w:rsidP="00E61F94">
            <w:pPr>
              <w:jc w:val="center"/>
              <w:rPr>
                <w:sz w:val="18"/>
                <w:szCs w:val="18"/>
              </w:rPr>
            </w:pPr>
            <w:r w:rsidRPr="00254676">
              <w:rPr>
                <w:sz w:val="18"/>
                <w:szCs w:val="18"/>
              </w:rPr>
              <w:t>0-180</w:t>
            </w:r>
          </w:p>
        </w:tc>
        <w:tc>
          <w:tcPr>
            <w:tcW w:w="1600" w:type="dxa"/>
            <w:vAlign w:val="center"/>
          </w:tcPr>
          <w:p w14:paraId="10730C20" w14:textId="77777777" w:rsidR="00B66778" w:rsidRPr="00254676" w:rsidRDefault="00B66778" w:rsidP="00E61F94">
            <w:pPr>
              <w:jc w:val="center"/>
              <w:rPr>
                <w:sz w:val="18"/>
                <w:szCs w:val="18"/>
              </w:rPr>
            </w:pPr>
            <w:r w:rsidRPr="00254676">
              <w:rPr>
                <w:sz w:val="18"/>
                <w:szCs w:val="18"/>
              </w:rPr>
              <w:t>(-10)-100</w:t>
            </w:r>
          </w:p>
        </w:tc>
      </w:tr>
      <w:tr w:rsidR="00B66778" w:rsidRPr="00254676" w14:paraId="1C1F762D" w14:textId="77777777" w:rsidTr="00E61F94">
        <w:trPr>
          <w:trHeight w:val="168"/>
        </w:trPr>
        <w:tc>
          <w:tcPr>
            <w:tcW w:w="278" w:type="dxa"/>
            <w:vMerge w:val="restart"/>
            <w:vAlign w:val="center"/>
          </w:tcPr>
          <w:p w14:paraId="598CEE10" w14:textId="77777777" w:rsidR="00B66778" w:rsidRPr="00254676" w:rsidRDefault="00B66778" w:rsidP="00E61F94">
            <w:pPr>
              <w:rPr>
                <w:sz w:val="18"/>
                <w:szCs w:val="18"/>
              </w:rPr>
            </w:pPr>
            <w:r w:rsidRPr="00254676">
              <w:rPr>
                <w:sz w:val="18"/>
                <w:szCs w:val="18"/>
              </w:rPr>
              <w:t>bits</w:t>
            </w:r>
          </w:p>
        </w:tc>
        <w:tc>
          <w:tcPr>
            <w:tcW w:w="1414" w:type="dxa"/>
            <w:vAlign w:val="center"/>
          </w:tcPr>
          <w:p w14:paraId="0E95B5F4" w14:textId="77777777" w:rsidR="00B66778" w:rsidRPr="00254676" w:rsidRDefault="00B66778" w:rsidP="00E61F94">
            <w:pPr>
              <w:rPr>
                <w:sz w:val="18"/>
                <w:szCs w:val="18"/>
              </w:rPr>
            </w:pPr>
            <w:r w:rsidRPr="00254676">
              <w:rPr>
                <w:sz w:val="18"/>
                <w:szCs w:val="18"/>
              </w:rPr>
              <w:t>Integer</w:t>
            </w:r>
          </w:p>
        </w:tc>
        <w:tc>
          <w:tcPr>
            <w:tcW w:w="1557" w:type="dxa"/>
            <w:vAlign w:val="center"/>
          </w:tcPr>
          <w:p w14:paraId="207218D3" w14:textId="77777777" w:rsidR="00B66778" w:rsidRPr="00254676" w:rsidRDefault="00B66778" w:rsidP="00E61F94">
            <w:pPr>
              <w:jc w:val="center"/>
              <w:rPr>
                <w:i/>
                <w:sz w:val="18"/>
                <w:szCs w:val="18"/>
              </w:rPr>
            </w:pPr>
            <w:r w:rsidRPr="00254676">
              <w:rPr>
                <w:i/>
                <w:sz w:val="18"/>
                <w:szCs w:val="18"/>
              </w:rPr>
              <w:t>7</w:t>
            </w:r>
          </w:p>
        </w:tc>
        <w:tc>
          <w:tcPr>
            <w:tcW w:w="1698" w:type="dxa"/>
            <w:vAlign w:val="center"/>
          </w:tcPr>
          <w:p w14:paraId="542F1F8F" w14:textId="77777777" w:rsidR="00B66778" w:rsidRPr="00254676" w:rsidRDefault="00B66778" w:rsidP="00E61F94">
            <w:pPr>
              <w:jc w:val="center"/>
              <w:rPr>
                <w:i/>
                <w:sz w:val="18"/>
                <w:szCs w:val="18"/>
              </w:rPr>
            </w:pPr>
            <w:r w:rsidRPr="00254676">
              <w:rPr>
                <w:i/>
                <w:sz w:val="18"/>
                <w:szCs w:val="18"/>
              </w:rPr>
              <w:t>7</w:t>
            </w:r>
          </w:p>
        </w:tc>
        <w:tc>
          <w:tcPr>
            <w:tcW w:w="1556" w:type="dxa"/>
            <w:vAlign w:val="center"/>
          </w:tcPr>
          <w:p w14:paraId="2EDA80AD" w14:textId="77777777" w:rsidR="00B66778" w:rsidRPr="00254676" w:rsidRDefault="00B66778" w:rsidP="00E61F94">
            <w:pPr>
              <w:jc w:val="center"/>
              <w:rPr>
                <w:i/>
                <w:sz w:val="18"/>
                <w:szCs w:val="18"/>
              </w:rPr>
            </w:pPr>
            <w:r w:rsidRPr="00254676">
              <w:rPr>
                <w:i/>
                <w:sz w:val="18"/>
                <w:szCs w:val="18"/>
              </w:rPr>
              <w:t>8</w:t>
            </w:r>
          </w:p>
        </w:tc>
        <w:tc>
          <w:tcPr>
            <w:tcW w:w="1556" w:type="dxa"/>
            <w:vAlign w:val="center"/>
          </w:tcPr>
          <w:p w14:paraId="0F872A84" w14:textId="77777777" w:rsidR="00B66778" w:rsidRPr="00254676" w:rsidRDefault="00B66778" w:rsidP="00E61F94">
            <w:pPr>
              <w:jc w:val="center"/>
              <w:rPr>
                <w:i/>
                <w:sz w:val="18"/>
                <w:szCs w:val="18"/>
              </w:rPr>
            </w:pPr>
            <w:r w:rsidRPr="00254676">
              <w:rPr>
                <w:i/>
                <w:sz w:val="18"/>
                <w:szCs w:val="18"/>
              </w:rPr>
              <w:t>8</w:t>
            </w:r>
          </w:p>
        </w:tc>
        <w:tc>
          <w:tcPr>
            <w:tcW w:w="1600" w:type="dxa"/>
            <w:vAlign w:val="center"/>
          </w:tcPr>
          <w:p w14:paraId="4F76D03C" w14:textId="77777777" w:rsidR="00B66778" w:rsidRPr="00254676" w:rsidRDefault="00B66778" w:rsidP="00E61F94">
            <w:pPr>
              <w:jc w:val="center"/>
              <w:rPr>
                <w:i/>
                <w:sz w:val="18"/>
                <w:szCs w:val="18"/>
              </w:rPr>
            </w:pPr>
            <w:r w:rsidRPr="00254676">
              <w:rPr>
                <w:i/>
                <w:sz w:val="18"/>
                <w:szCs w:val="18"/>
              </w:rPr>
              <w:t>7</w:t>
            </w:r>
          </w:p>
        </w:tc>
      </w:tr>
      <w:tr w:rsidR="00B66778" w:rsidRPr="00254676" w14:paraId="274C821A" w14:textId="77777777" w:rsidTr="00E61F94">
        <w:trPr>
          <w:trHeight w:val="168"/>
        </w:trPr>
        <w:tc>
          <w:tcPr>
            <w:tcW w:w="278" w:type="dxa"/>
            <w:vMerge/>
            <w:vAlign w:val="center"/>
          </w:tcPr>
          <w:p w14:paraId="7E0550CB" w14:textId="77777777" w:rsidR="00B66778" w:rsidRPr="00254676" w:rsidRDefault="00B66778" w:rsidP="00E61F94">
            <w:pPr>
              <w:widowControl w:val="0"/>
              <w:pBdr>
                <w:top w:val="nil"/>
                <w:left w:val="nil"/>
                <w:bottom w:val="nil"/>
                <w:right w:val="nil"/>
                <w:between w:val="nil"/>
              </w:pBdr>
              <w:spacing w:line="276" w:lineRule="auto"/>
              <w:rPr>
                <w:i/>
                <w:sz w:val="18"/>
                <w:szCs w:val="18"/>
              </w:rPr>
            </w:pPr>
          </w:p>
        </w:tc>
        <w:tc>
          <w:tcPr>
            <w:tcW w:w="1414" w:type="dxa"/>
            <w:vAlign w:val="center"/>
          </w:tcPr>
          <w:p w14:paraId="2CF981A5" w14:textId="77777777" w:rsidR="00B66778" w:rsidRPr="00254676" w:rsidRDefault="00B66778" w:rsidP="00E61F94">
            <w:pPr>
              <w:rPr>
                <w:sz w:val="18"/>
                <w:szCs w:val="18"/>
              </w:rPr>
            </w:pPr>
            <w:r w:rsidRPr="00254676">
              <w:rPr>
                <w:sz w:val="18"/>
                <w:szCs w:val="18"/>
              </w:rPr>
              <w:t>1 decimal</w:t>
            </w:r>
          </w:p>
        </w:tc>
        <w:tc>
          <w:tcPr>
            <w:tcW w:w="1557" w:type="dxa"/>
            <w:vAlign w:val="center"/>
          </w:tcPr>
          <w:p w14:paraId="7AEF6131" w14:textId="77777777" w:rsidR="00B66778" w:rsidRPr="00254676" w:rsidRDefault="00B66778" w:rsidP="00E61F94">
            <w:pPr>
              <w:jc w:val="center"/>
              <w:rPr>
                <w:i/>
                <w:sz w:val="18"/>
                <w:szCs w:val="18"/>
              </w:rPr>
            </w:pPr>
            <w:r w:rsidRPr="00254676">
              <w:rPr>
                <w:i/>
                <w:sz w:val="18"/>
                <w:szCs w:val="18"/>
              </w:rPr>
              <w:t>10</w:t>
            </w:r>
          </w:p>
        </w:tc>
        <w:tc>
          <w:tcPr>
            <w:tcW w:w="1698" w:type="dxa"/>
            <w:vAlign w:val="center"/>
          </w:tcPr>
          <w:p w14:paraId="4C70953A" w14:textId="77777777" w:rsidR="00B66778" w:rsidRPr="00254676" w:rsidRDefault="00B66778" w:rsidP="00E61F94">
            <w:pPr>
              <w:jc w:val="center"/>
              <w:rPr>
                <w:i/>
                <w:sz w:val="18"/>
                <w:szCs w:val="18"/>
              </w:rPr>
            </w:pPr>
            <w:r w:rsidRPr="00254676">
              <w:rPr>
                <w:i/>
                <w:sz w:val="18"/>
                <w:szCs w:val="18"/>
              </w:rPr>
              <w:t>10</w:t>
            </w:r>
          </w:p>
        </w:tc>
        <w:tc>
          <w:tcPr>
            <w:tcW w:w="1556" w:type="dxa"/>
            <w:vAlign w:val="center"/>
          </w:tcPr>
          <w:p w14:paraId="1619B8CD" w14:textId="77777777" w:rsidR="00B66778" w:rsidRPr="00254676" w:rsidRDefault="00B66778" w:rsidP="00E61F94">
            <w:pPr>
              <w:jc w:val="center"/>
              <w:rPr>
                <w:i/>
                <w:sz w:val="18"/>
                <w:szCs w:val="18"/>
              </w:rPr>
            </w:pPr>
            <w:r w:rsidRPr="00254676">
              <w:rPr>
                <w:i/>
                <w:sz w:val="18"/>
                <w:szCs w:val="18"/>
              </w:rPr>
              <w:t>11</w:t>
            </w:r>
          </w:p>
        </w:tc>
        <w:tc>
          <w:tcPr>
            <w:tcW w:w="1556" w:type="dxa"/>
            <w:vAlign w:val="center"/>
          </w:tcPr>
          <w:p w14:paraId="73D34512" w14:textId="77777777" w:rsidR="00B66778" w:rsidRPr="00254676" w:rsidRDefault="00B66778" w:rsidP="00E61F94">
            <w:pPr>
              <w:jc w:val="center"/>
              <w:rPr>
                <w:i/>
                <w:sz w:val="18"/>
                <w:szCs w:val="18"/>
              </w:rPr>
            </w:pPr>
            <w:r w:rsidRPr="00254676">
              <w:rPr>
                <w:i/>
                <w:sz w:val="18"/>
                <w:szCs w:val="18"/>
              </w:rPr>
              <w:t>11</w:t>
            </w:r>
          </w:p>
        </w:tc>
        <w:tc>
          <w:tcPr>
            <w:tcW w:w="1600" w:type="dxa"/>
            <w:vAlign w:val="center"/>
          </w:tcPr>
          <w:p w14:paraId="0B0DB103" w14:textId="77777777" w:rsidR="00B66778" w:rsidRPr="00254676" w:rsidRDefault="00B66778" w:rsidP="00E61F94">
            <w:pPr>
              <w:jc w:val="center"/>
              <w:rPr>
                <w:i/>
                <w:sz w:val="18"/>
                <w:szCs w:val="18"/>
              </w:rPr>
            </w:pPr>
            <w:r w:rsidRPr="00254676">
              <w:rPr>
                <w:i/>
                <w:sz w:val="18"/>
                <w:szCs w:val="18"/>
              </w:rPr>
              <w:t>11</w:t>
            </w:r>
          </w:p>
        </w:tc>
      </w:tr>
      <w:tr w:rsidR="00B66778" w:rsidRPr="00254676" w14:paraId="5970EF8B" w14:textId="77777777" w:rsidTr="00E61F94">
        <w:trPr>
          <w:trHeight w:val="168"/>
        </w:trPr>
        <w:tc>
          <w:tcPr>
            <w:tcW w:w="278" w:type="dxa"/>
            <w:vMerge/>
            <w:vAlign w:val="center"/>
          </w:tcPr>
          <w:p w14:paraId="3D27FA42" w14:textId="77777777" w:rsidR="00B66778" w:rsidRPr="00254676" w:rsidRDefault="00B66778" w:rsidP="00E61F94">
            <w:pPr>
              <w:widowControl w:val="0"/>
              <w:pBdr>
                <w:top w:val="nil"/>
                <w:left w:val="nil"/>
                <w:bottom w:val="nil"/>
                <w:right w:val="nil"/>
                <w:between w:val="nil"/>
              </w:pBdr>
              <w:spacing w:line="276" w:lineRule="auto"/>
              <w:rPr>
                <w:i/>
                <w:sz w:val="18"/>
                <w:szCs w:val="18"/>
              </w:rPr>
            </w:pPr>
          </w:p>
        </w:tc>
        <w:tc>
          <w:tcPr>
            <w:tcW w:w="1414" w:type="dxa"/>
            <w:vAlign w:val="center"/>
          </w:tcPr>
          <w:p w14:paraId="41B89583" w14:textId="77777777" w:rsidR="00B66778" w:rsidRPr="00254676" w:rsidRDefault="00B66778" w:rsidP="00E61F94">
            <w:pPr>
              <w:rPr>
                <w:sz w:val="18"/>
                <w:szCs w:val="18"/>
              </w:rPr>
            </w:pPr>
            <w:r w:rsidRPr="00254676">
              <w:rPr>
                <w:sz w:val="18"/>
                <w:szCs w:val="18"/>
              </w:rPr>
              <w:t>2 decimals</w:t>
            </w:r>
          </w:p>
        </w:tc>
        <w:tc>
          <w:tcPr>
            <w:tcW w:w="1557" w:type="dxa"/>
            <w:vAlign w:val="center"/>
          </w:tcPr>
          <w:p w14:paraId="614C8CC4" w14:textId="77777777" w:rsidR="00B66778" w:rsidRPr="00254676" w:rsidRDefault="00B66778" w:rsidP="00E61F94">
            <w:pPr>
              <w:jc w:val="center"/>
              <w:rPr>
                <w:i/>
                <w:sz w:val="18"/>
                <w:szCs w:val="18"/>
              </w:rPr>
            </w:pPr>
            <w:r w:rsidRPr="00254676">
              <w:rPr>
                <w:i/>
                <w:sz w:val="18"/>
                <w:szCs w:val="18"/>
              </w:rPr>
              <w:t>14</w:t>
            </w:r>
          </w:p>
        </w:tc>
        <w:tc>
          <w:tcPr>
            <w:tcW w:w="1698" w:type="dxa"/>
            <w:vAlign w:val="center"/>
          </w:tcPr>
          <w:p w14:paraId="50C134A9" w14:textId="77777777" w:rsidR="00B66778" w:rsidRPr="00254676" w:rsidRDefault="00B66778" w:rsidP="00E61F94">
            <w:pPr>
              <w:jc w:val="center"/>
              <w:rPr>
                <w:i/>
                <w:sz w:val="18"/>
                <w:szCs w:val="18"/>
              </w:rPr>
            </w:pPr>
            <w:r w:rsidRPr="00254676">
              <w:rPr>
                <w:i/>
                <w:sz w:val="18"/>
                <w:szCs w:val="18"/>
              </w:rPr>
              <w:t>14</w:t>
            </w:r>
          </w:p>
        </w:tc>
        <w:tc>
          <w:tcPr>
            <w:tcW w:w="1556" w:type="dxa"/>
            <w:vAlign w:val="center"/>
          </w:tcPr>
          <w:p w14:paraId="1F0E2218" w14:textId="77777777" w:rsidR="00B66778" w:rsidRPr="00254676" w:rsidRDefault="00B66778" w:rsidP="00E61F94">
            <w:pPr>
              <w:jc w:val="center"/>
              <w:rPr>
                <w:i/>
                <w:sz w:val="18"/>
                <w:szCs w:val="18"/>
              </w:rPr>
            </w:pPr>
            <w:r w:rsidRPr="00254676">
              <w:rPr>
                <w:i/>
                <w:sz w:val="18"/>
                <w:szCs w:val="18"/>
              </w:rPr>
              <w:t>15</w:t>
            </w:r>
          </w:p>
        </w:tc>
        <w:tc>
          <w:tcPr>
            <w:tcW w:w="1556" w:type="dxa"/>
            <w:vAlign w:val="center"/>
          </w:tcPr>
          <w:p w14:paraId="7C3EBF5E" w14:textId="77777777" w:rsidR="00B66778" w:rsidRPr="00254676" w:rsidRDefault="00B66778" w:rsidP="00E61F94">
            <w:pPr>
              <w:jc w:val="center"/>
              <w:rPr>
                <w:i/>
                <w:sz w:val="18"/>
                <w:szCs w:val="18"/>
              </w:rPr>
            </w:pPr>
            <w:r w:rsidRPr="00254676">
              <w:rPr>
                <w:i/>
                <w:sz w:val="18"/>
                <w:szCs w:val="18"/>
              </w:rPr>
              <w:t>15</w:t>
            </w:r>
          </w:p>
        </w:tc>
        <w:tc>
          <w:tcPr>
            <w:tcW w:w="1600" w:type="dxa"/>
            <w:vAlign w:val="center"/>
          </w:tcPr>
          <w:p w14:paraId="0E407263" w14:textId="77777777" w:rsidR="00B66778" w:rsidRPr="00254676" w:rsidRDefault="00B66778" w:rsidP="00E61F94">
            <w:pPr>
              <w:jc w:val="center"/>
              <w:rPr>
                <w:i/>
                <w:sz w:val="18"/>
                <w:szCs w:val="18"/>
              </w:rPr>
            </w:pPr>
            <w:r w:rsidRPr="00254676">
              <w:rPr>
                <w:i/>
                <w:sz w:val="18"/>
                <w:szCs w:val="18"/>
              </w:rPr>
              <w:t>14</w:t>
            </w:r>
          </w:p>
        </w:tc>
      </w:tr>
    </w:tbl>
    <w:p w14:paraId="5CA28E72" w14:textId="1706D465" w:rsidR="00B66778" w:rsidRDefault="00B66778" w:rsidP="00B66778">
      <w:pPr>
        <w:pBdr>
          <w:top w:val="nil"/>
          <w:left w:val="nil"/>
          <w:bottom w:val="nil"/>
          <w:right w:val="nil"/>
          <w:between w:val="nil"/>
        </w:pBdr>
        <w:rPr>
          <w:i/>
          <w:color w:val="000000" w:themeColor="text1"/>
          <w:sz w:val="22"/>
          <w:szCs w:val="22"/>
        </w:rPr>
      </w:pPr>
      <w:r w:rsidRPr="5E3DD780">
        <w:rPr>
          <w:i/>
          <w:color w:val="000000" w:themeColor="text1"/>
          <w:sz w:val="22"/>
          <w:szCs w:val="22"/>
        </w:rPr>
        <w:t>Table 1 – Required bits for the transmission of beamform parameters at various resolutions and ranges.</w:t>
      </w:r>
    </w:p>
    <w:p w14:paraId="7C0EDAD7" w14:textId="77777777" w:rsidR="00D9346B" w:rsidRPr="00254676" w:rsidRDefault="00D9346B" w:rsidP="00B66778">
      <w:pPr>
        <w:pBdr>
          <w:top w:val="nil"/>
          <w:left w:val="nil"/>
          <w:bottom w:val="nil"/>
          <w:right w:val="nil"/>
          <w:between w:val="nil"/>
        </w:pBdr>
        <w:rPr>
          <w:i/>
          <w:color w:val="000000"/>
          <w:sz w:val="22"/>
          <w:szCs w:val="22"/>
        </w:rPr>
      </w:pPr>
    </w:p>
    <w:p w14:paraId="633F9B48" w14:textId="77777777" w:rsidR="00B66778" w:rsidRPr="00E334EE" w:rsidRDefault="00B66778" w:rsidP="00D9346B">
      <w:pPr>
        <w:jc w:val="both"/>
        <w:rPr>
          <w:szCs w:val="20"/>
        </w:rPr>
      </w:pPr>
      <w:r w:rsidRPr="00E334EE">
        <w:rPr>
          <w:szCs w:val="20"/>
        </w:rPr>
        <w:t>Resolution of parameters is FFS. But as an example, per the template values in table 1, a full set of beamform parameters can be transmitted in 37 bits with integer resolution or 53 bits for 1 decimal resolution.</w:t>
      </w:r>
    </w:p>
    <w:p w14:paraId="1A34FA44" w14:textId="77777777" w:rsidR="00B66778" w:rsidRPr="00E334EE" w:rsidRDefault="00B66778" w:rsidP="00D9346B">
      <w:pPr>
        <w:jc w:val="both"/>
        <w:rPr>
          <w:iCs/>
          <w:szCs w:val="20"/>
        </w:rPr>
      </w:pPr>
      <w:r w:rsidRPr="00E334EE">
        <w:rPr>
          <w:szCs w:val="20"/>
        </w:rPr>
        <w:t>In relation to proposal 1; In cases where</w:t>
      </w:r>
      <w:r w:rsidRPr="00E334EE">
        <w:rPr>
          <w:iCs/>
          <w:szCs w:val="20"/>
        </w:rPr>
        <w:t xml:space="preserve"> the </w:t>
      </w:r>
      <w:r w:rsidRPr="00E334EE">
        <w:rPr>
          <w:szCs w:val="20"/>
        </w:rPr>
        <w:t>beamforms</w:t>
      </w:r>
      <w:r w:rsidRPr="00E334EE">
        <w:rPr>
          <w:iCs/>
          <w:szCs w:val="20"/>
        </w:rPr>
        <w:t xml:space="preserve"> of satellites in a set </w:t>
      </w:r>
      <w:r w:rsidRPr="00E334EE">
        <w:rPr>
          <w:szCs w:val="20"/>
        </w:rPr>
        <w:t>are</w:t>
      </w:r>
      <w:r w:rsidRPr="00E334EE">
        <w:rPr>
          <w:iCs/>
          <w:szCs w:val="20"/>
        </w:rPr>
        <w:t xml:space="preserve"> alike the beam information may only need to be transmitted once. </w:t>
      </w:r>
    </w:p>
    <w:p w14:paraId="7D71C5C3" w14:textId="77777777" w:rsidR="00B66778" w:rsidRPr="00E334EE" w:rsidRDefault="00B66778" w:rsidP="00D9346B">
      <w:pPr>
        <w:jc w:val="both"/>
        <w:rPr>
          <w:szCs w:val="20"/>
        </w:rPr>
      </w:pPr>
    </w:p>
    <w:p w14:paraId="10BCB97C" w14:textId="77777777" w:rsidR="00B66778" w:rsidRPr="00E334EE" w:rsidRDefault="00B66778" w:rsidP="00B66778">
      <w:pPr>
        <w:rPr>
          <w:i/>
          <w:szCs w:val="20"/>
        </w:rPr>
      </w:pPr>
      <w:r w:rsidRPr="00E334EE">
        <w:rPr>
          <w:i/>
          <w:szCs w:val="20"/>
          <w:u w:val="single"/>
        </w:rPr>
        <w:t>Proposal 2</w:t>
      </w:r>
      <w:r w:rsidRPr="00E334EE">
        <w:rPr>
          <w:i/>
          <w:szCs w:val="20"/>
        </w:rPr>
        <w:t xml:space="preserve">: In addition to orbital parameters, the SAI should allow for the transmission of optional beam information. This could be a set of geometrical and/or RF parametrization parameters configurable at will by the satellite network operator. </w:t>
      </w:r>
    </w:p>
    <w:p w14:paraId="561299FF" w14:textId="77777777" w:rsidR="008D0B11" w:rsidRDefault="008D0B11">
      <w:pPr>
        <w:rPr>
          <w:rFonts w:eastAsia="MS Mincho"/>
          <w:b/>
          <w:bCs/>
          <w:iCs/>
          <w:sz w:val="24"/>
          <w:lang w:eastAsia="zh-CN"/>
        </w:rPr>
      </w:pPr>
      <w:r>
        <w:rPr>
          <w:sz w:val="24"/>
        </w:rPr>
        <w:br w:type="page"/>
      </w:r>
    </w:p>
    <w:p w14:paraId="1DAAA46B" w14:textId="48AAA898" w:rsidR="00B66778" w:rsidRPr="00D9346B" w:rsidRDefault="00B66778" w:rsidP="008352F0">
      <w:pPr>
        <w:pStyle w:val="Heading2"/>
        <w:keepLines/>
        <w:numPr>
          <w:ilvl w:val="1"/>
          <w:numId w:val="12"/>
        </w:numPr>
        <w:spacing w:before="480" w:after="120" w:line="259" w:lineRule="auto"/>
        <w:rPr>
          <w:rFonts w:ascii="Times New Roman" w:hAnsi="Times New Roman" w:cs="Times New Roman"/>
          <w:sz w:val="24"/>
          <w:szCs w:val="24"/>
        </w:rPr>
      </w:pPr>
      <w:r w:rsidRPr="00D9346B">
        <w:rPr>
          <w:rFonts w:ascii="Times New Roman" w:hAnsi="Times New Roman" w:cs="Times New Roman"/>
          <w:sz w:val="24"/>
          <w:szCs w:val="24"/>
        </w:rPr>
        <w:lastRenderedPageBreak/>
        <w:t>SAI delivery</w:t>
      </w:r>
    </w:p>
    <w:p w14:paraId="36725CC9" w14:textId="0E6F805A" w:rsidR="00B66778" w:rsidRPr="00E334EE" w:rsidRDefault="00B66778" w:rsidP="00D9346B">
      <w:pPr>
        <w:jc w:val="both"/>
        <w:rPr>
          <w:szCs w:val="20"/>
        </w:rPr>
      </w:pPr>
      <w:r w:rsidRPr="00E334EE">
        <w:rPr>
          <w:szCs w:val="20"/>
        </w:rPr>
        <w:t>SAI could basically consist of information valid for a long-term (</w:t>
      </w:r>
      <w:r w:rsidR="00D9346B" w:rsidRPr="00E334EE">
        <w:rPr>
          <w:szCs w:val="20"/>
        </w:rPr>
        <w:t>i.e.,</w:t>
      </w:r>
      <w:r w:rsidRPr="00E334EE">
        <w:rPr>
          <w:szCs w:val="20"/>
        </w:rPr>
        <w:t xml:space="preserve"> usable for days or weeks), so it may be delivered at a much lower rate than EI (e.g.</w:t>
      </w:r>
      <w:r w:rsidR="00D9346B" w:rsidRPr="00E334EE">
        <w:rPr>
          <w:szCs w:val="20"/>
        </w:rPr>
        <w:t>,</w:t>
      </w:r>
      <w:r w:rsidRPr="00E334EE">
        <w:rPr>
          <w:szCs w:val="20"/>
        </w:rPr>
        <w:t xml:space="preserve"> a TLE has a size of 138bytes and can provide accuracies of a few seconds over a period of days [5]; moreover, beam coverage characterization parameters may not be subject to change in weeks or months). </w:t>
      </w:r>
    </w:p>
    <w:p w14:paraId="5C5E6289" w14:textId="77777777" w:rsidR="00B66778" w:rsidRPr="00E334EE" w:rsidRDefault="00B66778" w:rsidP="00D9346B">
      <w:pPr>
        <w:jc w:val="both"/>
        <w:rPr>
          <w:szCs w:val="20"/>
        </w:rPr>
      </w:pPr>
      <w:r w:rsidRPr="00E334EE">
        <w:rPr>
          <w:szCs w:val="20"/>
        </w:rPr>
        <w:t>Fig. 5 identifies three potential options for SAI delivery:</w:t>
      </w:r>
    </w:p>
    <w:p w14:paraId="2BF7019B" w14:textId="77777777" w:rsidR="00B66778" w:rsidRPr="00E334EE" w:rsidRDefault="00B66778" w:rsidP="008352F0">
      <w:pPr>
        <w:pStyle w:val="ListParagraph"/>
        <w:widowControl/>
        <w:numPr>
          <w:ilvl w:val="0"/>
          <w:numId w:val="8"/>
        </w:numPr>
        <w:spacing w:after="160" w:line="259" w:lineRule="auto"/>
        <w:ind w:firstLineChars="0"/>
        <w:contextualSpacing/>
        <w:rPr>
          <w:rFonts w:ascii="Times New Roman" w:hAnsi="Times New Roman"/>
          <w:sz w:val="20"/>
          <w:szCs w:val="20"/>
        </w:rPr>
      </w:pPr>
      <w:r w:rsidRPr="00E334EE">
        <w:rPr>
          <w:rFonts w:ascii="Times New Roman" w:hAnsi="Times New Roman"/>
          <w:sz w:val="20"/>
          <w:szCs w:val="20"/>
        </w:rPr>
        <w:t xml:space="preserve">Option (1). The SAI may be broadcast as a SIB like the EI, </w:t>
      </w:r>
    </w:p>
    <w:p w14:paraId="3E055700" w14:textId="77777777" w:rsidR="00B66778" w:rsidRPr="00E334EE" w:rsidRDefault="00B66778" w:rsidP="008352F0">
      <w:pPr>
        <w:pStyle w:val="ListParagraph"/>
        <w:widowControl/>
        <w:numPr>
          <w:ilvl w:val="0"/>
          <w:numId w:val="8"/>
        </w:numPr>
        <w:spacing w:after="160" w:line="259" w:lineRule="auto"/>
        <w:ind w:firstLineChars="0"/>
        <w:contextualSpacing/>
        <w:rPr>
          <w:rFonts w:ascii="Times New Roman" w:hAnsi="Times New Roman"/>
          <w:sz w:val="20"/>
          <w:szCs w:val="20"/>
        </w:rPr>
      </w:pPr>
      <w:r w:rsidRPr="00E334EE">
        <w:rPr>
          <w:rFonts w:ascii="Times New Roman" w:hAnsi="Times New Roman"/>
          <w:sz w:val="20"/>
          <w:szCs w:val="20"/>
        </w:rPr>
        <w:t>Option (2). The SAI may be delivered to specific UEs in RRC messaging</w:t>
      </w:r>
    </w:p>
    <w:p w14:paraId="6DE75D9C" w14:textId="7FE29A48" w:rsidR="00B66778" w:rsidRPr="00E334EE" w:rsidRDefault="00B66778" w:rsidP="008352F0">
      <w:pPr>
        <w:pStyle w:val="ListParagraph"/>
        <w:widowControl/>
        <w:numPr>
          <w:ilvl w:val="0"/>
          <w:numId w:val="8"/>
        </w:numPr>
        <w:spacing w:after="160" w:line="259" w:lineRule="auto"/>
        <w:ind w:firstLineChars="0"/>
        <w:contextualSpacing/>
        <w:rPr>
          <w:rFonts w:ascii="Times New Roman" w:hAnsi="Times New Roman"/>
          <w:sz w:val="20"/>
          <w:szCs w:val="20"/>
        </w:rPr>
      </w:pPr>
      <w:r w:rsidRPr="00E334EE">
        <w:rPr>
          <w:rFonts w:ascii="Times New Roman" w:hAnsi="Times New Roman"/>
          <w:sz w:val="20"/>
          <w:szCs w:val="20"/>
        </w:rPr>
        <w:t xml:space="preserve">Option (3). The SAI is retrieved over the data plane from a “SAI function” via a new </w:t>
      </w:r>
      <w:r w:rsidR="00D9346B" w:rsidRPr="00E334EE">
        <w:rPr>
          <w:rFonts w:ascii="Times New Roman" w:hAnsi="Times New Roman"/>
          <w:sz w:val="20"/>
          <w:szCs w:val="20"/>
        </w:rPr>
        <w:t>standardized</w:t>
      </w:r>
      <w:r w:rsidRPr="00E334EE">
        <w:rPr>
          <w:rFonts w:ascii="Times New Roman" w:hAnsi="Times New Roman"/>
          <w:sz w:val="20"/>
          <w:szCs w:val="20"/>
        </w:rPr>
        <w:t xml:space="preserve"> reference point “</w:t>
      </w:r>
      <w:proofErr w:type="spellStart"/>
      <w:r w:rsidRPr="00E334EE">
        <w:rPr>
          <w:rFonts w:ascii="Times New Roman" w:hAnsi="Times New Roman"/>
          <w:sz w:val="20"/>
          <w:szCs w:val="20"/>
        </w:rPr>
        <w:t>Sx</w:t>
      </w:r>
      <w:proofErr w:type="spellEnd"/>
      <w:r w:rsidRPr="00E334EE">
        <w:rPr>
          <w:rFonts w:ascii="Times New Roman" w:hAnsi="Times New Roman"/>
          <w:sz w:val="20"/>
          <w:szCs w:val="20"/>
        </w:rPr>
        <w:t xml:space="preserve">”, following an approach </w:t>
      </w:r>
      <w:proofErr w:type="gramStart"/>
      <w:r w:rsidRPr="00E334EE">
        <w:rPr>
          <w:rFonts w:ascii="Times New Roman" w:hAnsi="Times New Roman"/>
          <w:sz w:val="20"/>
          <w:szCs w:val="20"/>
        </w:rPr>
        <w:t>similar to</w:t>
      </w:r>
      <w:proofErr w:type="gramEnd"/>
      <w:r w:rsidRPr="00E334EE">
        <w:rPr>
          <w:rFonts w:ascii="Times New Roman" w:hAnsi="Times New Roman"/>
          <w:sz w:val="20"/>
          <w:szCs w:val="20"/>
        </w:rPr>
        <w:t xml:space="preserve"> that of Access Network Discovery and Selection Function (ANDSF) and S14 interface in TS 23.401.</w:t>
      </w:r>
    </w:p>
    <w:p w14:paraId="5FFF15DE" w14:textId="77777777" w:rsidR="00B66778" w:rsidRDefault="00B66778" w:rsidP="00D9346B">
      <w:pPr>
        <w:keepNext/>
        <w:jc w:val="both"/>
      </w:pPr>
      <w:r w:rsidRPr="00D14E63">
        <w:t xml:space="preserve"> </w:t>
      </w:r>
      <w:r w:rsidRPr="00D14E63">
        <w:rPr>
          <w:noProof/>
        </w:rPr>
        <w:drawing>
          <wp:inline distT="0" distB="0" distL="0" distR="0" wp14:anchorId="7E744241" wp14:editId="4D1EB80A">
            <wp:extent cx="6120130" cy="214994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2149945"/>
                    </a:xfrm>
                    <a:prstGeom prst="rect">
                      <a:avLst/>
                    </a:prstGeom>
                    <a:noFill/>
                    <a:ln>
                      <a:noFill/>
                    </a:ln>
                  </pic:spPr>
                </pic:pic>
              </a:graphicData>
            </a:graphic>
          </wp:inline>
        </w:drawing>
      </w:r>
    </w:p>
    <w:p w14:paraId="57F6CA93" w14:textId="3F50400F" w:rsidR="00B66778" w:rsidRPr="00D9346B" w:rsidRDefault="00B66778" w:rsidP="00D9346B">
      <w:pPr>
        <w:pStyle w:val="Caption"/>
        <w:jc w:val="both"/>
        <w:rPr>
          <w:i/>
          <w:iCs/>
        </w:rPr>
      </w:pPr>
      <w:r w:rsidRPr="00D9346B">
        <w:rPr>
          <w:i/>
          <w:iCs/>
        </w:rPr>
        <w:t xml:space="preserve">Figure </w:t>
      </w:r>
      <w:r w:rsidRPr="00D9346B">
        <w:rPr>
          <w:i/>
          <w:iCs/>
        </w:rPr>
        <w:fldChar w:fldCharType="begin"/>
      </w:r>
      <w:r w:rsidRPr="00D9346B">
        <w:rPr>
          <w:i/>
          <w:iCs/>
        </w:rPr>
        <w:instrText>SEQ Figure \* ARABIC</w:instrText>
      </w:r>
      <w:r w:rsidRPr="00D9346B">
        <w:rPr>
          <w:i/>
          <w:iCs/>
        </w:rPr>
        <w:fldChar w:fldCharType="separate"/>
      </w:r>
      <w:r w:rsidRPr="00D9346B">
        <w:rPr>
          <w:i/>
          <w:iCs/>
          <w:noProof/>
        </w:rPr>
        <w:t>5</w:t>
      </w:r>
      <w:r w:rsidRPr="00D9346B">
        <w:rPr>
          <w:i/>
          <w:iCs/>
        </w:rPr>
        <w:fldChar w:fldCharType="end"/>
      </w:r>
      <w:r w:rsidRPr="00D9346B">
        <w:rPr>
          <w:i/>
          <w:iCs/>
        </w:rPr>
        <w:t xml:space="preserve"> - Three potential options for delivery of SAI</w:t>
      </w:r>
      <w:r w:rsidR="00D9346B" w:rsidRPr="00D9346B">
        <w:rPr>
          <w:i/>
          <w:iCs/>
        </w:rPr>
        <w:t>.</w:t>
      </w:r>
    </w:p>
    <w:p w14:paraId="31C65CF1" w14:textId="77777777" w:rsidR="00B66778" w:rsidRPr="00254676" w:rsidRDefault="00B66778" w:rsidP="00D9346B">
      <w:pPr>
        <w:jc w:val="both"/>
        <w:rPr>
          <w:sz w:val="22"/>
          <w:szCs w:val="22"/>
        </w:rPr>
      </w:pPr>
      <w:r w:rsidRPr="00254676">
        <w:rPr>
          <w:noProof/>
          <w:sz w:val="22"/>
          <w:szCs w:val="22"/>
        </w:rPr>
        <w:t xml:space="preserve"> </w:t>
      </w:r>
    </w:p>
    <w:p w14:paraId="21E866D7" w14:textId="645548FD" w:rsidR="00B66778" w:rsidRPr="00E334EE" w:rsidRDefault="00B66778" w:rsidP="00B66778">
      <w:pPr>
        <w:rPr>
          <w:i/>
          <w:iCs/>
          <w:szCs w:val="20"/>
        </w:rPr>
      </w:pPr>
      <w:r w:rsidRPr="00E334EE">
        <w:rPr>
          <w:i/>
          <w:iCs/>
          <w:szCs w:val="20"/>
          <w:u w:val="single"/>
        </w:rPr>
        <w:t>Proposal 3</w:t>
      </w:r>
      <w:r w:rsidRPr="00E334EE">
        <w:rPr>
          <w:i/>
          <w:iCs/>
          <w:szCs w:val="20"/>
        </w:rPr>
        <w:t xml:space="preserve">: At least one SAI delivery method shall be </w:t>
      </w:r>
      <w:r w:rsidR="00D9346B" w:rsidRPr="00E334EE">
        <w:rPr>
          <w:i/>
          <w:iCs/>
          <w:szCs w:val="20"/>
        </w:rPr>
        <w:t>standardized</w:t>
      </w:r>
      <w:r w:rsidRPr="00E334EE">
        <w:rPr>
          <w:i/>
          <w:iCs/>
          <w:szCs w:val="20"/>
        </w:rPr>
        <w:t>.</w:t>
      </w:r>
    </w:p>
    <w:p w14:paraId="6BBDFF0C" w14:textId="77777777" w:rsidR="00B66778" w:rsidRDefault="00B66778" w:rsidP="00B66778">
      <w:pPr>
        <w:rPr>
          <w:i/>
          <w:sz w:val="22"/>
          <w:szCs w:val="22"/>
        </w:rPr>
      </w:pPr>
    </w:p>
    <w:p w14:paraId="72EE715B" w14:textId="77777777" w:rsidR="00B66778" w:rsidRPr="00576766" w:rsidRDefault="00B66778" w:rsidP="00B66778">
      <w:pPr>
        <w:pStyle w:val="BodyText1"/>
        <w:rPr>
          <w:rFonts w:ascii="Times New Roman" w:hAnsi="Times New Roman" w:cs="Times New Roman"/>
          <w:lang w:eastAsia="da-DK"/>
        </w:rPr>
      </w:pPr>
    </w:p>
    <w:p w14:paraId="407FB5F5" w14:textId="77777777" w:rsidR="00B66778" w:rsidRDefault="00B66778" w:rsidP="00B66778">
      <w:r>
        <w:br w:type="page"/>
      </w:r>
    </w:p>
    <w:p w14:paraId="05EF6861" w14:textId="79CC53EE" w:rsidR="00D3731F" w:rsidRDefault="00D3731F" w:rsidP="00D3731F">
      <w:pPr>
        <w:pStyle w:val="Heading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Solution Proposal</w:t>
      </w:r>
    </w:p>
    <w:p w14:paraId="64FFBB9A" w14:textId="7084CFAC" w:rsidR="00B66778" w:rsidRPr="00E334EE" w:rsidRDefault="00D3731F" w:rsidP="00D3731F">
      <w:pPr>
        <w:pStyle w:val="Heading2"/>
        <w:numPr>
          <w:ilvl w:val="1"/>
          <w:numId w:val="5"/>
        </w:numPr>
        <w:rPr>
          <w:b w:val="0"/>
          <w:bCs w:val="0"/>
          <w:sz w:val="24"/>
          <w:szCs w:val="24"/>
          <w:lang w:val="en-GB"/>
        </w:rPr>
      </w:pPr>
      <w:r w:rsidRPr="00E334EE">
        <w:rPr>
          <w:b w:val="0"/>
          <w:bCs w:val="0"/>
          <w:sz w:val="24"/>
          <w:szCs w:val="24"/>
          <w:lang w:val="en-GB"/>
        </w:rPr>
        <w:t>Observations</w:t>
      </w:r>
    </w:p>
    <w:p w14:paraId="41CCEDDE" w14:textId="32F59BB6" w:rsidR="00B66778" w:rsidRPr="00E334EE" w:rsidRDefault="00B66778" w:rsidP="00B66778">
      <w:pPr>
        <w:rPr>
          <w:b/>
          <w:bCs/>
          <w:i/>
          <w:szCs w:val="20"/>
        </w:rPr>
      </w:pPr>
      <w:r w:rsidRPr="00E334EE">
        <w:rPr>
          <w:b/>
          <w:bCs/>
          <w:i/>
          <w:szCs w:val="20"/>
        </w:rPr>
        <w:t>Observation 1: UEs need both positional- and</w:t>
      </w:r>
      <w:r w:rsidRPr="00E334EE">
        <w:rPr>
          <w:b/>
          <w:bCs/>
          <w:szCs w:val="20"/>
        </w:rPr>
        <w:t xml:space="preserve"> </w:t>
      </w:r>
      <w:r w:rsidRPr="00E334EE">
        <w:rPr>
          <w:b/>
          <w:bCs/>
          <w:i/>
          <w:szCs w:val="20"/>
        </w:rPr>
        <w:t>beam information to predict when coverage ends in a cell.</w:t>
      </w:r>
      <w:r w:rsidR="00D3731F" w:rsidRPr="00E334EE">
        <w:rPr>
          <w:b/>
          <w:bCs/>
          <w:i/>
          <w:szCs w:val="20"/>
        </w:rPr>
        <w:br/>
      </w:r>
    </w:p>
    <w:p w14:paraId="6DCE3F34" w14:textId="1363514A" w:rsidR="00B66778" w:rsidRPr="00E334EE" w:rsidRDefault="00B66778" w:rsidP="00B66778">
      <w:pPr>
        <w:rPr>
          <w:b/>
          <w:bCs/>
          <w:i/>
          <w:szCs w:val="20"/>
        </w:rPr>
      </w:pPr>
      <w:r w:rsidRPr="00E334EE">
        <w:rPr>
          <w:b/>
          <w:bCs/>
          <w:i/>
          <w:szCs w:val="20"/>
        </w:rPr>
        <w:t>Observation 2: A UE will need orbital- and beam-information for a set of satellites to predict coverage gaps between satellites in the set.</w:t>
      </w:r>
      <w:r w:rsidR="00D3731F" w:rsidRPr="00E334EE">
        <w:rPr>
          <w:b/>
          <w:bCs/>
          <w:i/>
          <w:szCs w:val="20"/>
        </w:rPr>
        <w:br/>
      </w:r>
    </w:p>
    <w:p w14:paraId="3D1FF7A6" w14:textId="133A5AB4" w:rsidR="00B66778" w:rsidRDefault="00B66778" w:rsidP="00E334EE">
      <w:pPr>
        <w:rPr>
          <w:b/>
          <w:bCs/>
          <w:i/>
          <w:szCs w:val="20"/>
        </w:rPr>
      </w:pPr>
      <w:r w:rsidRPr="00E334EE">
        <w:rPr>
          <w:b/>
          <w:bCs/>
          <w:i/>
          <w:szCs w:val="20"/>
        </w:rPr>
        <w:t>Observation 3: A UE may use excessive radio resource and would therefore waste power and system capacity on a poorly timed transmission attempt in poor channel conditions.</w:t>
      </w:r>
    </w:p>
    <w:p w14:paraId="40B65A25" w14:textId="77777777" w:rsidR="00E334EE" w:rsidRPr="00E334EE" w:rsidRDefault="00E334EE" w:rsidP="00E334EE">
      <w:pPr>
        <w:rPr>
          <w:b/>
          <w:bCs/>
          <w:i/>
          <w:szCs w:val="20"/>
        </w:rPr>
      </w:pPr>
    </w:p>
    <w:p w14:paraId="67F97573" w14:textId="77777777" w:rsidR="00D3731F" w:rsidRPr="00D3731F" w:rsidRDefault="00D3731F" w:rsidP="008352F0">
      <w:pPr>
        <w:pStyle w:val="ListParagraph"/>
        <w:keepNext/>
        <w:widowControl/>
        <w:numPr>
          <w:ilvl w:val="0"/>
          <w:numId w:val="13"/>
        </w:numPr>
        <w:spacing w:before="240" w:after="60"/>
        <w:ind w:firstLineChars="0"/>
        <w:jc w:val="left"/>
        <w:outlineLvl w:val="1"/>
        <w:rPr>
          <w:rFonts w:ascii="Arial" w:eastAsia="MS Mincho" w:hAnsi="Arial" w:cs="Arial"/>
          <w:b/>
          <w:bCs/>
          <w:iCs/>
          <w:vanish/>
          <w:kern w:val="0"/>
          <w:sz w:val="20"/>
          <w:szCs w:val="28"/>
        </w:rPr>
      </w:pPr>
    </w:p>
    <w:p w14:paraId="0A81429E" w14:textId="77777777" w:rsidR="00D3731F" w:rsidRPr="00D3731F" w:rsidRDefault="00D3731F" w:rsidP="008352F0">
      <w:pPr>
        <w:pStyle w:val="ListParagraph"/>
        <w:keepNext/>
        <w:widowControl/>
        <w:numPr>
          <w:ilvl w:val="0"/>
          <w:numId w:val="13"/>
        </w:numPr>
        <w:spacing w:before="240" w:after="60"/>
        <w:ind w:firstLineChars="0"/>
        <w:jc w:val="left"/>
        <w:outlineLvl w:val="1"/>
        <w:rPr>
          <w:rFonts w:ascii="Arial" w:eastAsia="MS Mincho" w:hAnsi="Arial" w:cs="Arial"/>
          <w:b/>
          <w:bCs/>
          <w:iCs/>
          <w:vanish/>
          <w:kern w:val="0"/>
          <w:sz w:val="20"/>
          <w:szCs w:val="28"/>
        </w:rPr>
      </w:pPr>
    </w:p>
    <w:p w14:paraId="4B5A3856" w14:textId="77777777" w:rsidR="00D3731F" w:rsidRPr="00D3731F" w:rsidRDefault="00D3731F" w:rsidP="008352F0">
      <w:pPr>
        <w:pStyle w:val="ListParagraph"/>
        <w:keepNext/>
        <w:widowControl/>
        <w:numPr>
          <w:ilvl w:val="0"/>
          <w:numId w:val="13"/>
        </w:numPr>
        <w:spacing w:before="240" w:after="60"/>
        <w:ind w:firstLineChars="0"/>
        <w:jc w:val="left"/>
        <w:outlineLvl w:val="1"/>
        <w:rPr>
          <w:rFonts w:ascii="Arial" w:eastAsia="MS Mincho" w:hAnsi="Arial" w:cs="Arial"/>
          <w:b/>
          <w:bCs/>
          <w:iCs/>
          <w:vanish/>
          <w:kern w:val="0"/>
          <w:sz w:val="20"/>
          <w:szCs w:val="28"/>
        </w:rPr>
      </w:pPr>
    </w:p>
    <w:p w14:paraId="53748EFD" w14:textId="77777777" w:rsidR="00D3731F" w:rsidRPr="00D3731F" w:rsidRDefault="00D3731F" w:rsidP="008352F0">
      <w:pPr>
        <w:pStyle w:val="ListParagraph"/>
        <w:keepNext/>
        <w:widowControl/>
        <w:numPr>
          <w:ilvl w:val="0"/>
          <w:numId w:val="13"/>
        </w:numPr>
        <w:spacing w:before="240" w:after="60"/>
        <w:ind w:firstLineChars="0"/>
        <w:jc w:val="left"/>
        <w:outlineLvl w:val="1"/>
        <w:rPr>
          <w:rFonts w:ascii="Arial" w:eastAsia="MS Mincho" w:hAnsi="Arial" w:cs="Arial"/>
          <w:b/>
          <w:bCs/>
          <w:iCs/>
          <w:vanish/>
          <w:kern w:val="0"/>
          <w:sz w:val="20"/>
          <w:szCs w:val="28"/>
        </w:rPr>
      </w:pPr>
    </w:p>
    <w:p w14:paraId="0C5B9B9D" w14:textId="77777777" w:rsidR="00D3731F" w:rsidRPr="00D3731F" w:rsidRDefault="00D3731F" w:rsidP="008352F0">
      <w:pPr>
        <w:pStyle w:val="ListParagraph"/>
        <w:keepNext/>
        <w:widowControl/>
        <w:numPr>
          <w:ilvl w:val="0"/>
          <w:numId w:val="13"/>
        </w:numPr>
        <w:spacing w:before="240" w:after="60"/>
        <w:ind w:firstLineChars="0"/>
        <w:jc w:val="left"/>
        <w:outlineLvl w:val="1"/>
        <w:rPr>
          <w:rFonts w:ascii="Arial" w:eastAsia="MS Mincho" w:hAnsi="Arial" w:cs="Arial"/>
          <w:b/>
          <w:bCs/>
          <w:iCs/>
          <w:vanish/>
          <w:kern w:val="0"/>
          <w:sz w:val="20"/>
          <w:szCs w:val="28"/>
        </w:rPr>
      </w:pPr>
    </w:p>
    <w:p w14:paraId="5263B6B5" w14:textId="77777777" w:rsidR="00D3731F" w:rsidRPr="00D3731F" w:rsidRDefault="00D3731F" w:rsidP="008352F0">
      <w:pPr>
        <w:pStyle w:val="ListParagraph"/>
        <w:keepNext/>
        <w:widowControl/>
        <w:numPr>
          <w:ilvl w:val="1"/>
          <w:numId w:val="13"/>
        </w:numPr>
        <w:spacing w:before="240" w:after="60"/>
        <w:ind w:firstLineChars="0"/>
        <w:jc w:val="left"/>
        <w:outlineLvl w:val="1"/>
        <w:rPr>
          <w:rFonts w:ascii="Arial" w:eastAsia="MS Mincho" w:hAnsi="Arial" w:cs="Arial"/>
          <w:b/>
          <w:bCs/>
          <w:iCs/>
          <w:vanish/>
          <w:kern w:val="0"/>
          <w:sz w:val="20"/>
          <w:szCs w:val="28"/>
        </w:rPr>
      </w:pPr>
    </w:p>
    <w:p w14:paraId="4BB3D58E" w14:textId="316D8A69" w:rsidR="00D3731F" w:rsidRPr="00E334EE" w:rsidRDefault="00D3731F" w:rsidP="008352F0">
      <w:pPr>
        <w:pStyle w:val="Heading2"/>
        <w:numPr>
          <w:ilvl w:val="1"/>
          <w:numId w:val="13"/>
        </w:numPr>
        <w:rPr>
          <w:b w:val="0"/>
          <w:bCs w:val="0"/>
          <w:sz w:val="24"/>
          <w:szCs w:val="24"/>
        </w:rPr>
      </w:pPr>
      <w:r w:rsidRPr="00E334EE">
        <w:rPr>
          <w:b w:val="0"/>
          <w:bCs w:val="0"/>
          <w:sz w:val="24"/>
          <w:szCs w:val="24"/>
        </w:rPr>
        <w:t>Proposals</w:t>
      </w:r>
    </w:p>
    <w:p w14:paraId="0E6C66CC" w14:textId="64511ED6" w:rsidR="00B66778" w:rsidRPr="00E334EE" w:rsidRDefault="00B66778" w:rsidP="00B66778">
      <w:pPr>
        <w:rPr>
          <w:b/>
          <w:bCs/>
          <w:i/>
          <w:szCs w:val="20"/>
        </w:rPr>
      </w:pPr>
      <w:r w:rsidRPr="00E334EE">
        <w:rPr>
          <w:b/>
          <w:bCs/>
          <w:i/>
          <w:szCs w:val="20"/>
        </w:rPr>
        <w:t>Proposal 1: The SAI should include, at least, average orbital parameters, such as TLE or equivalent, for a set of satellites for the purpose of predicting coverage gaps.</w:t>
      </w:r>
      <w:r w:rsidR="00D3731F" w:rsidRPr="00E334EE">
        <w:rPr>
          <w:b/>
          <w:bCs/>
          <w:i/>
          <w:szCs w:val="20"/>
        </w:rPr>
        <w:br/>
      </w:r>
    </w:p>
    <w:p w14:paraId="6FB04FE9" w14:textId="1718F181" w:rsidR="00B66778" w:rsidRPr="00E334EE" w:rsidRDefault="00B66778" w:rsidP="00B66778">
      <w:pPr>
        <w:rPr>
          <w:b/>
          <w:bCs/>
          <w:i/>
          <w:szCs w:val="20"/>
        </w:rPr>
      </w:pPr>
      <w:r w:rsidRPr="00E334EE">
        <w:rPr>
          <w:b/>
          <w:bCs/>
          <w:i/>
          <w:szCs w:val="20"/>
        </w:rPr>
        <w:t xml:space="preserve">Proposal 2: In addition to orbital parameters, the SAI should allow for the transmission of optional beam information. This could be a set of geometrical and/or RF parametrization parameters configurable at will by the satellite network operator. </w:t>
      </w:r>
      <w:r w:rsidR="00D3731F" w:rsidRPr="00E334EE">
        <w:rPr>
          <w:b/>
          <w:bCs/>
          <w:i/>
          <w:szCs w:val="20"/>
        </w:rPr>
        <w:br/>
      </w:r>
    </w:p>
    <w:p w14:paraId="59F69980" w14:textId="5BABAE78" w:rsidR="00B66778" w:rsidRPr="00E334EE" w:rsidRDefault="00B66778" w:rsidP="00B66778">
      <w:pPr>
        <w:rPr>
          <w:b/>
          <w:bCs/>
          <w:i/>
          <w:szCs w:val="20"/>
        </w:rPr>
      </w:pPr>
      <w:r w:rsidRPr="00E334EE">
        <w:rPr>
          <w:b/>
          <w:bCs/>
          <w:i/>
          <w:iCs/>
          <w:szCs w:val="20"/>
        </w:rPr>
        <w:t xml:space="preserve">Proposal 3: At least one SAI delivery method shall be </w:t>
      </w:r>
      <w:r w:rsidR="00D3731F" w:rsidRPr="00E334EE">
        <w:rPr>
          <w:b/>
          <w:bCs/>
          <w:i/>
          <w:iCs/>
          <w:szCs w:val="20"/>
        </w:rPr>
        <w:t>standardized</w:t>
      </w:r>
      <w:r w:rsidRPr="00E334EE">
        <w:rPr>
          <w:b/>
          <w:bCs/>
          <w:i/>
          <w:iCs/>
          <w:szCs w:val="20"/>
        </w:rPr>
        <w:t>.</w:t>
      </w:r>
    </w:p>
    <w:p w14:paraId="646BA714" w14:textId="77777777" w:rsidR="00B66778" w:rsidRDefault="00B66778" w:rsidP="00B66778">
      <w:pPr>
        <w:rPr>
          <w:sz w:val="22"/>
          <w:szCs w:val="22"/>
        </w:rPr>
      </w:pPr>
    </w:p>
    <w:p w14:paraId="10F59378" w14:textId="77777777" w:rsidR="00B66778" w:rsidRDefault="00B66778" w:rsidP="00B66778">
      <w:pPr>
        <w:rPr>
          <w:sz w:val="22"/>
          <w:szCs w:val="22"/>
        </w:rPr>
      </w:pPr>
      <w:bookmarkStart w:id="7" w:name="_heading=h.gjdgxs" w:colFirst="0" w:colLast="0"/>
      <w:bookmarkEnd w:id="7"/>
    </w:p>
    <w:bookmarkEnd w:id="5"/>
    <w:bookmarkEnd w:id="6"/>
    <w:p w14:paraId="39C9B812" w14:textId="70A61B49" w:rsidR="005B48FF" w:rsidRPr="00113974" w:rsidRDefault="005B48FF" w:rsidP="00D23A04">
      <w:pPr>
        <w:pStyle w:val="BodyText"/>
        <w:rPr>
          <w:rFonts w:eastAsiaTheme="minorEastAsia"/>
          <w:b/>
          <w:lang w:val="en-GB" w:eastAsia="zh-CN"/>
        </w:rPr>
      </w:pPr>
    </w:p>
    <w:p w14:paraId="154C4906" w14:textId="2F71BCBA" w:rsidR="00B66778" w:rsidRDefault="00117F03" w:rsidP="00B6677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en-GB"/>
        </w:rPr>
      </w:pPr>
      <w:r>
        <w:rPr>
          <w:rFonts w:ascii="Arial" w:eastAsia="SimSun" w:hAnsi="Arial"/>
          <w:sz w:val="36"/>
          <w:szCs w:val="20"/>
          <w:lang w:eastAsia="en-GB"/>
        </w:rPr>
        <w:t>Reference</w:t>
      </w:r>
      <w:r w:rsidR="00D3731F">
        <w:rPr>
          <w:rFonts w:ascii="Arial" w:eastAsia="SimSun" w:hAnsi="Arial"/>
          <w:sz w:val="36"/>
          <w:szCs w:val="20"/>
          <w:lang w:eastAsia="en-GB"/>
        </w:rPr>
        <w:t>s</w:t>
      </w:r>
    </w:p>
    <w:p w14:paraId="22F7E8DA" w14:textId="01C2EB33" w:rsidR="00B66778" w:rsidRDefault="00B66778" w:rsidP="00B66778">
      <w:pPr>
        <w:pStyle w:val="BodyText"/>
        <w:rPr>
          <w:lang w:eastAsia="zh-CN"/>
        </w:rPr>
      </w:pPr>
      <w:r>
        <w:rPr>
          <w:lang w:eastAsia="zh-CN"/>
        </w:rPr>
        <w:t>[1</w:t>
      </w:r>
      <w:r>
        <w:rPr>
          <w:lang w:eastAsia="zh-CN"/>
        </w:rPr>
        <w:t>] 3GPP TSG RAN meeting #93-e, RP-212312, “NB-IoT/</w:t>
      </w:r>
      <w:proofErr w:type="spellStart"/>
      <w:r>
        <w:rPr>
          <w:lang w:eastAsia="zh-CN"/>
        </w:rPr>
        <w:t>eMTC</w:t>
      </w:r>
      <w:proofErr w:type="spellEnd"/>
      <w:r>
        <w:rPr>
          <w:lang w:eastAsia="zh-CN"/>
        </w:rPr>
        <w:t xml:space="preserve"> support for Non-Terrestrial Networks (NTN)”</w:t>
      </w:r>
      <w:r w:rsidR="00C674B1">
        <w:rPr>
          <w:lang w:eastAsia="zh-CN"/>
        </w:rPr>
        <w:t>.</w:t>
      </w:r>
    </w:p>
    <w:p w14:paraId="1BACC10C" w14:textId="2DC5C41E" w:rsidR="00B66778" w:rsidRDefault="00B66778" w:rsidP="00B66778">
      <w:pPr>
        <w:pStyle w:val="BodyText"/>
        <w:rPr>
          <w:lang w:eastAsia="zh-CN"/>
        </w:rPr>
      </w:pPr>
      <w:r>
        <w:rPr>
          <w:lang w:eastAsia="zh-CN"/>
        </w:rPr>
        <w:t>[2] 3GPP TSG RAN meeting #115-e, R2-2107081, “Discussion on the support of discontinuous coverage for IoT over NTN”</w:t>
      </w:r>
      <w:r w:rsidR="00C674B1">
        <w:rPr>
          <w:lang w:eastAsia="zh-CN"/>
        </w:rPr>
        <w:t>.</w:t>
      </w:r>
    </w:p>
    <w:p w14:paraId="4D76B8A2" w14:textId="17017C69" w:rsidR="00B66778" w:rsidRDefault="00B66778" w:rsidP="00B66778">
      <w:pPr>
        <w:pStyle w:val="BodyText"/>
        <w:rPr>
          <w:lang w:eastAsia="zh-CN"/>
        </w:rPr>
      </w:pPr>
      <w:r>
        <w:rPr>
          <w:lang w:eastAsia="zh-CN"/>
        </w:rPr>
        <w:t>[3] Sørensen et al., 5G NB-IoT via low Density LEO Constellations</w:t>
      </w:r>
      <w:r w:rsidR="00C674B1">
        <w:rPr>
          <w:lang w:eastAsia="zh-CN"/>
        </w:rPr>
        <w:t>.</w:t>
      </w:r>
    </w:p>
    <w:p w14:paraId="5E95FF6F" w14:textId="2F0E7388" w:rsidR="00B66778" w:rsidRDefault="00B66778" w:rsidP="00B66778">
      <w:pPr>
        <w:pStyle w:val="BodyText"/>
        <w:rPr>
          <w:lang w:eastAsia="zh-CN"/>
        </w:rPr>
      </w:pPr>
      <w:r>
        <w:rPr>
          <w:lang w:eastAsia="zh-CN"/>
        </w:rPr>
        <w:t>[4] 3GPP TSG RAN meeting #105-e, R1- 2105812, “On satellite pass predictions under NTN discontinuous coverage”</w:t>
      </w:r>
      <w:r w:rsidR="00C674B1">
        <w:rPr>
          <w:lang w:eastAsia="zh-CN"/>
        </w:rPr>
        <w:t>.</w:t>
      </w:r>
    </w:p>
    <w:p w14:paraId="33AB23E6" w14:textId="3DBC7435" w:rsidR="0057647D" w:rsidRDefault="0057647D" w:rsidP="00B66778">
      <w:pPr>
        <w:pStyle w:val="BodyText"/>
        <w:rPr>
          <w:lang w:eastAsia="zh-CN"/>
        </w:rPr>
      </w:pPr>
      <w:r>
        <w:rPr>
          <w:rFonts w:eastAsia="Times New Roman"/>
          <w:szCs w:val="20"/>
        </w:rPr>
        <w:t xml:space="preserve">[5] </w:t>
      </w:r>
      <w:r w:rsidRPr="00E92AE9">
        <w:rPr>
          <w:rFonts w:eastAsia="Times New Roman"/>
          <w:szCs w:val="20"/>
        </w:rPr>
        <w:t xml:space="preserve">Coffee, Brian &amp; Bishop, Rebecca &amp; </w:t>
      </w:r>
      <w:proofErr w:type="spellStart"/>
      <w:r w:rsidRPr="00E92AE9">
        <w:rPr>
          <w:rFonts w:eastAsia="Times New Roman"/>
          <w:szCs w:val="20"/>
        </w:rPr>
        <w:t>Cahoy</w:t>
      </w:r>
      <w:proofErr w:type="spellEnd"/>
      <w:r w:rsidRPr="00E92AE9">
        <w:rPr>
          <w:rFonts w:eastAsia="Times New Roman"/>
          <w:szCs w:val="20"/>
        </w:rPr>
        <w:t xml:space="preserve">, Kerri. (2013). Propagation of CubeSats in LEO using NORAD </w:t>
      </w:r>
      <w:r w:rsidR="00C674B1" w:rsidRPr="00E92AE9">
        <w:rPr>
          <w:rFonts w:eastAsia="Times New Roman"/>
          <w:szCs w:val="20"/>
        </w:rPr>
        <w:t>two</w:t>
      </w:r>
      <w:r w:rsidR="00C674B1">
        <w:rPr>
          <w:rFonts w:eastAsia="Times New Roman"/>
          <w:szCs w:val="20"/>
        </w:rPr>
        <w:t>-line</w:t>
      </w:r>
      <w:r w:rsidRPr="00E92AE9">
        <w:rPr>
          <w:rFonts w:eastAsia="Times New Roman"/>
          <w:szCs w:val="20"/>
        </w:rPr>
        <w:t xml:space="preserve"> element sets: Accuracy and update frequency. AIAA Guidance, Navigation, and Control (GNC) Conference. 10.2514/6.2013-4944.</w:t>
      </w:r>
    </w:p>
    <w:sectPr w:rsidR="0057647D">
      <w:headerReference w:type="default" r:id="rId17"/>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AB24B" w14:textId="77777777" w:rsidR="00243B8A" w:rsidRDefault="00243B8A">
      <w:r>
        <w:separator/>
      </w:r>
    </w:p>
  </w:endnote>
  <w:endnote w:type="continuationSeparator" w:id="0">
    <w:p w14:paraId="54143475" w14:textId="77777777" w:rsidR="00243B8A" w:rsidRDefault="0024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599C3" w14:textId="77777777" w:rsidR="00243B8A" w:rsidRDefault="00243B8A">
      <w:r>
        <w:separator/>
      </w:r>
    </w:p>
  </w:footnote>
  <w:footnote w:type="continuationSeparator" w:id="0">
    <w:p w14:paraId="579E6568" w14:textId="77777777" w:rsidR="00243B8A" w:rsidRDefault="00243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04247" w14:textId="77777777" w:rsidR="00C42592" w:rsidRDefault="00C4259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A36426"/>
    <w:multiLevelType w:val="hybridMultilevel"/>
    <w:tmpl w:val="8662C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335625"/>
    <w:multiLevelType w:val="hybridMultilevel"/>
    <w:tmpl w:val="29BEC5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C88487D"/>
    <w:multiLevelType w:val="hybridMultilevel"/>
    <w:tmpl w:val="32E033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6FA7FE9"/>
    <w:multiLevelType w:val="hybridMultilevel"/>
    <w:tmpl w:val="DB54A0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8043489"/>
    <w:multiLevelType w:val="multilevel"/>
    <w:tmpl w:val="F8E8839A"/>
    <w:lvl w:ilvl="0">
      <w:start w:val="4"/>
      <w:numFmt w:val="decimal"/>
      <w:lvlText w:val="%1."/>
      <w:lvlJc w:val="left"/>
      <w:pPr>
        <w:tabs>
          <w:tab w:val="num" w:pos="425"/>
        </w:tabs>
        <w:ind w:left="425" w:hanging="425"/>
      </w:pPr>
      <w:rPr>
        <w:rFonts w:hint="default"/>
      </w:rPr>
    </w:lvl>
    <w:lvl w:ilvl="1">
      <w:start w:val="2"/>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 w15:restartNumberingAfterBreak="0">
    <w:nsid w:val="3A244786"/>
    <w:multiLevelType w:val="hybridMultilevel"/>
    <w:tmpl w:val="24342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F30611"/>
    <w:multiLevelType w:val="hybridMultilevel"/>
    <w:tmpl w:val="D46A66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52FC0D2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7097415"/>
    <w:multiLevelType w:val="multilevel"/>
    <w:tmpl w:val="52FC0D2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num w:numId="1">
    <w:abstractNumId w:val="11"/>
  </w:num>
  <w:num w:numId="2">
    <w:abstractNumId w:val="7"/>
  </w:num>
  <w:num w:numId="3">
    <w:abstractNumId w:val="6"/>
  </w:num>
  <w:num w:numId="4">
    <w:abstractNumId w:val="10"/>
  </w:num>
  <w:num w:numId="5">
    <w:abstractNumId w:val="9"/>
  </w:num>
  <w:num w:numId="6">
    <w:abstractNumId w:val="2"/>
  </w:num>
  <w:num w:numId="7">
    <w:abstractNumId w:val="8"/>
  </w:num>
  <w:num w:numId="8">
    <w:abstractNumId w:val="5"/>
  </w:num>
  <w:num w:numId="9">
    <w:abstractNumId w:val="3"/>
  </w:num>
  <w:num w:numId="10">
    <w:abstractNumId w:val="1"/>
  </w:num>
  <w:num w:numId="11">
    <w:abstractNumId w:val="0"/>
  </w:num>
  <w:num w:numId="12">
    <w:abstractNumId w:val="4"/>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da-DK"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5E9C"/>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81E"/>
    <w:rsid w:val="000B0969"/>
    <w:rsid w:val="000B17B6"/>
    <w:rsid w:val="000B17FB"/>
    <w:rsid w:val="000B1974"/>
    <w:rsid w:val="000B1C22"/>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D85"/>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27FF5"/>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6E0"/>
    <w:rsid w:val="00180CB0"/>
    <w:rsid w:val="001814F8"/>
    <w:rsid w:val="00181F37"/>
    <w:rsid w:val="001825AA"/>
    <w:rsid w:val="001829FA"/>
    <w:rsid w:val="00182D26"/>
    <w:rsid w:val="0018350B"/>
    <w:rsid w:val="00183510"/>
    <w:rsid w:val="0018370D"/>
    <w:rsid w:val="00183831"/>
    <w:rsid w:val="001839FC"/>
    <w:rsid w:val="00183C8D"/>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5F5"/>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194"/>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AAC"/>
    <w:rsid w:val="00213E13"/>
    <w:rsid w:val="002140A6"/>
    <w:rsid w:val="0021422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005"/>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64E"/>
    <w:rsid w:val="00265D61"/>
    <w:rsid w:val="00265D91"/>
    <w:rsid w:val="0026661C"/>
    <w:rsid w:val="00266675"/>
    <w:rsid w:val="002666D9"/>
    <w:rsid w:val="002667B2"/>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07"/>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1B11"/>
    <w:rsid w:val="002E1F80"/>
    <w:rsid w:val="002E26F7"/>
    <w:rsid w:val="002E2849"/>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EB0"/>
    <w:rsid w:val="0031039C"/>
    <w:rsid w:val="00310479"/>
    <w:rsid w:val="003104CA"/>
    <w:rsid w:val="00310899"/>
    <w:rsid w:val="00310B1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523"/>
    <w:rsid w:val="003812BD"/>
    <w:rsid w:val="003814B5"/>
    <w:rsid w:val="00381792"/>
    <w:rsid w:val="003817C3"/>
    <w:rsid w:val="00381E75"/>
    <w:rsid w:val="00382432"/>
    <w:rsid w:val="00382563"/>
    <w:rsid w:val="00382699"/>
    <w:rsid w:val="00382C8A"/>
    <w:rsid w:val="00382D7D"/>
    <w:rsid w:val="00382FE3"/>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479"/>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DF6"/>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C49"/>
    <w:rsid w:val="004E7086"/>
    <w:rsid w:val="004E7364"/>
    <w:rsid w:val="004E77FE"/>
    <w:rsid w:val="004E7A5B"/>
    <w:rsid w:val="004E7B2F"/>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94"/>
    <w:rsid w:val="00502CE9"/>
    <w:rsid w:val="005030D4"/>
    <w:rsid w:val="005032DC"/>
    <w:rsid w:val="00503382"/>
    <w:rsid w:val="0050364F"/>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28"/>
    <w:rsid w:val="00574E54"/>
    <w:rsid w:val="00574F0E"/>
    <w:rsid w:val="00575672"/>
    <w:rsid w:val="00575674"/>
    <w:rsid w:val="0057647D"/>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53B"/>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1C8"/>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3762"/>
    <w:rsid w:val="00674026"/>
    <w:rsid w:val="00674C74"/>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7D"/>
    <w:rsid w:val="006873B6"/>
    <w:rsid w:val="006874D4"/>
    <w:rsid w:val="00687DF2"/>
    <w:rsid w:val="0069050E"/>
    <w:rsid w:val="00690C4D"/>
    <w:rsid w:val="0069117F"/>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1C9C"/>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DE4"/>
    <w:rsid w:val="007B502F"/>
    <w:rsid w:val="007B5407"/>
    <w:rsid w:val="007B58D7"/>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9B"/>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10"/>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2F0"/>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8B2"/>
    <w:rsid w:val="008859EB"/>
    <w:rsid w:val="00885BB6"/>
    <w:rsid w:val="00886051"/>
    <w:rsid w:val="0088614C"/>
    <w:rsid w:val="008861F5"/>
    <w:rsid w:val="0088705C"/>
    <w:rsid w:val="008871A1"/>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55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0B11"/>
    <w:rsid w:val="008D10D9"/>
    <w:rsid w:val="008D116A"/>
    <w:rsid w:val="008D1180"/>
    <w:rsid w:val="008D1862"/>
    <w:rsid w:val="008D1D71"/>
    <w:rsid w:val="008D276E"/>
    <w:rsid w:val="008D2B48"/>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47E07"/>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94C"/>
    <w:rsid w:val="009A2D35"/>
    <w:rsid w:val="009A2DE3"/>
    <w:rsid w:val="009A3561"/>
    <w:rsid w:val="009A38D8"/>
    <w:rsid w:val="009A39E3"/>
    <w:rsid w:val="009A3B9D"/>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2EF2"/>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D79"/>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561"/>
    <w:rsid w:val="00A15910"/>
    <w:rsid w:val="00A15C8B"/>
    <w:rsid w:val="00A167B0"/>
    <w:rsid w:val="00A16B7A"/>
    <w:rsid w:val="00A174FF"/>
    <w:rsid w:val="00A17A17"/>
    <w:rsid w:val="00A17BC5"/>
    <w:rsid w:val="00A17CA2"/>
    <w:rsid w:val="00A2019C"/>
    <w:rsid w:val="00A201CD"/>
    <w:rsid w:val="00A20498"/>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08"/>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48E"/>
    <w:rsid w:val="00A75E31"/>
    <w:rsid w:val="00A760D8"/>
    <w:rsid w:val="00A761C3"/>
    <w:rsid w:val="00A76850"/>
    <w:rsid w:val="00A76A85"/>
    <w:rsid w:val="00A76B6D"/>
    <w:rsid w:val="00A76DA0"/>
    <w:rsid w:val="00A77222"/>
    <w:rsid w:val="00A77785"/>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EAE"/>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5AF"/>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13DD"/>
    <w:rsid w:val="00B11444"/>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78"/>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F24"/>
    <w:rsid w:val="00B9331D"/>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E04C7"/>
    <w:rsid w:val="00BE0D14"/>
    <w:rsid w:val="00BE14D7"/>
    <w:rsid w:val="00BE16EA"/>
    <w:rsid w:val="00BE1719"/>
    <w:rsid w:val="00BE1836"/>
    <w:rsid w:val="00BE1AFA"/>
    <w:rsid w:val="00BE1D9D"/>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567"/>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3FBF"/>
    <w:rsid w:val="00C6450B"/>
    <w:rsid w:val="00C64DCF"/>
    <w:rsid w:val="00C64E91"/>
    <w:rsid w:val="00C65603"/>
    <w:rsid w:val="00C658AB"/>
    <w:rsid w:val="00C658BC"/>
    <w:rsid w:val="00C65F21"/>
    <w:rsid w:val="00C663BF"/>
    <w:rsid w:val="00C667C7"/>
    <w:rsid w:val="00C66893"/>
    <w:rsid w:val="00C67020"/>
    <w:rsid w:val="00C6706E"/>
    <w:rsid w:val="00C674B1"/>
    <w:rsid w:val="00C679FE"/>
    <w:rsid w:val="00C679FF"/>
    <w:rsid w:val="00C67BF1"/>
    <w:rsid w:val="00C67EFD"/>
    <w:rsid w:val="00C704F8"/>
    <w:rsid w:val="00C7092F"/>
    <w:rsid w:val="00C70A5B"/>
    <w:rsid w:val="00C70FC0"/>
    <w:rsid w:val="00C71509"/>
    <w:rsid w:val="00C71631"/>
    <w:rsid w:val="00C71665"/>
    <w:rsid w:val="00C7185F"/>
    <w:rsid w:val="00C71906"/>
    <w:rsid w:val="00C72311"/>
    <w:rsid w:val="00C724E8"/>
    <w:rsid w:val="00C72C80"/>
    <w:rsid w:val="00C72CA7"/>
    <w:rsid w:val="00C7301F"/>
    <w:rsid w:val="00C739FD"/>
    <w:rsid w:val="00C744D2"/>
    <w:rsid w:val="00C75487"/>
    <w:rsid w:val="00C75861"/>
    <w:rsid w:val="00C75A33"/>
    <w:rsid w:val="00C75BC0"/>
    <w:rsid w:val="00C75FC0"/>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559"/>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549"/>
    <w:rsid w:val="00CE7602"/>
    <w:rsid w:val="00CE7A51"/>
    <w:rsid w:val="00CE7DAF"/>
    <w:rsid w:val="00CF0270"/>
    <w:rsid w:val="00CF0B0B"/>
    <w:rsid w:val="00CF1102"/>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0EF3"/>
    <w:rsid w:val="00D2112A"/>
    <w:rsid w:val="00D2131E"/>
    <w:rsid w:val="00D21696"/>
    <w:rsid w:val="00D21926"/>
    <w:rsid w:val="00D21DFF"/>
    <w:rsid w:val="00D222F9"/>
    <w:rsid w:val="00D226A0"/>
    <w:rsid w:val="00D22875"/>
    <w:rsid w:val="00D228CF"/>
    <w:rsid w:val="00D229DE"/>
    <w:rsid w:val="00D22A09"/>
    <w:rsid w:val="00D233F6"/>
    <w:rsid w:val="00D238D0"/>
    <w:rsid w:val="00D23A04"/>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31F"/>
    <w:rsid w:val="00D37602"/>
    <w:rsid w:val="00D3762C"/>
    <w:rsid w:val="00D37D7B"/>
    <w:rsid w:val="00D37E73"/>
    <w:rsid w:val="00D40065"/>
    <w:rsid w:val="00D40762"/>
    <w:rsid w:val="00D408A8"/>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46B"/>
    <w:rsid w:val="00D936AE"/>
    <w:rsid w:val="00D93712"/>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9CE"/>
    <w:rsid w:val="00DD2CFC"/>
    <w:rsid w:val="00DD2F3B"/>
    <w:rsid w:val="00DD3770"/>
    <w:rsid w:val="00DD39B8"/>
    <w:rsid w:val="00DD3BB3"/>
    <w:rsid w:val="00DD43D0"/>
    <w:rsid w:val="00DD45BB"/>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249C"/>
    <w:rsid w:val="00E12591"/>
    <w:rsid w:val="00E1261E"/>
    <w:rsid w:val="00E1297B"/>
    <w:rsid w:val="00E12BE9"/>
    <w:rsid w:val="00E12F2F"/>
    <w:rsid w:val="00E1347D"/>
    <w:rsid w:val="00E13680"/>
    <w:rsid w:val="00E13804"/>
    <w:rsid w:val="00E13924"/>
    <w:rsid w:val="00E13D0F"/>
    <w:rsid w:val="00E142FE"/>
    <w:rsid w:val="00E144CF"/>
    <w:rsid w:val="00E148AE"/>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695"/>
    <w:rsid w:val="00E206FA"/>
    <w:rsid w:val="00E2094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028"/>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4EE"/>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2E2"/>
    <w:rsid w:val="00F1055B"/>
    <w:rsid w:val="00F105AD"/>
    <w:rsid w:val="00F10972"/>
    <w:rsid w:val="00F10A38"/>
    <w:rsid w:val="00F10D81"/>
    <w:rsid w:val="00F10E94"/>
    <w:rsid w:val="00F112F1"/>
    <w:rsid w:val="00F117C2"/>
    <w:rsid w:val="00F11A6D"/>
    <w:rsid w:val="00F11B5F"/>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CF9"/>
    <w:rsid w:val="00F22D00"/>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2AA"/>
    <w:rsid w:val="00F8370F"/>
    <w:rsid w:val="00F838C9"/>
    <w:rsid w:val="00F839F6"/>
    <w:rsid w:val="00F83B10"/>
    <w:rsid w:val="00F840E1"/>
    <w:rsid w:val="00F8416D"/>
    <w:rsid w:val="00F8463D"/>
    <w:rsid w:val="00F84B72"/>
    <w:rsid w:val="00F85233"/>
    <w:rsid w:val="00F85DE0"/>
    <w:rsid w:val="00F86C68"/>
    <w:rsid w:val="00F87011"/>
    <w:rsid w:val="00F87128"/>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30"/>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169"/>
    <w:rsid w:val="00FB133A"/>
    <w:rsid w:val="00FB135D"/>
    <w:rsid w:val="00FB1768"/>
    <w:rsid w:val="00FB1AB2"/>
    <w:rsid w:val="00FB21D8"/>
    <w:rsid w:val="00FB2670"/>
    <w:rsid w:val="00FB2B91"/>
    <w:rsid w:val="00FB2B99"/>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2C87"/>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uiPriority="3"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Hyperlink">
    <w:name w:val="Hyperlink"/>
    <w:uiPriority w:val="99"/>
    <w:rPr>
      <w:color w:val="0000FF"/>
      <w:u w:val="single"/>
    </w:rPr>
  </w:style>
  <w:style w:type="character" w:styleId="CommentReference">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ommentTextChar">
    <w:name w:val="Comment Text Char"/>
    <w:link w:val="CommentText"/>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BodyTextChar">
    <w:name w:val="Body Text Char"/>
    <w:link w:val="BodyText"/>
    <w:rPr>
      <w:rFonts w:eastAsia="MS Mincho"/>
      <w:szCs w:val="24"/>
      <w:lang w:val="en-US" w:eastAsia="en-US" w:bidi="ar-SA"/>
    </w:rPr>
  </w:style>
  <w:style w:type="character" w:customStyle="1" w:styleId="a">
    <w:name w:val="批注文字 字符"/>
    <w:uiPriority w:val="99"/>
    <w:semiHidden/>
    <w:rPr>
      <w:kern w:val="2"/>
      <w:sz w:val="21"/>
      <w:szCs w:val="24"/>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Heading2Char1">
    <w:name w:val="Heading 2 Char1"/>
    <w:aliases w:val="H2 Char1,h2 Char1,Head2A Char,2 Char,UNDERRUBRIK 1-2 Char,DO NOT USE_h2 Char,h21 Char,Heading 2 Char Char,H2 Char Char,h2 Char Char"/>
    <w:link w:val="Heading2"/>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DefaultParagraphFont"/>
  </w:style>
  <w:style w:type="character" w:customStyle="1" w:styleId="CaptionChar">
    <w:name w:val="Caption Char"/>
    <w:link w:val="Caption"/>
    <w:rPr>
      <w:lang w:val="en-GB" w:eastAsia="en-US" w:bidi="ar-SA"/>
    </w:rPr>
  </w:style>
  <w:style w:type="character" w:customStyle="1" w:styleId="a0">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HeaderChar">
    <w:name w:val="Header Char"/>
    <w:link w:val="Header"/>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Caption">
    <w:name w:val="caption"/>
    <w:basedOn w:val="Normal"/>
    <w:next w:val="Normal"/>
    <w:link w:val="CaptionChar"/>
    <w:uiPriority w:val="3"/>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pPr>
      <w:shd w:val="clear" w:color="auto" w:fill="000080"/>
    </w:pPr>
  </w:style>
  <w:style w:type="paragraph" w:styleId="NormalWeb">
    <w:name w:val="Normal (Web)"/>
    <w:basedOn w:val="Normal"/>
    <w:uiPriority w:val="99"/>
    <w:unhideWhenUsed/>
    <w:pPr>
      <w:spacing w:before="100" w:beforeAutospacing="1" w:after="100" w:afterAutospacing="1"/>
    </w:pPr>
    <w:rPr>
      <w:rFonts w:eastAsia="SimSun"/>
      <w:sz w:val="24"/>
      <w:lang w:val="sv-SE" w:eastAsia="sv-SE"/>
    </w:rPr>
  </w:style>
  <w:style w:type="paragraph" w:styleId="CommentText">
    <w:name w:val="annotation text"/>
    <w:basedOn w:val="Normal"/>
    <w:link w:val="CommentTextChar"/>
    <w:uiPriority w:val="99"/>
    <w:qFormat/>
  </w:style>
  <w:style w:type="paragraph" w:styleId="Footer">
    <w:name w:val="footer"/>
    <w:basedOn w:val="Normal"/>
    <w:pPr>
      <w:tabs>
        <w:tab w:val="center" w:pos="4153"/>
        <w:tab w:val="right" w:pos="8306"/>
      </w:tabs>
      <w:snapToGrid w:val="0"/>
    </w:pPr>
    <w:rPr>
      <w:sz w:val="18"/>
      <w:szCs w:val="18"/>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semiHidden/>
    <w:rPr>
      <w:b/>
      <w:bCs/>
    </w:rPr>
  </w:style>
  <w:style w:type="paragraph" w:styleId="List3">
    <w:name w:val="List 3"/>
    <w:basedOn w:val="Normal"/>
    <w:unhideWhenUsed/>
    <w:pPr>
      <w:ind w:leftChars="400" w:left="100" w:hangingChars="200" w:hanging="200"/>
      <w:contextualSpacing/>
    </w:pPr>
  </w:style>
  <w:style w:type="paragraph" w:styleId="BalloonText">
    <w:name w:val="Balloon Text"/>
    <w:basedOn w:val="Normal"/>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List">
    <w:name w:val="List"/>
    <w:basedOn w:val="Normal"/>
    <w:pPr>
      <w:ind w:left="283" w:hanging="283"/>
    </w:pPr>
  </w:style>
  <w:style w:type="paragraph" w:styleId="List2">
    <w:name w:val="List 2"/>
    <w:basedOn w:val="List"/>
    <w:pPr>
      <w:numPr>
        <w:numId w:val="1"/>
      </w:numPr>
      <w:tabs>
        <w:tab w:val="left" w:pos="2041"/>
      </w:tabs>
      <w:spacing w:before="180"/>
    </w:pPr>
    <w:rPr>
      <w:rFonts w:ascii="Arial" w:hAnsi="Arial"/>
      <w:sz w:val="22"/>
      <w:szCs w:val="20"/>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TOC1">
    <w:name w:val="toc 1"/>
    <w:basedOn w:val="Normal"/>
    <w:next w:val="Normal"/>
  </w:style>
  <w:style w:type="paragraph" w:customStyle="1" w:styleId="TAH">
    <w:name w:val="TAH"/>
    <w:basedOn w:val="Normal"/>
    <w:link w:val="TAHCar"/>
    <w:pPr>
      <w:keepNext/>
      <w:keepLines/>
      <w:jc w:val="center"/>
    </w:pPr>
    <w:rPr>
      <w:rFonts w:ascii="Arial" w:hAnsi="Arial"/>
      <w:b/>
      <w:sz w:val="18"/>
      <w:szCs w:val="20"/>
      <w:lang w:val="en-GB"/>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Revision">
    <w:name w:val="Revision"/>
    <w:uiPriority w:val="99"/>
    <w:semiHidden/>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Normal"/>
    <w:next w:val="Normal"/>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TdocHeading1">
    <w:name w:val="Tdoc_Heading_1"/>
    <w:basedOn w:val="Heading1"/>
    <w:next w:val="BodyText"/>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CharChar1CharChar">
    <w:name w:val="Char Char1 Char Char"/>
    <w:basedOn w:val="Normal"/>
    <w:rPr>
      <w:rFonts w:ascii="Times" w:hAnsi="Times"/>
      <w:sz w:val="22"/>
      <w:szCs w:val="20"/>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customStyle="1" w:styleId="TAL">
    <w:name w:val="TAL"/>
    <w:basedOn w:val="Normal"/>
    <w:link w:val="TALChar"/>
    <w:pPr>
      <w:keepNext/>
      <w:keepLines/>
    </w:pPr>
    <w:rPr>
      <w:rFonts w:ascii="Arial" w:hAnsi="Arial"/>
      <w:sz w:val="18"/>
      <w:szCs w:val="20"/>
      <w:lang w:val="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pPr>
      <w:widowControl w:val="0"/>
      <w:ind w:firstLineChars="200" w:firstLine="420"/>
      <w:jc w:val="both"/>
    </w:pPr>
    <w:rPr>
      <w:rFonts w:ascii="Calibri" w:eastAsia="SimSun"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Normal"/>
    <w:pPr>
      <w:tabs>
        <w:tab w:val="left" w:pos="643"/>
      </w:tabs>
      <w:autoSpaceDE w:val="0"/>
      <w:autoSpaceDN w:val="0"/>
      <w:snapToGrid w:val="0"/>
      <w:spacing w:after="60"/>
      <w:ind w:left="643" w:hanging="360"/>
      <w:jc w:val="both"/>
    </w:pPr>
    <w:rPr>
      <w:rFonts w:eastAsia="SimSun"/>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Normal"/>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Heading1Char">
    <w:name w:val="Heading 1 Char"/>
    <w:link w:val="Heading1"/>
    <w:qFormat/>
    <w:rsid w:val="00BA4D6A"/>
    <w:rPr>
      <w:rFonts w:ascii="Arial" w:eastAsia="SimSun"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Normal"/>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SimSun" w:hAnsi="Arial"/>
      <w:b/>
      <w:bCs/>
      <w:szCs w:val="20"/>
      <w:lang w:val="en-GB" w:eastAsia="zh-CN"/>
    </w:rPr>
  </w:style>
  <w:style w:type="character" w:customStyle="1" w:styleId="ProposalChar">
    <w:name w:val="Proposal Char"/>
    <w:link w:val="Proposal"/>
    <w:qFormat/>
    <w:rsid w:val="00DD2CFC"/>
    <w:rPr>
      <w:rFonts w:ascii="Arial" w:eastAsia="SimSun" w:hAnsi="Arial"/>
      <w:b/>
      <w:bCs/>
      <w:lang w:val="en-GB"/>
    </w:rPr>
  </w:style>
  <w:style w:type="paragraph" w:customStyle="1" w:styleId="Observation">
    <w:name w:val="Observation"/>
    <w:basedOn w:val="Normal"/>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FootnoteText">
    <w:name w:val="footnote text"/>
    <w:basedOn w:val="Normal"/>
    <w:link w:val="FootnoteTextChar"/>
    <w:semiHidden/>
    <w:unhideWhenUsed/>
    <w:rsid w:val="00CF6FE5"/>
    <w:pPr>
      <w:snapToGrid w:val="0"/>
    </w:pPr>
    <w:rPr>
      <w:sz w:val="18"/>
      <w:szCs w:val="18"/>
    </w:rPr>
  </w:style>
  <w:style w:type="character" w:customStyle="1" w:styleId="FootnoteTextChar">
    <w:name w:val="Footnote Text Char"/>
    <w:basedOn w:val="DefaultParagraphFont"/>
    <w:link w:val="FootnoteText"/>
    <w:semiHidden/>
    <w:rsid w:val="00CF6FE5"/>
    <w:rPr>
      <w:rFonts w:eastAsia="Times New Roman"/>
      <w:sz w:val="18"/>
      <w:szCs w:val="18"/>
      <w:lang w:eastAsia="en-US"/>
    </w:rPr>
  </w:style>
  <w:style w:type="character" w:styleId="FootnoteReference">
    <w:name w:val="footnote reference"/>
    <w:basedOn w:val="DefaultParagraphFont"/>
    <w:semiHidden/>
    <w:unhideWhenUsed/>
    <w:rsid w:val="00CF6FE5"/>
    <w:rPr>
      <w:vertAlign w:val="superscript"/>
    </w:rPr>
  </w:style>
  <w:style w:type="character" w:customStyle="1" w:styleId="11">
    <w:name w:val="未处理的提及1"/>
    <w:basedOn w:val="DefaultParagraphFont"/>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odyText1">
    <w:name w:val="Body Text1"/>
    <w:basedOn w:val="Normal"/>
    <w:link w:val="BodytextChar0"/>
    <w:uiPriority w:val="2"/>
    <w:qFormat/>
    <w:rsid w:val="00CF1102"/>
    <w:pPr>
      <w:spacing w:after="160" w:line="276" w:lineRule="auto"/>
    </w:pPr>
    <w:rPr>
      <w:rFonts w:ascii="Verdana" w:eastAsia="Verdana" w:hAnsi="Verdana" w:cs="Verdana"/>
      <w:szCs w:val="22"/>
      <w:lang w:val="en-GB"/>
    </w:rPr>
  </w:style>
  <w:style w:type="character" w:customStyle="1" w:styleId="BodytextChar0">
    <w:name w:val="Body text Char"/>
    <w:basedOn w:val="DefaultParagraphFont"/>
    <w:link w:val="BodyText1"/>
    <w:uiPriority w:val="2"/>
    <w:rsid w:val="00CF1102"/>
    <w:rPr>
      <w:rFonts w:ascii="Verdana" w:eastAsia="Verdana" w:hAnsi="Verdana" w:cs="Verdana"/>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0DD112370D8E041A2B4E72BA5FF857C" ma:contentTypeVersion="14" ma:contentTypeDescription="Create a new document." ma:contentTypeScope="" ma:versionID="0ab3529b5ef19315a92f6085acadc00b">
  <xsd:schema xmlns:xsd="http://www.w3.org/2001/XMLSchema" xmlns:xs="http://www.w3.org/2001/XMLSchema" xmlns:p="http://schemas.microsoft.com/office/2006/metadata/properties" xmlns:ns2="cfdaac09-fc0f-4263-8590-10374ba0fdfd" xmlns:ns3="96d4f89a-bcd4-4f1a-a251-d65a08cf4d2f" targetNamespace="http://schemas.microsoft.com/office/2006/metadata/properties" ma:root="true" ma:fieldsID="6faec40ec4533ebe55dd2a60532529fb" ns2:_="" ns3:_="">
    <xsd:import namespace="cfdaac09-fc0f-4263-8590-10374ba0fdfd"/>
    <xsd:import namespace="96d4f89a-bcd4-4f1a-a251-d65a08cf4d2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aac09-fc0f-4263-8590-10374ba0fd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d4f89a-bcd4-4f1a-a251-d65a08cf4d2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1204a0d1-6788-49d1-a24f-358a25823d90"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15D5F1-9013-4EDE-A1A1-A614FB1BA3BB}">
  <ds:schemaRefs>
    <ds:schemaRef ds:uri="http://schemas.openxmlformats.org/officeDocument/2006/bibliography"/>
  </ds:schemaRefs>
</ds:datastoreItem>
</file>

<file path=customXml/itemProps2.xml><?xml version="1.0" encoding="utf-8"?>
<ds:datastoreItem xmlns:ds="http://schemas.openxmlformats.org/officeDocument/2006/customXml" ds:itemID="{38358E8F-ED98-4FFD-BE92-38A8607E4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aac09-fc0f-4263-8590-10374ba0fdfd"/>
    <ds:schemaRef ds:uri="96d4f89a-bcd4-4f1a-a251-d65a08cf4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E8FCE2-8905-4CF8-A236-7E563EF6F540}">
  <ds:schemaRefs>
    <ds:schemaRef ds:uri="Microsoft.SharePoint.Taxonomy.ContentTypeSync"/>
  </ds:schemaRefs>
</ds:datastoreItem>
</file>

<file path=customXml/itemProps4.xml><?xml version="1.0" encoding="utf-8"?>
<ds:datastoreItem xmlns:ds="http://schemas.openxmlformats.org/officeDocument/2006/customXml" ds:itemID="{3E78D464-811C-4980-B900-DB966B3CC07F}">
  <ds:schemaRefs>
    <ds:schemaRef ds:uri="http://schemas.microsoft.com/sharepoint/v3/contenttype/forms"/>
  </ds:schemaRefs>
</ds:datastoreItem>
</file>

<file path=customXml/itemProps5.xml><?xml version="1.0" encoding="utf-8"?>
<ds:datastoreItem xmlns:ds="http://schemas.openxmlformats.org/officeDocument/2006/customXml" ds:itemID="{EFC86A58-F3E2-4E76-8BAB-0FC8E29D17D0}">
  <ds:schemaRefs>
    <ds:schemaRef ds:uri="http://schemas.openxmlformats.org/package/2006/metadata/core-properties"/>
    <ds:schemaRef ds:uri="http://schemas.microsoft.com/office/2006/documentManagement/types"/>
    <ds:schemaRef ds:uri="http://purl.org/dc/elements/1.1/"/>
    <ds:schemaRef ds:uri="http://www.w3.org/XML/1998/namespace"/>
    <ds:schemaRef ds:uri="cfdaac09-fc0f-4263-8590-10374ba0fdfd"/>
    <ds:schemaRef ds:uri="http://schemas.microsoft.com/office/infopath/2007/PartnerControls"/>
    <ds:schemaRef ds:uri="http://purl.org/dc/dcmitype/"/>
    <ds:schemaRef ds:uri="http://purl.org/dc/terms/"/>
    <ds:schemaRef ds:uri="96d4f89a-bcd4-4f1a-a251-d65a08cf4d2f"/>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2007</Words>
  <Characters>10650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Robert van der Pool</cp:lastModifiedBy>
  <cp:revision>2</cp:revision>
  <cp:lastPrinted>2011-08-03T09:36:00Z</cp:lastPrinted>
  <dcterms:created xsi:type="dcterms:W3CDTF">2021-10-21T22:10:00Z</dcterms:created>
  <dcterms:modified xsi:type="dcterms:W3CDTF">2021-10-21T22:10:00Z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y fmtid="{D5CDD505-2E9C-101B-9397-08002B2CF9AE}" pid="3" name="ContentTypeId">
    <vt:lpwstr>0x01010090DD112370D8E041A2B4E72BA5FF857C</vt:lpwstr>
  </property>
</Properties>
</file>