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451D" w14:textId="28F66955" w:rsidR="0062318A" w:rsidRPr="00956A54" w:rsidRDefault="002A071B">
      <w:pPr>
        <w:pStyle w:val="a8"/>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a8"/>
        <w:rPr>
          <w:rFonts w:cs="Arial"/>
          <w:bCs/>
          <w:sz w:val="21"/>
          <w:szCs w:val="21"/>
        </w:rPr>
      </w:pPr>
    </w:p>
    <w:p w14:paraId="6706044A" w14:textId="024A1B61" w:rsidR="0062318A" w:rsidRPr="00956A54" w:rsidRDefault="002A071B">
      <w:pPr>
        <w:pStyle w:val="CRCoverPage"/>
        <w:tabs>
          <w:tab w:val="left" w:pos="1985"/>
        </w:tabs>
        <w:rPr>
          <w:rFonts w:eastAsia="SimSun"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SimSun" w:cs="Arial"/>
          <w:b/>
          <w:bCs/>
          <w:sz w:val="21"/>
          <w:szCs w:val="21"/>
          <w:lang w:eastAsia="zh-CN"/>
        </w:rPr>
        <w:t>8</w:t>
      </w:r>
      <w:r w:rsidRPr="00956A54">
        <w:rPr>
          <w:rFonts w:cs="Arial"/>
          <w:b/>
          <w:bCs/>
          <w:sz w:val="21"/>
          <w:szCs w:val="21"/>
          <w:lang w:eastAsia="ja-JP"/>
        </w:rPr>
        <w:t>.</w:t>
      </w:r>
      <w:r w:rsidR="00B95715" w:rsidRPr="00956A54">
        <w:rPr>
          <w:rFonts w:eastAsia="SimSun"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is to summarize the Tdocs</w:t>
      </w:r>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ab"/>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DE64F6"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ad"/>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DE64F6"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ad"/>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DE64F6"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ad"/>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AC1E5B">
        <w:tc>
          <w:tcPr>
            <w:tcW w:w="1396" w:type="dxa"/>
          </w:tcPr>
          <w:p w14:paraId="1300B1FE" w14:textId="77777777" w:rsidR="00D55C9D" w:rsidRPr="00956A54" w:rsidRDefault="00DE64F6"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ad"/>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DE64F6"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ad"/>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맑은 고딕"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DE64F6"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ad"/>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DE64F6"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ad"/>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2"/>
      </w:pPr>
      <w:r w:rsidRPr="00956A54">
        <w:rPr>
          <w:lang w:eastAsia="zh-CN"/>
        </w:rPr>
        <w:t>3</w:t>
      </w:r>
      <w:r w:rsidRPr="00956A54">
        <w:t>.1</w:t>
      </w:r>
      <w:r w:rsidRPr="00956A54">
        <w:tab/>
      </w:r>
      <w:hyperlink r:id="rId15" w:history="1">
        <w:r w:rsidR="00A72167" w:rsidRPr="00956A54">
          <w:rPr>
            <w:rStyle w:val="ad"/>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DE64F6" w:rsidP="0097528C">
      <w:pPr>
        <w:rPr>
          <w:rFonts w:ascii="Arial" w:eastAsiaTheme="minorEastAsia" w:hAnsi="Arial" w:cs="Arial"/>
          <w:sz w:val="21"/>
          <w:szCs w:val="21"/>
          <w:lang w:eastAsia="ja-JP"/>
        </w:rPr>
      </w:pPr>
      <w:hyperlink r:id="rId16" w:history="1">
        <w:r w:rsidR="00A72167" w:rsidRPr="00956A54">
          <w:rPr>
            <w:rStyle w:val="ad"/>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af"/>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af"/>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ko-KR"/>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ko-KR"/>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BC5E3C" w:rsidRPr="00956A54" w14:paraId="3F7EAF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6000D6" w14:textId="44C2A44F"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00D10C0" w14:textId="7A263699"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04844A9" w14:textId="27098BDC" w:rsidR="00BC5E3C" w:rsidRDefault="00BC5E3C" w:rsidP="00BC5E3C">
            <w:pPr>
              <w:pStyle w:val="TAC"/>
              <w:spacing w:before="20" w:after="20"/>
              <w:ind w:left="57" w:right="57"/>
              <w:jc w:val="left"/>
              <w:rPr>
                <w:rFonts w:cs="Arial"/>
                <w:sz w:val="21"/>
                <w:szCs w:val="21"/>
                <w:lang w:eastAsia="zh-CN"/>
              </w:rPr>
            </w:pPr>
            <w:r>
              <w:rPr>
                <w:rFonts w:eastAsia="맑은 고딕" w:cs="Arial"/>
                <w:sz w:val="21"/>
                <w:szCs w:val="21"/>
                <w:lang w:eastAsia="ko-KR"/>
              </w:rPr>
              <w:t>A</w:t>
            </w:r>
            <w:r>
              <w:rPr>
                <w:rFonts w:eastAsia="맑은 고딕" w:cs="Arial" w:hint="eastAsia"/>
                <w:sz w:val="21"/>
                <w:szCs w:val="21"/>
                <w:lang w:eastAsia="ko-KR"/>
              </w:rPr>
              <w:t xml:space="preserve">gree </w:t>
            </w:r>
            <w:r>
              <w:rPr>
                <w:rFonts w:eastAsia="맑은 고딕" w:cs="Arial"/>
                <w:sz w:val="21"/>
                <w:szCs w:val="21"/>
                <w:lang w:eastAsia="ko-KR"/>
              </w:rPr>
              <w:t>with Ericsson</w:t>
            </w: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r w:rsidR="00BC5E3C" w:rsidRPr="00956A54" w14:paraId="606B58D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9E242B" w14:textId="6E1A597F"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7DE3CFE" w14:textId="03E85B3F"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3D6BF08" w14:textId="77777777" w:rsidR="00BC5E3C" w:rsidRDefault="00BC5E3C" w:rsidP="00BC5E3C">
            <w:pPr>
              <w:pStyle w:val="TAC"/>
              <w:spacing w:before="20" w:after="20"/>
              <w:ind w:left="57" w:right="57"/>
              <w:jc w:val="left"/>
              <w:rPr>
                <w:rFonts w:cs="Arial"/>
                <w:sz w:val="21"/>
                <w:szCs w:val="21"/>
                <w:lang w:eastAsia="zh-CN"/>
              </w:rPr>
            </w:pP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2"/>
      </w:pPr>
      <w:r w:rsidRPr="00956A54">
        <w:rPr>
          <w:lang w:eastAsia="zh-CN"/>
        </w:rPr>
        <w:t>3</w:t>
      </w:r>
      <w:r w:rsidRPr="00956A54">
        <w:t>.</w:t>
      </w:r>
      <w:r w:rsidR="006C672B" w:rsidRPr="00956A54">
        <w:rPr>
          <w:lang w:eastAsia="zh-CN"/>
        </w:rPr>
        <w:t>2</w:t>
      </w:r>
      <w:r w:rsidRPr="00956A54">
        <w:tab/>
      </w:r>
      <w:hyperlink r:id="rId19" w:history="1">
        <w:r w:rsidR="002749E2" w:rsidRPr="00956A54">
          <w:rPr>
            <w:rStyle w:val="ad"/>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ad"/>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 xml:space="preserve">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w:t>
      </w:r>
      <w:r w:rsidRPr="00956A54">
        <w:rPr>
          <w:rFonts w:ascii="Arial" w:hAnsi="Arial" w:cs="Arial"/>
          <w:sz w:val="21"/>
          <w:szCs w:val="21"/>
        </w:rPr>
        <w:lastRenderedPageBreak/>
        <w:t>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ad"/>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ons/receptions into a small active time period (and close to zero congestion due to no sidelink traffic in the long inactive periods).</w:t>
            </w:r>
            <w:r w:rsidR="00F651D5">
              <w:rPr>
                <w:rFonts w:cs="Arial"/>
                <w:sz w:val="21"/>
                <w:szCs w:val="21"/>
                <w:lang w:eastAsia="zh-CN"/>
              </w:rPr>
              <w:t xml:space="preserve"> Especially for groupcast a further freedom to select the on duration based on CBR can eliminate the congestion problem easily.</w:t>
            </w:r>
            <w:r>
              <w:rPr>
                <w:rFonts w:cs="Arial"/>
                <w:sz w:val="21"/>
                <w:szCs w:val="21"/>
                <w:lang w:eastAsia="zh-CN"/>
              </w:rPr>
              <w:t xml:space="preserve"> </w:t>
            </w:r>
          </w:p>
        </w:tc>
      </w:tr>
      <w:tr w:rsidR="00BC5E3C" w:rsidRPr="00956A54" w14:paraId="3EFDE61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51F884" w14:textId="21C8898F" w:rsidR="00BC5E3C" w:rsidRDefault="00BC5E3C" w:rsidP="00BC5E3C">
            <w:pPr>
              <w:pStyle w:val="TAC"/>
              <w:spacing w:before="20" w:after="20"/>
              <w:ind w:left="57" w:right="57"/>
              <w:jc w:val="left"/>
              <w:rPr>
                <w:rFonts w:cs="Arial"/>
                <w:sz w:val="21"/>
                <w:szCs w:val="21"/>
                <w:lang w:eastAsia="zh-CN"/>
              </w:rPr>
            </w:pPr>
            <w:r w:rsidRPr="006243D4">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14:paraId="6CB7A2B6" w14:textId="2551EBAC"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BEA1A40" w14:textId="52CAEC37"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 xml:space="preserve">Same view with Ericsson. </w:t>
            </w:r>
            <w:r>
              <w:rPr>
                <w:rFonts w:eastAsia="맑은 고딕" w:cs="Arial"/>
                <w:sz w:val="21"/>
                <w:szCs w:val="21"/>
                <w:lang w:eastAsia="ko-KR"/>
              </w:rPr>
              <w:t xml:space="preserve">The proposal </w:t>
            </w:r>
            <w:r>
              <w:rPr>
                <w:rFonts w:cs="Arial"/>
                <w:sz w:val="21"/>
                <w:szCs w:val="21"/>
                <w:lang w:eastAsia="zh-CN"/>
              </w:rPr>
              <w:t>would cause additional design efforts for RAN2</w:t>
            </w:r>
            <w:r>
              <w:rPr>
                <w:rFonts w:cs="Arial"/>
                <w:sz w:val="21"/>
                <w:szCs w:val="21"/>
                <w:lang w:eastAsia="zh-CN"/>
              </w:rPr>
              <w:t xml:space="preserve">. </w:t>
            </w:r>
            <w:r>
              <w:rPr>
                <w:rFonts w:eastAsia="맑은 고딕" w:cs="Arial"/>
                <w:sz w:val="21"/>
                <w:szCs w:val="21"/>
                <w:lang w:eastAsia="ko-KR"/>
              </w:rPr>
              <w:t xml:space="preserve">This </w:t>
            </w:r>
            <w:r>
              <w:rPr>
                <w:rFonts w:eastAsia="맑은 고딕" w:cs="Arial"/>
                <w:sz w:val="21"/>
                <w:szCs w:val="21"/>
                <w:lang w:eastAsia="ko-KR"/>
              </w:rPr>
              <w:t xml:space="preserve">kind of </w:t>
            </w:r>
            <w:r>
              <w:rPr>
                <w:rFonts w:eastAsia="맑은 고딕" w:cs="Arial"/>
                <w:sz w:val="21"/>
                <w:szCs w:val="21"/>
                <w:lang w:eastAsia="ko-KR"/>
              </w:rPr>
              <w:t xml:space="preserve">optimization </w:t>
            </w:r>
            <w:r>
              <w:rPr>
                <w:rFonts w:eastAsia="맑은 고딕" w:cs="Arial"/>
                <w:sz w:val="21"/>
                <w:szCs w:val="21"/>
                <w:lang w:eastAsia="ko-KR"/>
              </w:rPr>
              <w:t xml:space="preserve">is not needed. </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2"/>
      </w:pPr>
      <w:r w:rsidRPr="00956A54">
        <w:rPr>
          <w:lang w:eastAsia="zh-CN"/>
        </w:rPr>
        <w:t>3</w:t>
      </w:r>
      <w:r w:rsidRPr="00956A54">
        <w:t>.</w:t>
      </w:r>
      <w:r w:rsidR="006C672B" w:rsidRPr="00956A54">
        <w:rPr>
          <w:lang w:eastAsia="zh-CN"/>
        </w:rPr>
        <w:t>3</w:t>
      </w:r>
      <w:r w:rsidRPr="00956A54">
        <w:tab/>
      </w:r>
      <w:hyperlink r:id="rId22" w:history="1">
        <w:r w:rsidR="002749E2" w:rsidRPr="00956A54">
          <w:rPr>
            <w:rStyle w:val="ad"/>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ad"/>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2"/>
        <w:rPr>
          <w:rFonts w:cs="Arial"/>
          <w:sz w:val="21"/>
          <w:szCs w:val="21"/>
        </w:rPr>
      </w:pPr>
      <w:r w:rsidRPr="00956A54">
        <w:rPr>
          <w:rFonts w:cs="Arial"/>
          <w:sz w:val="21"/>
          <w:szCs w:val="21"/>
        </w:rPr>
        <w:lastRenderedPageBreak/>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ad"/>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56A54" w:rsidRPr="00956A54" w14:paraId="4058E20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rsidR="00BC5E3C" w:rsidRPr="00956A54" w14:paraId="5D1E58D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CDDF5" w14:textId="44BFD758"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F7BC456" w14:textId="0EB5251C"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280A42" w14:textId="565D6A5A"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 xml:space="preserve">Same view with </w:t>
            </w:r>
            <w:r>
              <w:rPr>
                <w:rFonts w:eastAsia="맑은 고딕" w:cs="Arial"/>
                <w:sz w:val="21"/>
                <w:szCs w:val="21"/>
                <w:lang w:eastAsia="ko-KR"/>
              </w:rPr>
              <w:t>Interdigital</w:t>
            </w:r>
            <w:r>
              <w:rPr>
                <w:rFonts w:eastAsia="맑은 고딕" w:cs="Arial" w:hint="eastAsia"/>
                <w:sz w:val="21"/>
                <w:szCs w:val="21"/>
                <w:lang w:eastAsia="ko-KR"/>
              </w:rPr>
              <w:t>.</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lastRenderedPageBreak/>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BC5E3C"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447BD78A" w:rsidR="00BC5E3C" w:rsidRPr="00956A54"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14:paraId="5E0895C8" w14:textId="77777777" w:rsidR="00BC5E3C" w:rsidRPr="00E74BF5" w:rsidRDefault="00BC5E3C" w:rsidP="00BC5E3C">
            <w:pPr>
              <w:pStyle w:val="TAC"/>
              <w:spacing w:before="20" w:after="20"/>
              <w:ind w:left="57" w:right="57"/>
              <w:jc w:val="left"/>
              <w:rPr>
                <w:rFonts w:eastAsia="맑은 고딕" w:cs="Arial" w:hint="eastAsia"/>
                <w:sz w:val="21"/>
                <w:szCs w:val="21"/>
                <w:lang w:eastAsia="ko-KR"/>
              </w:rPr>
            </w:pPr>
            <w:r>
              <w:rPr>
                <w:rFonts w:eastAsia="맑은 고딕" w:cs="Arial" w:hint="eastAsia"/>
                <w:sz w:val="21"/>
                <w:szCs w:val="21"/>
                <w:lang w:eastAsia="ko-KR"/>
              </w:rPr>
              <w:t xml:space="preserve">Same </w:t>
            </w:r>
            <w:r>
              <w:rPr>
                <w:rFonts w:eastAsia="맑은 고딕" w:cs="Arial"/>
                <w:sz w:val="21"/>
                <w:szCs w:val="21"/>
                <w:lang w:eastAsia="ko-KR"/>
              </w:rPr>
              <w:t>solution with InterDigital and Apple.</w:t>
            </w:r>
          </w:p>
          <w:p w14:paraId="13E0E03A" w14:textId="0A6712E5" w:rsidR="00BC5E3C" w:rsidRPr="00956A54" w:rsidRDefault="00BC5E3C" w:rsidP="00BC5E3C">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956A5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AC1E5B">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AC1E5B">
            <w:pPr>
              <w:pStyle w:val="TAC"/>
              <w:spacing w:before="20" w:after="20"/>
              <w:ind w:left="57" w:right="57"/>
              <w:jc w:val="left"/>
              <w:rPr>
                <w:rFonts w:cs="Arial"/>
                <w:sz w:val="21"/>
                <w:szCs w:val="21"/>
                <w:lang w:val="en-US" w:eastAsia="zh-CN"/>
              </w:rPr>
            </w:pPr>
          </w:p>
        </w:tc>
      </w:tr>
      <w:tr w:rsidR="00956A5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AC1E5B">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ad"/>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ad"/>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w:t>
      </w:r>
      <w:r w:rsidRPr="00956A54">
        <w:rPr>
          <w:rFonts w:ascii="Arial" w:hAnsi="Arial" w:cs="Arial"/>
          <w:sz w:val="21"/>
          <w:szCs w:val="21"/>
        </w:rPr>
        <w:lastRenderedPageBreak/>
        <w:t xml:space="preserve">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ad"/>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r w:rsidR="00BC5E3C" w:rsidRPr="00956A54" w14:paraId="74786BF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3B79D16" w14:textId="606A58DB"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66123BDE" w14:textId="6ADFA57E"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48F9C9F" w14:textId="77777777" w:rsidR="00BC5E3C" w:rsidRPr="00956A54" w:rsidRDefault="00BC5E3C" w:rsidP="00BC5E3C">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5F7EE85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18B2116" w14:textId="22A38A80" w:rsidR="00BC5E3C" w:rsidRPr="00BC5E3C" w:rsidRDefault="00BC5E3C" w:rsidP="00613A64">
            <w:pPr>
              <w:pStyle w:val="TAC"/>
              <w:spacing w:before="20" w:after="20"/>
              <w:ind w:left="57" w:right="57"/>
              <w:jc w:val="left"/>
              <w:rPr>
                <w:rFonts w:eastAsia="맑은 고딕" w:cs="Arial" w:hint="eastAsia"/>
                <w:sz w:val="21"/>
                <w:szCs w:val="21"/>
                <w:lang w:eastAsia="ko-KR"/>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7181144B" w14:textId="77051BE0" w:rsidR="00BC5E3C" w:rsidRPr="00BC5E3C" w:rsidRDefault="00BC5E3C" w:rsidP="00613A64">
            <w:pPr>
              <w:pStyle w:val="TAC"/>
              <w:spacing w:before="20" w:after="20"/>
              <w:ind w:left="57" w:right="57"/>
              <w:jc w:val="left"/>
              <w:rPr>
                <w:rFonts w:eastAsia="맑은 고딕" w:cs="Arial" w:hint="eastAsia"/>
                <w:sz w:val="21"/>
                <w:szCs w:val="21"/>
                <w:lang w:eastAsia="ko-KR"/>
              </w:rPr>
            </w:pPr>
            <w:r>
              <w:rPr>
                <w:rFonts w:eastAsia="맑은 고딕"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FF47023" w14:textId="77777777" w:rsidR="00BC5E3C" w:rsidRDefault="00BC5E3C" w:rsidP="00613A64">
            <w:pPr>
              <w:pStyle w:val="TAC"/>
              <w:spacing w:before="20" w:after="20"/>
              <w:ind w:left="57" w:right="57"/>
              <w:jc w:val="left"/>
              <w:rPr>
                <w:rFonts w:cs="Arial"/>
                <w:sz w:val="21"/>
                <w:szCs w:val="21"/>
                <w:lang w:eastAsia="zh-CN"/>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7A2B5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7CEBC" w14:textId="27807911"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182C357" w14:textId="06B150C1"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See comments</w:t>
            </w:r>
          </w:p>
        </w:tc>
        <w:tc>
          <w:tcPr>
            <w:tcW w:w="6659" w:type="dxa"/>
            <w:tcBorders>
              <w:top w:val="single" w:sz="4" w:space="0" w:color="auto"/>
              <w:left w:val="single" w:sz="4" w:space="0" w:color="auto"/>
              <w:bottom w:val="single" w:sz="4" w:space="0" w:color="auto"/>
              <w:right w:val="single" w:sz="4" w:space="0" w:color="auto"/>
            </w:tcBorders>
          </w:tcPr>
          <w:p w14:paraId="108C8732" w14:textId="5B73ABD7" w:rsidR="00BC5E3C" w:rsidRDefault="00BC5E3C" w:rsidP="00BC5E3C">
            <w:pPr>
              <w:pStyle w:val="TAC"/>
              <w:spacing w:before="20" w:after="20"/>
              <w:ind w:left="57" w:right="57"/>
              <w:jc w:val="left"/>
              <w:rPr>
                <w:rFonts w:cs="Arial"/>
                <w:sz w:val="21"/>
                <w:szCs w:val="21"/>
                <w:lang w:eastAsia="zh-CN"/>
              </w:rPr>
            </w:pPr>
            <w:r w:rsidRPr="00386C1E">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bl>
    <w:p w14:paraId="25E9FE84" w14:textId="77777777" w:rsidR="00192EBF" w:rsidRPr="00B404DA" w:rsidRDefault="00192EBF" w:rsidP="00BD6350">
      <w:pPr>
        <w:rPr>
          <w:lang w:eastAsia="ja-JP"/>
        </w:rPr>
      </w:pPr>
    </w:p>
    <w:p w14:paraId="676F7BC1" w14:textId="029EECAB" w:rsidR="00192EBF" w:rsidRDefault="00192EBF" w:rsidP="00192EBF">
      <w:pPr>
        <w:pStyle w:val="2"/>
        <w:rPr>
          <w:lang w:eastAsia="ja-JP"/>
        </w:rPr>
      </w:pPr>
      <w:r>
        <w:rPr>
          <w:rFonts w:hint="eastAsia"/>
          <w:lang w:eastAsia="ja-JP"/>
        </w:rPr>
        <w:t xml:space="preserve">3.5 </w:t>
      </w:r>
      <w:hyperlink r:id="rId28" w:history="1">
        <w:r w:rsidRPr="00956A54">
          <w:rPr>
            <w:rStyle w:val="ad"/>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ad"/>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2"/>
        <w:tabs>
          <w:tab w:val="left" w:pos="576"/>
        </w:tabs>
        <w:overflowPunct w:val="0"/>
        <w:autoSpaceDE w:val="0"/>
        <w:autoSpaceDN w:val="0"/>
        <w:adjustRightInd w:val="0"/>
        <w:ind w:left="576" w:hanging="576"/>
        <w:textAlignment w:val="baseline"/>
        <w:rPr>
          <w:rFonts w:eastAsia="맑은 고딕"/>
          <w:sz w:val="28"/>
          <w:szCs w:val="28"/>
          <w:lang w:eastAsia="ko-KR"/>
        </w:rPr>
      </w:pPr>
      <w:r w:rsidRPr="003A080C">
        <w:rPr>
          <w:rFonts w:eastAsia="맑은 고딕" w:hint="eastAsia"/>
          <w:sz w:val="28"/>
          <w:szCs w:val="28"/>
          <w:lang w:eastAsia="ko-KR"/>
        </w:rPr>
        <w:t>2.</w:t>
      </w:r>
      <w:r>
        <w:rPr>
          <w:rFonts w:eastAsia="맑은 고딕"/>
          <w:sz w:val="28"/>
          <w:szCs w:val="28"/>
          <w:lang w:eastAsia="ko-KR"/>
        </w:rPr>
        <w:t>7</w:t>
      </w:r>
      <w:r w:rsidRPr="003A080C">
        <w:rPr>
          <w:rFonts w:eastAsia="맑은 고딕" w:hint="eastAsia"/>
          <w:sz w:val="28"/>
          <w:szCs w:val="28"/>
          <w:lang w:eastAsia="ko-KR"/>
        </w:rPr>
        <w:t xml:space="preserve"> </w:t>
      </w:r>
      <w:r>
        <w:rPr>
          <w:rFonts w:eastAsia="맑은 고딕"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ad"/>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r w:rsidR="00BC5E3C" w:rsidRPr="00956A54" w14:paraId="0FF71D5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905D6FF" w14:textId="162DCD68" w:rsidR="00BC5E3C" w:rsidRPr="00BC5E3C" w:rsidRDefault="00BC5E3C" w:rsidP="00613A64">
            <w:pPr>
              <w:pStyle w:val="TAC"/>
              <w:spacing w:before="20" w:after="20"/>
              <w:ind w:left="57" w:right="57"/>
              <w:jc w:val="left"/>
              <w:rPr>
                <w:rFonts w:eastAsia="맑은 고딕" w:cs="Arial" w:hint="eastAsia"/>
                <w:sz w:val="21"/>
                <w:szCs w:val="21"/>
                <w:lang w:eastAsia="ko-KR"/>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015AE7C" w14:textId="762DBBBC" w:rsidR="00BC5E3C" w:rsidRPr="00BC5E3C" w:rsidRDefault="00BC5E3C" w:rsidP="00613A64">
            <w:pPr>
              <w:pStyle w:val="TAC"/>
              <w:spacing w:before="20" w:after="20"/>
              <w:ind w:left="57" w:right="57"/>
              <w:jc w:val="left"/>
              <w:rPr>
                <w:rFonts w:eastAsia="맑은 고딕" w:cs="Arial" w:hint="eastAsia"/>
                <w:sz w:val="21"/>
                <w:szCs w:val="21"/>
                <w:lang w:eastAsia="ko-KR"/>
              </w:rPr>
            </w:pPr>
            <w:r>
              <w:rPr>
                <w:rFonts w:eastAsia="맑은 고딕"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D38737" w14:textId="77777777" w:rsidR="00BC5E3C" w:rsidRDefault="00BC5E3C" w:rsidP="00613A64">
            <w:pPr>
              <w:pStyle w:val="TAC"/>
              <w:spacing w:before="20" w:after="20"/>
              <w:ind w:left="57" w:right="57"/>
              <w:jc w:val="left"/>
              <w:rPr>
                <w:rFonts w:cs="Arial"/>
                <w:sz w:val="21"/>
                <w:szCs w:val="21"/>
                <w:lang w:eastAsia="zh-CN"/>
              </w:rPr>
            </w:pP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70E1B2D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BC5E3C" w:rsidRPr="00956A54" w14:paraId="11FC634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B5AD5E" w14:textId="54CFC83E"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3C8D787" w14:textId="4241C851"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1B010A7F" w14:textId="70AEA470" w:rsidR="00BC5E3C" w:rsidRDefault="00BC5E3C" w:rsidP="00BC5E3C">
            <w:pPr>
              <w:pStyle w:val="TAC"/>
              <w:spacing w:before="20" w:after="20"/>
              <w:ind w:left="57" w:right="57"/>
              <w:jc w:val="left"/>
              <w:rPr>
                <w:rFonts w:cs="Arial"/>
                <w:sz w:val="21"/>
                <w:szCs w:val="21"/>
                <w:lang w:eastAsia="zh-CN"/>
              </w:rPr>
            </w:pPr>
            <w:r w:rsidRPr="00EF0680">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w:t>
            </w:r>
            <w:r>
              <w:rPr>
                <w:rFonts w:cs="Arial"/>
                <w:sz w:val="21"/>
                <w:szCs w:val="21"/>
                <w:lang w:eastAsia="zh-CN"/>
              </w:rPr>
              <w:t xml:space="preserve"> (</w:t>
            </w:r>
            <w:r w:rsidRPr="00EF0680">
              <w:rPr>
                <w:rFonts w:cs="Arial"/>
                <w:sz w:val="21"/>
                <w:szCs w:val="21"/>
                <w:lang w:eastAsia="zh-CN"/>
              </w:rPr>
              <w:t>PDB mapped to Standardized PQI</w:t>
            </w:r>
            <w:r>
              <w:rPr>
                <w:rFonts w:cs="Arial"/>
                <w:sz w:val="21"/>
                <w:szCs w:val="21"/>
                <w:lang w:eastAsia="zh-CN"/>
              </w:rPr>
              <w:t>)</w:t>
            </w:r>
            <w:r w:rsidRPr="00EF0680">
              <w:rPr>
                <w:rFonts w:cs="Arial"/>
                <w:sz w:val="21"/>
                <w:szCs w:val="21"/>
                <w:lang w:eastAsia="zh-CN"/>
              </w:rPr>
              <w:t>,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2"/>
        <w:rPr>
          <w:lang w:eastAsia="ja-JP"/>
        </w:rPr>
      </w:pPr>
      <w:r>
        <w:rPr>
          <w:rFonts w:hint="eastAsia"/>
          <w:lang w:eastAsia="ja-JP"/>
        </w:rPr>
        <w:t xml:space="preserve">3.6 </w:t>
      </w:r>
      <w:hyperlink r:id="rId31" w:history="1">
        <w:r w:rsidRPr="00956A54">
          <w:rPr>
            <w:rStyle w:val="ad"/>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ad"/>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w:t>
      </w:r>
      <w:r>
        <w:rPr>
          <w:rFonts w:ascii="Eras Medium ITC" w:hAnsi="Eras Medium ITC" w:cs="Arial"/>
          <w:lang w:eastAsia="ko-KR"/>
        </w:rPr>
        <w:lastRenderedPageBreak/>
        <w:t xml:space="preserve">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ad"/>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he onDura</w:t>
            </w:r>
            <w:r>
              <w:rPr>
                <w:rFonts w:cs="Arial"/>
                <w:sz w:val="21"/>
                <w:szCs w:val="21"/>
                <w:lang w:eastAsia="zh-CN"/>
              </w:rPr>
              <w:t xml:space="preserve">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B074FC3"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RX-UEs of the groupcast from a RX-UE point of view needs further discussion.</w:t>
            </w:r>
          </w:p>
        </w:tc>
      </w:tr>
      <w:tr w:rsidR="00BC5E3C" w:rsidRPr="00956A54" w14:paraId="711FC38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2240ABA" w14:textId="43A43125"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BBC5F61" w14:textId="0CFE441E"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4A3F5F7" w14:textId="77777777" w:rsidR="00BC5E3C" w:rsidRDefault="00BC5E3C" w:rsidP="00BC5E3C">
            <w:pPr>
              <w:pStyle w:val="TAC"/>
              <w:spacing w:before="20" w:after="20"/>
              <w:ind w:left="57" w:right="57"/>
              <w:jc w:val="left"/>
              <w:rPr>
                <w:rFonts w:cs="Arial"/>
                <w:sz w:val="21"/>
                <w:szCs w:val="21"/>
                <w:lang w:eastAsia="zh-CN"/>
              </w:rPr>
            </w:pP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2"/>
        <w:rPr>
          <w:lang w:eastAsia="ja-JP"/>
        </w:rPr>
      </w:pPr>
      <w:r>
        <w:rPr>
          <w:lang w:eastAsia="ja-JP"/>
        </w:rPr>
        <w:t xml:space="preserve">3.7 </w:t>
      </w:r>
      <w:hyperlink r:id="rId34" w:history="1">
        <w:r w:rsidRPr="00956A54">
          <w:rPr>
            <w:rStyle w:val="ad"/>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ad"/>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w:t>
      </w:r>
      <w:r w:rsidRPr="006164D9">
        <w:rPr>
          <w:szCs w:val="22"/>
        </w:rPr>
        <w:lastRenderedPageBreak/>
        <w:t xml:space="preserve">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ko-KR"/>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af1"/>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Useful information for SL TX UE’s gNB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af"/>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af"/>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ad"/>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sidRPr="00367F70">
              <w:rPr>
                <w:i/>
                <w:lang w:eastAsia="ko-KR"/>
              </w:rPr>
              <w:t>sl-DCI-ToSL-Trans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lang w:val="en-US" w:eastAsia="ko-KR"/>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r w:rsidR="00BC5E3C" w:rsidRPr="00956A54" w14:paraId="525C5B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87BAFB" w14:textId="5039EC48"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3F1D01D4" w14:textId="592A549B"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6DC0944" w14:textId="47FC9EF7" w:rsidR="00BC5E3C" w:rsidRPr="00E01FB0"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 xml:space="preserve">Same view with Ericsson. </w:t>
            </w:r>
            <w:r>
              <w:rPr>
                <w:rFonts w:eastAsia="맑은 고딕" w:cs="Arial"/>
                <w:sz w:val="21"/>
                <w:szCs w:val="21"/>
                <w:lang w:eastAsia="ko-KR"/>
              </w:rPr>
              <w:t xml:space="preserve">This is an optimization issue. </w:t>
            </w: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SidelinkUEInformation</w:t>
            </w:r>
            <w:r>
              <w:rPr>
                <w:i/>
                <w:iCs/>
                <w:noProof/>
              </w:rPr>
              <w:t xml:space="preserve">NR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BC5E3C" w:rsidRPr="00956A54" w14:paraId="68BBAE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05E4E" w14:textId="70BBF022" w:rsidR="00BC5E3C" w:rsidRDefault="00BC5E3C" w:rsidP="00BC5E3C">
            <w:pPr>
              <w:pStyle w:val="TAC"/>
              <w:spacing w:before="20" w:after="20"/>
              <w:ind w:left="57" w:right="57"/>
              <w:jc w:val="left"/>
              <w:rPr>
                <w:rFonts w:cs="Arial"/>
                <w:sz w:val="21"/>
                <w:szCs w:val="21"/>
                <w:lang w:eastAsia="zh-CN"/>
              </w:rPr>
            </w:pPr>
            <w:r>
              <w:rPr>
                <w:rFonts w:eastAsia="맑은 고딕"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E1E80D2" w14:textId="35D870B7" w:rsidR="00BC5E3C" w:rsidRDefault="00F348EA" w:rsidP="00BC5E3C">
            <w:pPr>
              <w:pStyle w:val="TAC"/>
              <w:spacing w:before="20" w:after="20"/>
              <w:ind w:left="57" w:right="57"/>
              <w:jc w:val="left"/>
              <w:rPr>
                <w:rFonts w:cs="Arial"/>
                <w:sz w:val="21"/>
                <w:szCs w:val="21"/>
                <w:lang w:eastAsia="zh-CN"/>
              </w:rPr>
            </w:pPr>
            <w:r>
              <w:rPr>
                <w:rFonts w:eastAsia="맑은 고딕"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14:paraId="0340D1C2" w14:textId="1126A2D9" w:rsidR="00BC5E3C" w:rsidRDefault="00BC5E3C" w:rsidP="00F348EA">
            <w:pPr>
              <w:pStyle w:val="TAC"/>
              <w:spacing w:before="20" w:after="20"/>
              <w:ind w:left="57" w:right="57"/>
              <w:jc w:val="left"/>
              <w:rPr>
                <w:rFonts w:cs="Arial"/>
                <w:sz w:val="21"/>
                <w:szCs w:val="21"/>
                <w:lang w:eastAsia="zh-CN"/>
              </w:rPr>
            </w:pPr>
            <w:r>
              <w:rPr>
                <w:rFonts w:eastAsia="맑은 고딕" w:cs="Arial"/>
                <w:sz w:val="21"/>
                <w:szCs w:val="21"/>
                <w:lang w:eastAsia="ko-KR"/>
              </w:rPr>
              <w:t>Agree with</w:t>
            </w:r>
            <w:r w:rsidR="00F348EA">
              <w:rPr>
                <w:rFonts w:eastAsia="맑은 고딕" w:cs="Arial"/>
                <w:sz w:val="21"/>
                <w:szCs w:val="21"/>
                <w:lang w:eastAsia="ko-KR"/>
              </w:rPr>
              <w:t xml:space="preserve"> Ericsson and </w:t>
            </w:r>
            <w:r>
              <w:rPr>
                <w:rFonts w:eastAsia="맑은 고딕" w:cs="Arial"/>
                <w:sz w:val="21"/>
                <w:szCs w:val="21"/>
                <w:lang w:eastAsia="ko-KR"/>
              </w:rPr>
              <w:t xml:space="preserve">OPPO. Legacy SUI and UAI is enough to report the QoS and traffic pattern to gNB. </w:t>
            </w:r>
            <w:bookmarkStart w:id="6" w:name="_GoBack"/>
            <w:bookmarkEnd w:id="6"/>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1"/>
      </w:pPr>
      <w:r>
        <w:rPr>
          <w:rFonts w:hint="eastAsia"/>
          <w:lang w:eastAsia="ja-JP"/>
        </w:rPr>
        <w:lastRenderedPageBreak/>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FC3A" w14:textId="77777777" w:rsidR="00DE64F6" w:rsidRDefault="00DE64F6" w:rsidP="00441FF5">
      <w:pPr>
        <w:spacing w:after="0"/>
      </w:pPr>
      <w:r>
        <w:separator/>
      </w:r>
    </w:p>
  </w:endnote>
  <w:endnote w:type="continuationSeparator" w:id="0">
    <w:p w14:paraId="435F9B47" w14:textId="77777777" w:rsidR="00DE64F6" w:rsidRDefault="00DE64F6"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AD14" w14:textId="77777777" w:rsidR="00DE64F6" w:rsidRDefault="00DE64F6" w:rsidP="00441FF5">
      <w:pPr>
        <w:spacing w:after="0"/>
      </w:pPr>
      <w:r>
        <w:separator/>
      </w:r>
    </w:p>
  </w:footnote>
  <w:footnote w:type="continuationSeparator" w:id="0">
    <w:p w14:paraId="7FD05182" w14:textId="77777777" w:rsidR="00DE64F6" w:rsidRDefault="00DE64F6" w:rsidP="00441F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SimSun"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SimSun"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57B"/>
    <w:rsid w:val="002D79F3"/>
    <w:rsid w:val="002E03B2"/>
    <w:rsid w:val="002E1F75"/>
    <w:rsid w:val="002E2787"/>
    <w:rsid w:val="002E2B63"/>
    <w:rsid w:val="002E327F"/>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1F"/>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DBC"/>
    <w:rsid w:val="006F6A2C"/>
    <w:rsid w:val="0070149B"/>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E55"/>
    <w:rsid w:val="007A39BF"/>
    <w:rsid w:val="007A418F"/>
    <w:rsid w:val="007A53C8"/>
    <w:rsid w:val="007A5CCB"/>
    <w:rsid w:val="007A61A1"/>
    <w:rsid w:val="007A6E5E"/>
    <w:rsid w:val="007A71E4"/>
    <w:rsid w:val="007B0724"/>
    <w:rsid w:val="007B18D8"/>
    <w:rsid w:val="007B226C"/>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9010E7"/>
    <w:rsid w:val="00901128"/>
    <w:rsid w:val="0090154E"/>
    <w:rsid w:val="0090271F"/>
    <w:rsid w:val="00902DB9"/>
    <w:rsid w:val="0090466A"/>
    <w:rsid w:val="0090614D"/>
    <w:rsid w:val="0090789B"/>
    <w:rsid w:val="00910809"/>
    <w:rsid w:val="00913B50"/>
    <w:rsid w:val="0091588E"/>
    <w:rsid w:val="00916E3E"/>
    <w:rsid w:val="00921A66"/>
    <w:rsid w:val="00923655"/>
    <w:rsid w:val="0092649E"/>
    <w:rsid w:val="00932E8A"/>
    <w:rsid w:val="0093489D"/>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E5B"/>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5F7F"/>
    <w:rsid w:val="00B16C2F"/>
    <w:rsid w:val="00B20DCA"/>
    <w:rsid w:val="00B22C47"/>
    <w:rsid w:val="00B24FC6"/>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3CD6"/>
    <w:rsid w:val="00CD4C7B"/>
    <w:rsid w:val="00CD58FE"/>
    <w:rsid w:val="00CD72B5"/>
    <w:rsid w:val="00CF0EDF"/>
    <w:rsid w:val="00CF500B"/>
    <w:rsid w:val="00D01244"/>
    <w:rsid w:val="00D0217C"/>
    <w:rsid w:val="00D065B2"/>
    <w:rsid w:val="00D07E80"/>
    <w:rsid w:val="00D106E7"/>
    <w:rsid w:val="00D11219"/>
    <w:rsid w:val="00D20824"/>
    <w:rsid w:val="00D209AC"/>
    <w:rsid w:val="00D31246"/>
    <w:rsid w:val="00D33BE3"/>
    <w:rsid w:val="00D36292"/>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1DF"/>
    <w:rsid w:val="00FA1266"/>
    <w:rsid w:val="00FA1301"/>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rPr>
      <w:rFonts w:ascii="Times New Roman" w:hAnsi="Times New Roman"/>
      <w:bCs/>
      <w:color w:val="auto"/>
      <w:sz w:val="20"/>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qFormat/>
    <w:rPr>
      <w:color w:val="954F72" w:themeColor="followedHyperlink"/>
      <w:u w:val="single"/>
    </w:rPr>
  </w:style>
  <w:style w:type="character" w:styleId="ad">
    <w:name w:val="Hyperlink"/>
    <w:qFormat/>
    <w:rPr>
      <w:color w:val="0000FF"/>
      <w:u w:val="single"/>
    </w:rPr>
  </w:style>
  <w:style w:type="character" w:styleId="ae">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머리글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3"/>
    <w:rPr>
      <w:sz w:val="24"/>
      <w:szCs w:val="24"/>
      <w:lang w:eastAsia="en-US"/>
    </w:rPr>
  </w:style>
  <w:style w:type="character" w:customStyle="1" w:styleId="Char2">
    <w:name w:val="풍선 도움말 텍스트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Char0">
    <w:name w:val="메모 텍스트 Char"/>
    <w:basedOn w:val="a0"/>
    <w:link w:val="a4"/>
    <w:qFormat/>
    <w:rPr>
      <w:rFonts w:ascii="Arial" w:eastAsia="SimSun" w:hAnsi="Arial"/>
      <w:b/>
      <w:color w:val="0070C0"/>
      <w:sz w:val="24"/>
      <w:lang w:eastAsia="en-US"/>
    </w:rPr>
  </w:style>
  <w:style w:type="character" w:customStyle="1" w:styleId="Char4">
    <w:name w:val="메모 주제 Char"/>
    <w:basedOn w:val="Char0"/>
    <w:link w:val="aa"/>
    <w:rPr>
      <w:rFonts w:ascii="Arial" w:eastAsia="SimSun" w:hAnsi="Arial"/>
      <w:b/>
      <w:bCs/>
      <w:color w:val="0070C0"/>
      <w:sz w:val="24"/>
      <w:lang w:eastAsia="en-US"/>
    </w:rPr>
  </w:style>
  <w:style w:type="character" w:customStyle="1" w:styleId="Char1">
    <w:name w:val="본문 Char"/>
    <w:basedOn w:val="a0"/>
    <w:link w:val="a5"/>
    <w:rPr>
      <w:rFonts w:ascii="Arial" w:eastAsiaTheme="minorEastAsia" w:hAnsi="Arial"/>
      <w:lang w:eastAsia="zh-CN"/>
    </w:rPr>
  </w:style>
  <w:style w:type="paragraph" w:styleId="af">
    <w:name w:val="List Paragraph"/>
    <w:aliases w:val="- Bullets,?? ??,?????,????,Lista1,1st level - Bullet List Paragraph,List Paragraph1,Lettre d'introduction,Paragrafo elenco,Normal bullet 2,Bullet list,Numbered List,列出段落1,中等深浅网格 1 - 着色 21,¥¡¡¡¡ì¬º¥¹¥È¶ÎÂä,ÁÐ³ö¶ÎÂä,列表段落1"/>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af0">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5"/>
    <w:qFormat/>
    <w:rsid w:val="00133FE4"/>
    <w:pPr>
      <w:numPr>
        <w:numId w:val="34"/>
      </w:numPr>
      <w:tabs>
        <w:tab w:val="left" w:pos="360"/>
        <w:tab w:val="left" w:pos="432"/>
      </w:tabs>
      <w:overflowPunct/>
      <w:autoSpaceDE/>
      <w:autoSpaceDN/>
      <w:adjustRightInd/>
      <w:spacing w:line="259" w:lineRule="auto"/>
      <w:ind w:firstLine="0"/>
      <w:textAlignment w:val="auto"/>
    </w:pPr>
    <w:rPr>
      <w:rFonts w:eastAsia="SimSun"/>
    </w:rPr>
  </w:style>
  <w:style w:type="paragraph" w:customStyle="1" w:styleId="Doc-text2">
    <w:name w:val="Doc-text2"/>
    <w:basedOn w:val="a"/>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Char5">
    <w:name w:val="목록 단락 Char"/>
    <w:aliases w:val="- Bullets Char,?? ?? Char,????? Char,???? Char,Lista1 Char,1st level - Bullet List Paragraph Char,List Paragraph1 Char,Lettre d'introduction Char,Paragrafo elenco Char,Normal bullet 2 Char,Bullet list Char,Numbered List Char,列出段落1 Char"/>
    <w:link w:val="af"/>
    <w:uiPriority w:val="34"/>
    <w:qFormat/>
    <w:locked/>
    <w:rsid w:val="00A72167"/>
    <w:rPr>
      <w:lang w:val="en-GB" w:eastAsia="en-US"/>
    </w:rPr>
  </w:style>
  <w:style w:type="paragraph" w:styleId="af1">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fontTable" Target="fontTable.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8" Type="http://schemas.openxmlformats.org/officeDocument/2006/relationships/hyperlink" Target="https://www.3gpp.org/ftp/tsg_ran/WG2_RL2/TSGR2_116-e/Docs/R2-2109722.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5796</Words>
  <Characters>33043</Characters>
  <Application>Microsoft Office Word</Application>
  <DocSecurity>0</DocSecurity>
  <Lines>275</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2021-11-04T10:59:00Z</dcterms:created>
  <dcterms:modified xsi:type="dcterms:W3CDTF">2021-11-04T11:05:00Z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89030d38c7d43d8b18bb02d92f60112">
    <vt:lpwstr>CWMZCBcqm++m5vWOeKODn4vOtD5whv0oRVzAw7v/+4N5+oZSWOGeYNDzMXlZJ91YeU2PhccHVK/WpHOBuDncYp7sQ==</vt:lpwstr>
  </property>
</Properties>
</file>