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r>
        <w:rPr>
          <w:bCs/>
          <w:sz w:val="24"/>
          <w:szCs w:val="24"/>
          <w:lang w:eastAsia="zh-CN"/>
        </w:rPr>
        <w:t>Elbonia,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[AT116-e][223][R17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[AT116-e][223][R17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e.g. in case all suggested PSCell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conclusions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 xml:space="preserve">The second part of the SN initiated inter-SN CPC procedure is optional (i.e. Proposal 2 is not agreed), and it's up to the MN to determine whether to skip the second step, e.g. in case all suggested PSCell candidates have been accepted. </w:t>
            </w:r>
            <w:r>
              <w:rPr>
                <w:highlight w:val="yellow"/>
              </w:rPr>
              <w:t>Request RAN3 to work on details (e.g.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it is the MN that should decide if the second part of the procedure in Solution 2 for SN-initiated CPC is triggered or not. During the online discussion it was commented that such additional message exchange with S-SN upon T-SN acknowledges candidate PSCells may not be needed for example when all PSCells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Question 1: Do you agree with the reasoning explained above, i.e.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PSCells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If the decision is left for MN as stated in [1], MN would contact again the source SN as PSCells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This case is expected to be very common. By leaving the decision for MN, the issue would not be solved and the signaling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PSCells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B, source SN will not perform any update and as such the additional signaling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Huawei, HiSilicon</w:t>
            </w:r>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The "source configuration update" must delete conditional measurements for which there is no candidate target PSCell as RAN2 agreed.</w:t>
            </w:r>
          </w:p>
          <w:p w14:paraId="12D33320" w14:textId="77777777" w:rsidR="00E904E9" w:rsidRDefault="00D917F1">
            <w:pPr>
              <w:rPr>
                <w:lang w:eastAsia="zh-CN"/>
              </w:rPr>
            </w:pPr>
            <w:commentRangeStart w:id="3"/>
            <w:r>
              <w:rPr>
                <w:lang w:eastAsia="zh-CN"/>
              </w:rPr>
              <w:t xml:space="preserve">So in the above examples, an update is necessary anyway unless there are other candidate target PSCell prepared on the same carrier. As the MN is involved and is aware of the carriers of the prepared PSCells, </w:t>
            </w:r>
            <w:r>
              <w:rPr>
                <w:b/>
                <w:lang w:eastAsia="zh-CN"/>
              </w:rPr>
              <w:t>the MN has perfectly accurate information to know whether to wait for the SN or not.</w:t>
            </w:r>
            <w:commentRangeEnd w:id="3"/>
            <w:r w:rsidR="0089022B">
              <w:rPr>
                <w:rStyle w:val="CommentReference"/>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measurement so the UE continues measuring the corresponding carrier unless the S-SN deletes the non-conditional event from measConfig. </w:t>
            </w:r>
            <w:r>
              <w:rPr>
                <w:b/>
                <w:lang w:eastAsia="zh-CN"/>
              </w:rPr>
              <w:t>This is only feasible if the T-SN has prepared a full configuration for all accepted PSCell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From our view, skipping the second step would mean that the MN does not need to wait for a reply from the S-SN after sending the accepted PSCell information (provided by T-SN) to the S-SN. In other words, the skipping is not whole part of the second step but the second/latter part of the second step (S-SN-&gt;MN).</w:t>
            </w:r>
            <w:commentRangeEnd w:id="4"/>
            <w:r w:rsidR="00D57358">
              <w:rPr>
                <w:rStyle w:val="CommentReference"/>
              </w:rPr>
              <w:commentReference w:id="4"/>
            </w:r>
          </w:p>
          <w:p w14:paraId="424BEED0" w14:textId="77777777" w:rsidR="00E904E9" w:rsidRDefault="00D917F1">
            <w:pPr>
              <w:rPr>
                <w:rFonts w:eastAsia="MS Mincho"/>
                <w:lang w:eastAsia="ja-JP"/>
              </w:rPr>
            </w:pPr>
            <w:commentRangeStart w:id="5"/>
            <w:r>
              <w:rPr>
                <w:rFonts w:eastAsia="MS Mincho"/>
                <w:lang w:eastAsia="ja-JP"/>
              </w:rPr>
              <w:t>In order to ensure MN and SN coordination, the MN should be allowed to skip, only if all the candidate PSCells are accepted by the T-SN. Otherwise, the MN should wait a possible reply from S-SN.</w:t>
            </w:r>
            <w:commentRangeEnd w:id="5"/>
            <w:r w:rsidR="00D57358">
              <w:rPr>
                <w:rStyle w:val="CommentReference"/>
              </w:rPr>
              <w:commentReference w:id="5"/>
            </w:r>
          </w:p>
          <w:p w14:paraId="76158763" w14:textId="77777777" w:rsidR="00E904E9" w:rsidRDefault="00D917F1">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33E8AA6E" w14:textId="77777777" w:rsidR="00E904E9" w:rsidRDefault="00D917F1">
            <w:pPr>
              <w:rPr>
                <w:ins w:id="6" w:author="NEC (Hisashi)" w:date="2021-11-11T10:16:00Z"/>
                <w:rFonts w:eastAsia="MS Mincho"/>
                <w:lang w:eastAsia="ja-JP"/>
              </w:rPr>
            </w:pPr>
            <w:r>
              <w:rPr>
                <w:rFonts w:eastAsia="MS Mincho"/>
                <w:lang w:eastAsia="ja-JP"/>
              </w:rPr>
              <w:lastRenderedPageBreak/>
              <w:t>If our thinking above is not agreeable for other companies, then the answer to the original question should be “Yes”.  But we would like to propose the way as explained above.</w:t>
            </w:r>
          </w:p>
          <w:p w14:paraId="7FDF206A" w14:textId="77777777" w:rsidR="00087532" w:rsidRDefault="00087532" w:rsidP="00087532">
            <w:pPr>
              <w:rPr>
                <w:ins w:id="7" w:author="NEC (Hisashi)" w:date="2021-11-11T10:16:00Z"/>
                <w:rFonts w:eastAsia="MS Mincho"/>
                <w:lang w:eastAsia="ja-JP"/>
              </w:rPr>
            </w:pPr>
            <w:ins w:id="8" w:author="NEC (Hisashi)" w:date="2021-11-11T10:16:00Z">
              <w:r>
                <w:rPr>
                  <w:rFonts w:eastAsia="MS Mincho"/>
                  <w:lang w:eastAsia="ja-JP"/>
                </w:rPr>
                <w:t># second input: In response to clarification from Nokia (thanks), we tend to think as follows:</w:t>
              </w:r>
            </w:ins>
          </w:p>
          <w:p w14:paraId="2DEB7646" w14:textId="77777777" w:rsidR="00087532" w:rsidRDefault="00087532" w:rsidP="00087532">
            <w:pPr>
              <w:rPr>
                <w:ins w:id="9" w:author="NEC (Hisashi)" w:date="2021-11-11T10:16:00Z"/>
                <w:rFonts w:eastAsia="MS Mincho"/>
                <w:lang w:eastAsia="ja-JP"/>
              </w:rPr>
            </w:pPr>
            <w:ins w:id="10" w:author="NEC (Hisashi)" w:date="2021-11-11T10:16:00Z">
              <w:r>
                <w:rPr>
                  <w:rFonts w:eastAsia="MS Mincho"/>
                  <w:lang w:eastAsia="ja-JP"/>
                </w:rPr>
                <w:t>It seems companies can agree that if all the suggested PSCell candidates are accepted by the T-SN, the MN is allowed to send the CPC configuration to the UE after sending the information of accepted PSCell candidates to the S-SN and without waiting for a response/message from the S-SN.</w:t>
              </w:r>
              <w:r>
                <w:rPr>
                  <w:rFonts w:eastAsia="MS Mincho" w:hint="eastAsia"/>
                  <w:lang w:eastAsia="ja-JP"/>
                </w:rPr>
                <w:t xml:space="preserve"> </w:t>
              </w:r>
            </w:ins>
          </w:p>
          <w:p w14:paraId="32F7DB66" w14:textId="656F5E67" w:rsidR="00087532" w:rsidRDefault="00087532" w:rsidP="00087532">
            <w:pPr>
              <w:rPr>
                <w:lang w:eastAsia="zh-CN"/>
              </w:rPr>
            </w:pPr>
            <w:ins w:id="11" w:author="NEC (Hisashi)" w:date="2021-11-11T10:16:00Z">
              <w:r>
                <w:rPr>
                  <w:rFonts w:eastAsia="MS Mincho"/>
                  <w:lang w:eastAsia="ja-JP"/>
                </w:rPr>
                <w:t>In our view, for this case above, there is no need for the MN to receive (pre-)confirmation from the S-SN, i.e. specification can capture this exceptional MN behaviour, e.g. in Stage-2. Also, we think this case can be independent from any other cases (even if any). In other words, regardless whether to support other cases where the S-SN may or may not give (pre-)confirmation for similar MN behaviour (i.e. allowed to send CPC configuration to UE without waiting a response/message from  S-SN)</w:t>
              </w:r>
            </w:ins>
            <w:ins w:id="12" w:author="NEC (Hisashi)" w:date="2021-11-11T10:17:00Z">
              <w:r w:rsidR="00305C01">
                <w:rPr>
                  <w:rFonts w:eastAsia="MS Mincho"/>
                  <w:lang w:eastAsia="ja-JP"/>
                </w:rPr>
                <w:t xml:space="preserve">, the MN can </w:t>
              </w:r>
            </w:ins>
            <w:ins w:id="13" w:author="NEC (Hisashi)" w:date="2021-11-11T10:19:00Z">
              <w:r w:rsidR="009A3912">
                <w:rPr>
                  <w:rFonts w:eastAsia="MS Mincho"/>
                  <w:lang w:eastAsia="ja-JP"/>
                </w:rPr>
                <w:t xml:space="preserve">simply </w:t>
              </w:r>
            </w:ins>
            <w:ins w:id="14" w:author="NEC (Hisashi)" w:date="2021-11-11T10:17:00Z">
              <w:r w:rsidR="00305C01">
                <w:rPr>
                  <w:rFonts w:eastAsia="MS Mincho"/>
                  <w:lang w:eastAsia="ja-JP"/>
                </w:rPr>
                <w:t>decide</w:t>
              </w:r>
            </w:ins>
            <w:ins w:id="15" w:author="NEC (Hisashi)" w:date="2021-11-11T10:18:00Z">
              <w:r w:rsidR="00305C01">
                <w:rPr>
                  <w:rFonts w:eastAsia="MS Mincho"/>
                  <w:lang w:eastAsia="ja-JP"/>
                </w:rPr>
                <w:t xml:space="preserve"> based on the information of accepted PSCell candidates</w:t>
              </w:r>
            </w:ins>
            <w:ins w:id="16" w:author="NEC (Hisashi)" w:date="2021-11-11T10:16:00Z">
              <w:r>
                <w:rPr>
                  <w:rFonts w:eastAsia="MS Mincho"/>
                  <w:lang w:eastAsia="ja-JP"/>
                </w:rPr>
                <w:t>.</w:t>
              </w:r>
            </w:ins>
          </w:p>
        </w:tc>
      </w:tr>
      <w:tr w:rsidR="00E904E9" w14:paraId="57E0AF5D" w14:textId="77777777">
        <w:tc>
          <w:tcPr>
            <w:tcW w:w="1980" w:type="dxa"/>
          </w:tcPr>
          <w:p w14:paraId="069DFCCD" w14:textId="77777777" w:rsidR="00E904E9" w:rsidRDefault="00D917F1">
            <w:pPr>
              <w:rPr>
                <w:rFonts w:eastAsiaTheme="minorEastAsia"/>
                <w:lang w:eastAsia="zh-CN"/>
              </w:rPr>
            </w:pPr>
            <w:r>
              <w:rPr>
                <w:rFonts w:eastAsiaTheme="minorEastAsia"/>
                <w:lang w:eastAsia="zh-CN"/>
              </w:rPr>
              <w:lastRenderedPageBreak/>
              <w:t>Futurewei</w:t>
            </w:r>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the MN determines whether to skip the second step. The decision has to be made by MN.</w:t>
            </w:r>
          </w:p>
          <w:p w14:paraId="52EC8CC1" w14:textId="77777777" w:rsidR="00E904E9" w:rsidRDefault="00D917F1">
            <w:pPr>
              <w:rPr>
                <w:lang w:eastAsia="zh-CN"/>
              </w:rPr>
            </w:pPr>
            <w:r>
              <w:rPr>
                <w:lang w:eastAsia="zh-CN"/>
              </w:rPr>
              <w:t xml:space="preserve">MN is located at the centre among S-SN, T-SN and the UE. </w:t>
            </w:r>
            <w:commentRangeStart w:id="17"/>
            <w:r>
              <w:rPr>
                <w:lang w:eastAsia="zh-CN"/>
              </w:rPr>
              <w:t xml:space="preserve">MN receives the complete information from S-SN and T-SN directly </w:t>
            </w:r>
            <w:commentRangeEnd w:id="17"/>
            <w:r w:rsidR="00FE1DE6">
              <w:rPr>
                <w:rStyle w:val="CommentReference"/>
              </w:rPr>
              <w:commentReference w:id="17"/>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have to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PSCells to the source SN in both cases, i.e. with/without the second part. Anyway the MN needs to inform the source SN before sending the CPC configuration to the UE. However, the MN can directly decide whether to wait for the response from the source SN for SN configuration update, </w:t>
            </w:r>
            <w:commentRangeStart w:id="18"/>
            <w:r>
              <w:rPr>
                <w:rFonts w:hint="eastAsia"/>
                <w:lang w:val="en-US" w:eastAsia="zh-CN"/>
              </w:rPr>
              <w:t xml:space="preserve">e.g. in case all suggested PSCell candidates have been accepted. </w:t>
            </w:r>
            <w:commentRangeEnd w:id="18"/>
            <w:r w:rsidR="00FE1DE6">
              <w:rPr>
                <w:rStyle w:val="CommentReference"/>
              </w:rPr>
              <w:commentReference w:id="18"/>
            </w:r>
            <w:r>
              <w:rPr>
                <w:rFonts w:hint="eastAsia"/>
                <w:lang w:val="en-US" w:eastAsia="zh-CN"/>
              </w:rPr>
              <w:t xml:space="preserve">If we let the source SN make the final decision, then an </w:t>
            </w:r>
            <w:commentRangeStart w:id="19"/>
            <w:r>
              <w:rPr>
                <w:rFonts w:hint="eastAsia"/>
                <w:lang w:val="en-US" w:eastAsia="zh-CN"/>
              </w:rPr>
              <w:t>additional message from the source SN to the MN is required</w:t>
            </w:r>
            <w:commentRangeEnd w:id="19"/>
            <w:r w:rsidR="00FE1DE6">
              <w:rPr>
                <w:rStyle w:val="CommentReference"/>
              </w:rPr>
              <w:commentReference w:id="19"/>
            </w:r>
            <w:r>
              <w:rPr>
                <w:rFonts w:hint="eastAsia"/>
                <w:lang w:val="en-US" w:eastAsia="zh-CN"/>
              </w:rPr>
              <w:t xml:space="preserve"> after knowing the accepted candidate PSCells, even in case that no SN update is required. Or some assistant information is needed in SN change required message, as proposed by Nokia. Both solutions will introduce </w:t>
            </w:r>
            <w:commentRangeStart w:id="20"/>
            <w:r>
              <w:rPr>
                <w:rFonts w:hint="eastAsia"/>
                <w:lang w:val="en-US" w:eastAsia="zh-CN"/>
              </w:rPr>
              <w:t>additional complexity</w:t>
            </w:r>
            <w:commentRangeEnd w:id="20"/>
            <w:r w:rsidR="00FE1DE6">
              <w:rPr>
                <w:rStyle w:val="CommentReference"/>
              </w:rPr>
              <w:commentReference w:id="20"/>
            </w:r>
            <w:r>
              <w:rPr>
                <w:rFonts w:hint="eastAsia"/>
                <w:lang w:val="en-US" w:eastAsia="zh-CN"/>
              </w:rPr>
              <w:t>.</w:t>
            </w:r>
          </w:p>
          <w:p w14:paraId="5699DC26" w14:textId="77777777" w:rsidR="00E904E9" w:rsidRDefault="00D917F1">
            <w:pPr>
              <w:rPr>
                <w:lang w:val="en-US" w:eastAsia="zh-CN"/>
              </w:rPr>
            </w:pPr>
            <w:r>
              <w:rPr>
                <w:rFonts w:hint="eastAsia"/>
                <w:lang w:val="en-US" w:eastAsia="zh-CN"/>
              </w:rPr>
              <w:t xml:space="preserve">Besides, the source SN configuration update may also include the removing of useless measId(s) related with CPC, not only the </w:t>
            </w:r>
            <w:r>
              <w:rPr>
                <w:rFonts w:hint="eastAsia"/>
                <w:lang w:val="en-US" w:eastAsia="zh-CN"/>
              </w:rPr>
              <w:lastRenderedPageBreak/>
              <w:t>measurement gap reconfiguration. So the source SN configuration update may be required in most cases except that all suggested PSCell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lastRenderedPageBreak/>
              <w:t>intel</w:t>
            </w:r>
          </w:p>
        </w:tc>
        <w:tc>
          <w:tcPr>
            <w:tcW w:w="1843" w:type="dxa"/>
          </w:tcPr>
          <w:p w14:paraId="0C059695" w14:textId="1FDCC4B0" w:rsidR="00E904E9" w:rsidRDefault="00447C16">
            <w:pPr>
              <w:rPr>
                <w:lang w:eastAsia="zh-CN"/>
              </w:rPr>
            </w:pPr>
            <w:commentRangeStart w:id="21"/>
            <w:r>
              <w:rPr>
                <w:lang w:eastAsia="zh-CN"/>
              </w:rPr>
              <w:t>No</w:t>
            </w:r>
            <w:commentRangeEnd w:id="21"/>
            <w:r w:rsidR="00FE1DE6">
              <w:rPr>
                <w:rStyle w:val="CommentReference"/>
              </w:rPr>
              <w:commentReference w:id="21"/>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ask RAN3 about its feasibility, e.g.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PSCells, source SN can </w:t>
            </w:r>
            <w:r w:rsidR="00AA183B">
              <w:rPr>
                <w:lang w:eastAsia="zh-CN"/>
              </w:rPr>
              <w:t xml:space="preserve">do so by triggering another </w:t>
            </w:r>
            <w:r w:rsidR="00993381">
              <w:rPr>
                <w:lang w:eastAsia="zh-CN"/>
              </w:rPr>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e.g.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upon receiving the SN Add Req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PSCells information from a target SN and based on the candidate PSCells information from the source SN, MN can make the decision whether to skip the second part, e.g., when all candidate PSCells are accepted. It saves some delay and signaling in configuring the UE with CPC.   </w:t>
            </w:r>
          </w:p>
        </w:tc>
      </w:tr>
      <w:tr w:rsidR="000411BD" w14:paraId="5FFE6299" w14:textId="77777777">
        <w:tc>
          <w:tcPr>
            <w:tcW w:w="1980" w:type="dxa"/>
          </w:tcPr>
          <w:p w14:paraId="6284A171" w14:textId="1B9926B1" w:rsidR="000411BD" w:rsidRDefault="000411BD" w:rsidP="000411BD">
            <w:pPr>
              <w:rPr>
                <w:lang w:val="en-US" w:eastAsia="zh-CN"/>
              </w:rPr>
            </w:pPr>
            <w:r w:rsidRPr="00CF70EB">
              <w:rPr>
                <w:rFonts w:hint="eastAsia"/>
                <w:lang w:val="en-US" w:eastAsia="zh-CN"/>
              </w:rPr>
              <w:t>LG</w:t>
            </w:r>
          </w:p>
        </w:tc>
        <w:tc>
          <w:tcPr>
            <w:tcW w:w="1843" w:type="dxa"/>
          </w:tcPr>
          <w:p w14:paraId="1532510F" w14:textId="5D6E1C28" w:rsidR="000411BD" w:rsidRDefault="000411BD" w:rsidP="000411BD">
            <w:pPr>
              <w:rPr>
                <w:lang w:val="en-US" w:eastAsia="zh-CN"/>
              </w:rPr>
            </w:pPr>
            <w:r>
              <w:rPr>
                <w:rFonts w:eastAsia="Malgun Gothic" w:hint="eastAsia"/>
                <w:lang w:val="en-US" w:eastAsia="ko-KR"/>
              </w:rPr>
              <w:t>No</w:t>
            </w:r>
          </w:p>
        </w:tc>
        <w:tc>
          <w:tcPr>
            <w:tcW w:w="5808" w:type="dxa"/>
          </w:tcPr>
          <w:p w14:paraId="465C5A3B" w14:textId="643B0BC9" w:rsidR="000411BD" w:rsidRDefault="000411BD" w:rsidP="000411BD">
            <w:pPr>
              <w:rPr>
                <w:lang w:val="en-US" w:eastAsia="zh-CN"/>
              </w:rPr>
            </w:pPr>
            <w:r>
              <w:rPr>
                <w:rFonts w:eastAsia="Malgun Gothic" w:hint="eastAsia"/>
                <w:lang w:val="en-US" w:eastAsia="ko-KR"/>
              </w:rPr>
              <w:t xml:space="preserve">In our understanding, the second part </w:t>
            </w:r>
            <w:r>
              <w:rPr>
                <w:rFonts w:eastAsia="Malgun Gothic"/>
                <w:lang w:val="en-US" w:eastAsia="ko-KR"/>
              </w:rPr>
              <w:t>includes i) SN change confirm (MN</w:t>
            </w:r>
            <w:r w:rsidRPr="0077280F">
              <w:rPr>
                <w:rFonts w:eastAsia="Malgun Gothic"/>
                <w:lang w:val="en-US" w:eastAsia="ko-KR"/>
              </w:rPr>
              <w:sym w:font="Wingdings" w:char="F0E0"/>
            </w:r>
            <w:r>
              <w:rPr>
                <w:rFonts w:eastAsia="Malgun Gothic"/>
                <w:lang w:val="en-US" w:eastAsia="ko-KR"/>
              </w:rPr>
              <w:t>S-SN) and ii) SN modification required (S-SN</w:t>
            </w:r>
            <w:r w:rsidRPr="0077280F">
              <w:rPr>
                <w:rFonts w:eastAsia="Malgun Gothic"/>
                <w:lang w:val="en-US" w:eastAsia="ko-KR"/>
              </w:rPr>
              <w:sym w:font="Wingdings" w:char="F0E0"/>
            </w:r>
            <w:r>
              <w:rPr>
                <w:rFonts w:eastAsia="Malgun Gothic"/>
                <w:lang w:val="en-US" w:eastAsia="ko-KR"/>
              </w:rPr>
              <w:t xml:space="preserve">MN). If S-SN decides whether to skip the second part, the signalling i) always happens because S-SN needs information to make a decision, which implies S-SN based decision incurs undesirable signalling from MN to S-SN when the second part is not needed, i.e., </w:t>
            </w:r>
            <w:r w:rsidRPr="0077280F">
              <w:rPr>
                <w:rFonts w:eastAsia="Malgun Gothic"/>
                <w:lang w:val="en-US" w:eastAsia="ko-KR"/>
              </w:rPr>
              <w:t>all suggested PSCell candidates have been accepted</w:t>
            </w:r>
            <w:r>
              <w:rPr>
                <w:rFonts w:eastAsia="Malgun Gothic"/>
                <w:lang w:val="en-US" w:eastAsia="ko-KR"/>
              </w:rPr>
              <w:t xml:space="preserve">. </w:t>
            </w:r>
            <w:r w:rsidRPr="002955AE">
              <w:rPr>
                <w:rFonts w:eastAsia="Malgun Gothic"/>
                <w:lang w:val="en-US" w:eastAsia="ko-KR"/>
              </w:rPr>
              <w:t xml:space="preserve">We do not think that all decisions should be made by SN in </w:t>
            </w:r>
            <w:r>
              <w:rPr>
                <w:rFonts w:eastAsia="Malgun Gothic"/>
                <w:lang w:val="en-US" w:eastAsia="ko-KR"/>
              </w:rPr>
              <w:t>t</w:t>
            </w:r>
            <w:r w:rsidRPr="002955AE">
              <w:rPr>
                <w:rFonts w:eastAsia="Malgun Gothic"/>
                <w:lang w:val="en-US" w:eastAsia="ko-KR"/>
              </w:rPr>
              <w:t xml:space="preserve">he SN-initiated scenario. </w:t>
            </w:r>
            <w:r>
              <w:rPr>
                <w:rFonts w:eastAsia="Malgun Gothic"/>
                <w:lang w:val="en-US" w:eastAsia="ko-KR"/>
              </w:rPr>
              <w:t xml:space="preserve">Since the second part is initiated by MN and MN has all the information to decide </w:t>
            </w:r>
            <w:r>
              <w:rPr>
                <w:rFonts w:eastAsia="Malgun Gothic"/>
                <w:lang w:val="en-US" w:eastAsia="ko-KR"/>
              </w:rPr>
              <w:lastRenderedPageBreak/>
              <w:t>whether to skip the second part or not, it is desirable for MN to make a decision.</w:t>
            </w:r>
          </w:p>
        </w:tc>
      </w:tr>
      <w:tr w:rsidR="00A20C87" w14:paraId="390CF287" w14:textId="77777777">
        <w:tc>
          <w:tcPr>
            <w:tcW w:w="1980" w:type="dxa"/>
          </w:tcPr>
          <w:p w14:paraId="3D196744" w14:textId="440ED7A3" w:rsidR="00A20C87" w:rsidRDefault="00A20C87" w:rsidP="00A20C87">
            <w:pPr>
              <w:rPr>
                <w:lang w:eastAsia="zh-CN"/>
              </w:rPr>
            </w:pPr>
            <w:r>
              <w:rPr>
                <w:lang w:eastAsia="zh-CN"/>
              </w:rPr>
              <w:lastRenderedPageBreak/>
              <w:t>ITRI</w:t>
            </w:r>
          </w:p>
        </w:tc>
        <w:tc>
          <w:tcPr>
            <w:tcW w:w="1843" w:type="dxa"/>
          </w:tcPr>
          <w:p w14:paraId="129B73D2" w14:textId="087353D2" w:rsidR="00A20C87" w:rsidRDefault="00A20C87" w:rsidP="00A20C87">
            <w:pPr>
              <w:rPr>
                <w:lang w:eastAsia="zh-CN"/>
              </w:rPr>
            </w:pPr>
            <w:r>
              <w:rPr>
                <w:rFonts w:eastAsia="PMingLiU"/>
                <w:lang w:eastAsia="zh-TW"/>
              </w:rPr>
              <w:t xml:space="preserve">No </w:t>
            </w:r>
          </w:p>
        </w:tc>
        <w:tc>
          <w:tcPr>
            <w:tcW w:w="5808" w:type="dxa"/>
          </w:tcPr>
          <w:p w14:paraId="70B70A24" w14:textId="7EA25E43" w:rsidR="00A20C87" w:rsidRPr="00A20C87" w:rsidRDefault="00A20C87" w:rsidP="00A20C87">
            <w:pPr>
              <w:rPr>
                <w:rFonts w:eastAsia="MS Mincho"/>
                <w:lang w:eastAsia="ja-JP"/>
              </w:rPr>
            </w:pPr>
            <w:r>
              <w:rPr>
                <w:rFonts w:eastAsia="PMingLiU"/>
                <w:lang w:eastAsia="zh-TW"/>
              </w:rPr>
              <w:t xml:space="preserve">We think </w:t>
            </w:r>
            <w:r w:rsidRPr="007C63EF">
              <w:rPr>
                <w:rFonts w:eastAsia="PMingLiU"/>
                <w:lang w:eastAsia="zh-TW"/>
              </w:rPr>
              <w:t xml:space="preserve">MN should be the node that decides </w:t>
            </w:r>
            <w:r w:rsidRPr="007C63EF">
              <w:t>whether to skip the second part</w:t>
            </w:r>
            <w:r w:rsidRPr="00845A99">
              <w:rPr>
                <w:rFonts w:eastAsia="PMingLiU"/>
                <w:lang w:eastAsia="zh-TW"/>
              </w:rPr>
              <w:t xml:space="preserve"> and the skip means that MN does not need to wait for S-SN’s response before CPC configuration.</w:t>
            </w:r>
            <w:r>
              <w:rPr>
                <w:rFonts w:eastAsia="MS Mincho"/>
                <w:lang w:eastAsia="ja-JP"/>
              </w:rPr>
              <w:t xml:space="preserve"> </w:t>
            </w:r>
            <w:r>
              <w:rPr>
                <w:rFonts w:eastAsia="PMingLiU"/>
                <w:lang w:eastAsia="zh-TW"/>
              </w:rPr>
              <w:t xml:space="preserve">The decision should be based on which candidate cells are accepted by T-SN. MN, in the current procedure, </w:t>
            </w:r>
            <w:r>
              <w:rPr>
                <w:rFonts w:eastAsia="MS Mincho"/>
                <w:lang w:eastAsia="ja-JP"/>
              </w:rPr>
              <w:t>plays the role of gathering suggested candidate cells from S-SN and accepted candidate cells from T-SN and thus has sufficient</w:t>
            </w:r>
            <w:r>
              <w:rPr>
                <w:lang w:eastAsia="zh-CN"/>
              </w:rPr>
              <w:t xml:space="preserve"> information to make the decision.</w:t>
            </w:r>
          </w:p>
        </w:tc>
      </w:tr>
      <w:tr w:rsidR="000411BD" w14:paraId="1974CFAD" w14:textId="77777777">
        <w:tc>
          <w:tcPr>
            <w:tcW w:w="1980" w:type="dxa"/>
          </w:tcPr>
          <w:p w14:paraId="40C0EACD" w14:textId="6B9BC1E9" w:rsidR="000411BD" w:rsidRDefault="00454185" w:rsidP="000411BD">
            <w:pPr>
              <w:rPr>
                <w:lang w:val="en-US" w:eastAsia="zh-CN"/>
              </w:rPr>
            </w:pPr>
            <w:r>
              <w:rPr>
                <w:lang w:val="en-US" w:eastAsia="zh-CN"/>
              </w:rPr>
              <w:t>Ericsson</w:t>
            </w:r>
          </w:p>
        </w:tc>
        <w:tc>
          <w:tcPr>
            <w:tcW w:w="1843" w:type="dxa"/>
          </w:tcPr>
          <w:p w14:paraId="43FC986F" w14:textId="77777777" w:rsidR="000411BD" w:rsidRDefault="000411BD" w:rsidP="000411BD">
            <w:pPr>
              <w:rPr>
                <w:lang w:val="en-US" w:eastAsia="zh-CN"/>
              </w:rPr>
            </w:pPr>
          </w:p>
        </w:tc>
        <w:tc>
          <w:tcPr>
            <w:tcW w:w="5808" w:type="dxa"/>
          </w:tcPr>
          <w:p w14:paraId="4C70AB9F" w14:textId="20998663" w:rsidR="000411BD" w:rsidRDefault="00454185" w:rsidP="000411BD">
            <w:pPr>
              <w:rPr>
                <w:lang w:val="en-US" w:eastAsia="zh-CN"/>
              </w:rPr>
            </w:pPr>
            <w:r>
              <w:rPr>
                <w:lang w:val="en-US" w:eastAsia="zh-CN"/>
              </w:rPr>
              <w:t>The configuration with all target cells accepted must be fine by the S-SN, as it was the S-SN that prepared it.</w:t>
            </w:r>
            <w:bookmarkStart w:id="22" w:name="_GoBack"/>
            <w:bookmarkEnd w:id="22"/>
          </w:p>
        </w:tc>
      </w:tr>
      <w:tr w:rsidR="000411BD" w14:paraId="4703CC8E" w14:textId="77777777">
        <w:tc>
          <w:tcPr>
            <w:tcW w:w="1980" w:type="dxa"/>
          </w:tcPr>
          <w:p w14:paraId="314FDC51" w14:textId="77777777" w:rsidR="000411BD" w:rsidRDefault="000411BD" w:rsidP="000411BD">
            <w:pPr>
              <w:rPr>
                <w:lang w:eastAsia="zh-CN"/>
              </w:rPr>
            </w:pPr>
          </w:p>
        </w:tc>
        <w:tc>
          <w:tcPr>
            <w:tcW w:w="1843" w:type="dxa"/>
          </w:tcPr>
          <w:p w14:paraId="5FC3D94E" w14:textId="77777777" w:rsidR="000411BD" w:rsidRDefault="000411BD" w:rsidP="000411BD">
            <w:pPr>
              <w:rPr>
                <w:lang w:eastAsia="zh-CN"/>
              </w:rPr>
            </w:pPr>
          </w:p>
        </w:tc>
        <w:tc>
          <w:tcPr>
            <w:tcW w:w="5808" w:type="dxa"/>
          </w:tcPr>
          <w:p w14:paraId="777462EB" w14:textId="77777777" w:rsidR="000411BD" w:rsidRDefault="000411BD" w:rsidP="000411BD">
            <w:pPr>
              <w:rPr>
                <w:lang w:eastAsia="zh-CN"/>
              </w:rPr>
            </w:pPr>
          </w:p>
        </w:tc>
      </w:tr>
      <w:tr w:rsidR="000411BD" w14:paraId="2B91EEBB" w14:textId="77777777">
        <w:tc>
          <w:tcPr>
            <w:tcW w:w="1980" w:type="dxa"/>
          </w:tcPr>
          <w:p w14:paraId="77CB2EBC" w14:textId="77777777" w:rsidR="000411BD" w:rsidRDefault="000411BD" w:rsidP="000411BD">
            <w:pPr>
              <w:rPr>
                <w:lang w:eastAsia="zh-CN"/>
              </w:rPr>
            </w:pPr>
          </w:p>
        </w:tc>
        <w:tc>
          <w:tcPr>
            <w:tcW w:w="1843" w:type="dxa"/>
          </w:tcPr>
          <w:p w14:paraId="48CCE99E" w14:textId="77777777" w:rsidR="000411BD" w:rsidRDefault="000411BD" w:rsidP="000411BD">
            <w:pPr>
              <w:rPr>
                <w:lang w:eastAsia="zh-CN"/>
              </w:rPr>
            </w:pPr>
          </w:p>
        </w:tc>
        <w:tc>
          <w:tcPr>
            <w:tcW w:w="5808" w:type="dxa"/>
          </w:tcPr>
          <w:p w14:paraId="782B2E08" w14:textId="77777777" w:rsidR="000411BD" w:rsidRDefault="000411BD" w:rsidP="000411BD">
            <w:pPr>
              <w:rPr>
                <w:lang w:eastAsia="zh-CN"/>
              </w:rPr>
            </w:pPr>
          </w:p>
        </w:tc>
      </w:tr>
      <w:tr w:rsidR="000411BD" w14:paraId="30759BA4" w14:textId="77777777">
        <w:tc>
          <w:tcPr>
            <w:tcW w:w="1980" w:type="dxa"/>
          </w:tcPr>
          <w:p w14:paraId="18803F4C" w14:textId="77777777" w:rsidR="000411BD" w:rsidRDefault="000411BD" w:rsidP="000411BD">
            <w:pPr>
              <w:rPr>
                <w:lang w:eastAsia="zh-CN"/>
              </w:rPr>
            </w:pPr>
          </w:p>
        </w:tc>
        <w:tc>
          <w:tcPr>
            <w:tcW w:w="1843" w:type="dxa"/>
          </w:tcPr>
          <w:p w14:paraId="0B090567" w14:textId="77777777" w:rsidR="000411BD" w:rsidRDefault="000411BD" w:rsidP="000411BD">
            <w:pPr>
              <w:rPr>
                <w:lang w:eastAsia="zh-CN"/>
              </w:rPr>
            </w:pPr>
          </w:p>
        </w:tc>
        <w:tc>
          <w:tcPr>
            <w:tcW w:w="5808" w:type="dxa"/>
          </w:tcPr>
          <w:p w14:paraId="7420FC22" w14:textId="77777777" w:rsidR="000411BD" w:rsidRDefault="000411BD" w:rsidP="000411BD">
            <w:pPr>
              <w:rPr>
                <w:lang w:eastAsia="zh-CN"/>
              </w:rPr>
            </w:pPr>
          </w:p>
        </w:tc>
      </w:tr>
      <w:tr w:rsidR="000411BD" w14:paraId="1990ABB8" w14:textId="77777777">
        <w:tc>
          <w:tcPr>
            <w:tcW w:w="1980" w:type="dxa"/>
          </w:tcPr>
          <w:p w14:paraId="2AE09CA6" w14:textId="77777777" w:rsidR="000411BD" w:rsidRDefault="000411BD" w:rsidP="000411BD">
            <w:pPr>
              <w:rPr>
                <w:lang w:eastAsia="zh-CN"/>
              </w:rPr>
            </w:pPr>
          </w:p>
        </w:tc>
        <w:tc>
          <w:tcPr>
            <w:tcW w:w="1843" w:type="dxa"/>
          </w:tcPr>
          <w:p w14:paraId="05E65D62" w14:textId="77777777" w:rsidR="000411BD" w:rsidRDefault="000411BD" w:rsidP="000411BD">
            <w:pPr>
              <w:rPr>
                <w:lang w:eastAsia="zh-CN"/>
              </w:rPr>
            </w:pPr>
          </w:p>
        </w:tc>
        <w:tc>
          <w:tcPr>
            <w:tcW w:w="5808" w:type="dxa"/>
          </w:tcPr>
          <w:p w14:paraId="71991A3E" w14:textId="77777777" w:rsidR="000411BD" w:rsidRDefault="000411BD" w:rsidP="000411BD">
            <w:pPr>
              <w:rPr>
                <w:lang w:eastAsia="zh-CN"/>
              </w:rPr>
            </w:pPr>
          </w:p>
        </w:tc>
      </w:tr>
      <w:tr w:rsidR="000411BD" w14:paraId="3F0E3FDD" w14:textId="77777777">
        <w:tc>
          <w:tcPr>
            <w:tcW w:w="1980" w:type="dxa"/>
          </w:tcPr>
          <w:p w14:paraId="5E187A99" w14:textId="77777777" w:rsidR="000411BD" w:rsidRDefault="000411BD" w:rsidP="000411BD">
            <w:pPr>
              <w:rPr>
                <w:lang w:eastAsia="zh-CN"/>
              </w:rPr>
            </w:pPr>
          </w:p>
        </w:tc>
        <w:tc>
          <w:tcPr>
            <w:tcW w:w="1843" w:type="dxa"/>
          </w:tcPr>
          <w:p w14:paraId="6C2427BB" w14:textId="77777777" w:rsidR="000411BD" w:rsidRDefault="000411BD" w:rsidP="000411BD">
            <w:pPr>
              <w:rPr>
                <w:lang w:eastAsia="zh-CN"/>
              </w:rPr>
            </w:pPr>
          </w:p>
        </w:tc>
        <w:tc>
          <w:tcPr>
            <w:tcW w:w="5808" w:type="dxa"/>
          </w:tcPr>
          <w:p w14:paraId="42151D35" w14:textId="77777777" w:rsidR="000411BD" w:rsidRDefault="000411BD" w:rsidP="000411BD">
            <w:pPr>
              <w:rPr>
                <w:lang w:eastAsia="zh-CN"/>
              </w:rPr>
            </w:pPr>
          </w:p>
        </w:tc>
      </w:tr>
      <w:tr w:rsidR="000411BD" w14:paraId="303978AA" w14:textId="77777777">
        <w:tc>
          <w:tcPr>
            <w:tcW w:w="1980" w:type="dxa"/>
          </w:tcPr>
          <w:p w14:paraId="20B4D150" w14:textId="77777777" w:rsidR="000411BD" w:rsidRDefault="000411BD" w:rsidP="000411BD">
            <w:pPr>
              <w:rPr>
                <w:lang w:eastAsia="zh-CN"/>
              </w:rPr>
            </w:pPr>
          </w:p>
        </w:tc>
        <w:tc>
          <w:tcPr>
            <w:tcW w:w="1843" w:type="dxa"/>
          </w:tcPr>
          <w:p w14:paraId="53CE9D3D" w14:textId="77777777" w:rsidR="000411BD" w:rsidRDefault="000411BD" w:rsidP="000411BD">
            <w:pPr>
              <w:rPr>
                <w:lang w:eastAsia="zh-CN"/>
              </w:rPr>
            </w:pPr>
          </w:p>
        </w:tc>
        <w:tc>
          <w:tcPr>
            <w:tcW w:w="5808" w:type="dxa"/>
          </w:tcPr>
          <w:p w14:paraId="38730953" w14:textId="77777777" w:rsidR="000411BD" w:rsidRDefault="000411BD" w:rsidP="000411BD">
            <w:pPr>
              <w:rPr>
                <w:lang w:eastAsia="zh-CN"/>
              </w:rPr>
            </w:pPr>
          </w:p>
        </w:tc>
      </w:tr>
      <w:tr w:rsidR="000411BD" w14:paraId="1F5F8A42" w14:textId="77777777">
        <w:tc>
          <w:tcPr>
            <w:tcW w:w="1980" w:type="dxa"/>
          </w:tcPr>
          <w:p w14:paraId="27D6DE7C" w14:textId="77777777" w:rsidR="000411BD" w:rsidRDefault="000411BD" w:rsidP="000411BD">
            <w:pPr>
              <w:rPr>
                <w:rFonts w:eastAsia="Malgun Gothic"/>
                <w:lang w:eastAsia="ko-KR"/>
              </w:rPr>
            </w:pPr>
          </w:p>
        </w:tc>
        <w:tc>
          <w:tcPr>
            <w:tcW w:w="1843" w:type="dxa"/>
          </w:tcPr>
          <w:p w14:paraId="792214E2" w14:textId="77777777" w:rsidR="000411BD" w:rsidRDefault="000411BD" w:rsidP="000411BD">
            <w:pPr>
              <w:rPr>
                <w:rFonts w:eastAsia="Malgun Gothic"/>
                <w:lang w:eastAsia="ko-KR"/>
              </w:rPr>
            </w:pPr>
          </w:p>
        </w:tc>
        <w:tc>
          <w:tcPr>
            <w:tcW w:w="5808" w:type="dxa"/>
          </w:tcPr>
          <w:p w14:paraId="2B881A23" w14:textId="77777777" w:rsidR="000411BD" w:rsidRDefault="000411BD" w:rsidP="000411BD">
            <w:pPr>
              <w:rPr>
                <w:rFonts w:eastAsia="Malgun Gothic"/>
                <w:lang w:eastAsia="ko-KR"/>
              </w:rPr>
            </w:pPr>
          </w:p>
        </w:tc>
      </w:tr>
      <w:tr w:rsidR="000411BD" w14:paraId="7C503126" w14:textId="77777777">
        <w:trPr>
          <w:trHeight w:val="75"/>
        </w:trPr>
        <w:tc>
          <w:tcPr>
            <w:tcW w:w="1980" w:type="dxa"/>
          </w:tcPr>
          <w:p w14:paraId="2F47BBC7" w14:textId="77777777" w:rsidR="000411BD" w:rsidRDefault="000411BD" w:rsidP="000411BD">
            <w:pPr>
              <w:rPr>
                <w:lang w:eastAsia="zh-CN"/>
              </w:rPr>
            </w:pPr>
          </w:p>
        </w:tc>
        <w:tc>
          <w:tcPr>
            <w:tcW w:w="1843" w:type="dxa"/>
          </w:tcPr>
          <w:p w14:paraId="6DFB84CD" w14:textId="77777777" w:rsidR="000411BD" w:rsidRDefault="000411BD" w:rsidP="000411BD">
            <w:pPr>
              <w:rPr>
                <w:rFonts w:eastAsia="Malgun Gothic"/>
                <w:lang w:eastAsia="ko-KR"/>
              </w:rPr>
            </w:pPr>
          </w:p>
        </w:tc>
        <w:tc>
          <w:tcPr>
            <w:tcW w:w="5808" w:type="dxa"/>
          </w:tcPr>
          <w:p w14:paraId="65229F90" w14:textId="77777777" w:rsidR="000411BD" w:rsidRDefault="000411BD" w:rsidP="000411BD">
            <w:pPr>
              <w:rPr>
                <w:lang w:eastAsia="zh-CN"/>
              </w:rPr>
            </w:pPr>
          </w:p>
        </w:tc>
      </w:tr>
      <w:tr w:rsidR="000411BD" w14:paraId="1E7FF452" w14:textId="77777777">
        <w:trPr>
          <w:trHeight w:val="75"/>
        </w:trPr>
        <w:tc>
          <w:tcPr>
            <w:tcW w:w="1980" w:type="dxa"/>
          </w:tcPr>
          <w:p w14:paraId="2B7A76D7" w14:textId="77777777" w:rsidR="000411BD" w:rsidRDefault="000411BD" w:rsidP="000411BD">
            <w:pPr>
              <w:rPr>
                <w:lang w:eastAsia="zh-CN"/>
              </w:rPr>
            </w:pPr>
          </w:p>
        </w:tc>
        <w:tc>
          <w:tcPr>
            <w:tcW w:w="1843" w:type="dxa"/>
          </w:tcPr>
          <w:p w14:paraId="142DEFA6" w14:textId="77777777" w:rsidR="000411BD" w:rsidRDefault="000411BD" w:rsidP="000411BD">
            <w:pPr>
              <w:rPr>
                <w:rFonts w:eastAsia="Malgun Gothic"/>
                <w:lang w:eastAsia="ko-KR"/>
              </w:rPr>
            </w:pPr>
          </w:p>
        </w:tc>
        <w:tc>
          <w:tcPr>
            <w:tcW w:w="5808" w:type="dxa"/>
          </w:tcPr>
          <w:p w14:paraId="414F691A" w14:textId="77777777" w:rsidR="000411BD" w:rsidRDefault="000411BD" w:rsidP="000411BD">
            <w:pPr>
              <w:rPr>
                <w:lang w:eastAsia="zh-CN"/>
              </w:rPr>
            </w:pPr>
          </w:p>
        </w:tc>
      </w:tr>
      <w:tr w:rsidR="000411BD" w14:paraId="0BAB1644" w14:textId="77777777">
        <w:trPr>
          <w:trHeight w:val="75"/>
        </w:trPr>
        <w:tc>
          <w:tcPr>
            <w:tcW w:w="1980" w:type="dxa"/>
          </w:tcPr>
          <w:p w14:paraId="2DCCBA84" w14:textId="77777777" w:rsidR="000411BD" w:rsidRDefault="000411BD" w:rsidP="000411BD">
            <w:pPr>
              <w:rPr>
                <w:lang w:eastAsia="zh-CN"/>
              </w:rPr>
            </w:pPr>
          </w:p>
        </w:tc>
        <w:tc>
          <w:tcPr>
            <w:tcW w:w="1843" w:type="dxa"/>
          </w:tcPr>
          <w:p w14:paraId="221C33CB" w14:textId="77777777" w:rsidR="000411BD" w:rsidRDefault="000411BD" w:rsidP="000411BD">
            <w:pPr>
              <w:rPr>
                <w:rFonts w:eastAsia="Malgun Gothic"/>
                <w:lang w:eastAsia="ko-KR"/>
              </w:rPr>
            </w:pPr>
          </w:p>
        </w:tc>
        <w:tc>
          <w:tcPr>
            <w:tcW w:w="5808" w:type="dxa"/>
          </w:tcPr>
          <w:p w14:paraId="2EFBC46B" w14:textId="77777777" w:rsidR="000411BD" w:rsidRDefault="000411BD" w:rsidP="000411BD">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it can be defined explicitly in the specification the MN skips that part when all candidate PSCells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(i.e. informing the S-SN about the acknowledged PSCells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MN skips that part when all candidate PSCells are acknowledged by T-SN. This is a part of procedural text</w:t>
            </w:r>
          </w:p>
          <w:p w14:paraId="444CF58F" w14:textId="77777777" w:rsidR="000071D1" w:rsidRPr="000071D1" w:rsidRDefault="00D917F1" w:rsidP="000071D1">
            <w:pPr>
              <w:pStyle w:val="ListParagraph"/>
              <w:numPr>
                <w:ilvl w:val="0"/>
                <w:numId w:val="6"/>
              </w:numPr>
              <w:rPr>
                <w:ins w:id="23" w:author="Lenovo" w:date="2021-11-10T20:59:00Z"/>
                <w:b/>
                <w:rPrChange w:id="24" w:author="Lenovo" w:date="2021-11-10T20:59:00Z">
                  <w:rPr>
                    <w:ins w:id="25" w:author="Lenovo" w:date="2021-11-10T20:59:00Z"/>
                    <w:rFonts w:ascii="Times New Roman" w:hAnsi="Times New Roman"/>
                    <w:b/>
                    <w:sz w:val="20"/>
                    <w:szCs w:val="20"/>
                  </w:rPr>
                </w:rPrChange>
              </w:rPr>
            </w:pPr>
            <w:del w:id="26" w:author="Huawei, HiSilicon" w:date="2021-11-09T16:22:00Z">
              <w:r>
                <w:rPr>
                  <w:rFonts w:ascii="Times New Roman" w:hAnsi="Times New Roman"/>
                  <w:b/>
                  <w:sz w:val="20"/>
                  <w:szCs w:val="20"/>
                </w:rPr>
                <w:delText>Other</w:delText>
              </w:r>
            </w:del>
            <w:ins w:id="27" w:author="Huawei, HiSilicon" w:date="2021-11-09T16:22:00Z">
              <w:r>
                <w:rPr>
                  <w:rFonts w:ascii="Times New Roman" w:hAnsi="Times New Roman"/>
                  <w:b/>
                  <w:sz w:val="20"/>
                  <w:szCs w:val="20"/>
                </w:rPr>
                <w:t>MN skips that part when a candidate PSCell is rejected while there is no other candidate PSCell accepted on the same carrier.</w:t>
              </w:r>
            </w:ins>
            <w:ins w:id="28"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ListParagraph"/>
              <w:numPr>
                <w:ilvl w:val="0"/>
                <w:numId w:val="6"/>
              </w:numPr>
              <w:rPr>
                <w:b/>
              </w:rPr>
            </w:pPr>
            <w:ins w:id="29" w:author="Lenovo" w:date="2021-11-10T21:30:00Z">
              <w:r>
                <w:rPr>
                  <w:rFonts w:ascii="Times New Roman" w:hAnsi="Times New Roman"/>
                  <w:b/>
                  <w:sz w:val="20"/>
                  <w:szCs w:val="20"/>
                </w:rPr>
                <w:t>By implementation, M</w:t>
              </w:r>
            </w:ins>
            <w:ins w:id="30"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use solution 1 or solution 2 when informing SN about the prepared PSCells</w:t>
              </w:r>
            </w:ins>
            <w:ins w:id="31"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lastRenderedPageBreak/>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Huawei, HiSilicon</w:t>
            </w:r>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r>
              <w:rPr>
                <w:rFonts w:eastAsiaTheme="minorEastAsia"/>
                <w:lang w:eastAsia="zh-CN"/>
              </w:rPr>
              <w:t>Futurewei</w:t>
            </w:r>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b)-ish</w:t>
            </w:r>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This is simple and straightforward. It is better to not have more complex (maybe optimized) behavior.</w:t>
            </w:r>
          </w:p>
        </w:tc>
      </w:tr>
      <w:tr w:rsidR="000411BD" w14:paraId="47B39BB9" w14:textId="77777777">
        <w:tc>
          <w:tcPr>
            <w:tcW w:w="1980" w:type="dxa"/>
          </w:tcPr>
          <w:p w14:paraId="2E6A1C76" w14:textId="7E1914B1" w:rsidR="000411BD" w:rsidRDefault="000411BD" w:rsidP="000411BD">
            <w:pPr>
              <w:rPr>
                <w:lang w:eastAsia="zh-CN"/>
              </w:rPr>
            </w:pPr>
            <w:r>
              <w:rPr>
                <w:rFonts w:eastAsia="Malgun Gothic" w:hint="eastAsia"/>
                <w:lang w:eastAsia="ko-KR"/>
              </w:rPr>
              <w:t>LG</w:t>
            </w:r>
          </w:p>
        </w:tc>
        <w:tc>
          <w:tcPr>
            <w:tcW w:w="1843" w:type="dxa"/>
          </w:tcPr>
          <w:p w14:paraId="37D296BC" w14:textId="233BB886" w:rsidR="000411BD" w:rsidRDefault="000411BD" w:rsidP="000411BD">
            <w:pPr>
              <w:rPr>
                <w:lang w:eastAsia="zh-CN"/>
              </w:rPr>
            </w:pPr>
            <w:r>
              <w:rPr>
                <w:rFonts w:eastAsia="Malgun Gothic" w:hint="eastAsia"/>
                <w:lang w:eastAsia="ko-KR"/>
              </w:rPr>
              <w:t>b)</w:t>
            </w:r>
          </w:p>
        </w:tc>
        <w:tc>
          <w:tcPr>
            <w:tcW w:w="5808" w:type="dxa"/>
          </w:tcPr>
          <w:p w14:paraId="24ED8928" w14:textId="4522A7A6" w:rsidR="000411BD" w:rsidRDefault="000411BD" w:rsidP="000411BD">
            <w:pPr>
              <w:rPr>
                <w:lang w:eastAsia="zh-CN"/>
              </w:rPr>
            </w:pPr>
            <w:r>
              <w:rPr>
                <w:rFonts w:eastAsia="Malgun Gothic"/>
                <w:lang w:eastAsia="ko-KR"/>
              </w:rPr>
              <w:t xml:space="preserve">We think </w:t>
            </w:r>
            <w:r>
              <w:rPr>
                <w:rFonts w:eastAsia="Malgun Gothic"/>
                <w:lang w:val="en-US" w:eastAsia="ko-KR"/>
              </w:rPr>
              <w:t xml:space="preserve">it is desirable for MN to make a decision. </w:t>
            </w:r>
            <w:r>
              <w:rPr>
                <w:rFonts w:eastAsia="Malgun Gothic" w:hint="eastAsia"/>
                <w:lang w:eastAsia="ko-KR"/>
              </w:rPr>
              <w:t xml:space="preserve">See comment </w:t>
            </w:r>
            <w:r>
              <w:rPr>
                <w:rFonts w:eastAsia="Malgun Gothic"/>
                <w:lang w:eastAsia="ko-KR"/>
              </w:rPr>
              <w:t>in Q1.</w:t>
            </w:r>
          </w:p>
        </w:tc>
      </w:tr>
      <w:tr w:rsidR="00E167C6" w14:paraId="6B1D54BA" w14:textId="77777777" w:rsidTr="00357D72">
        <w:tc>
          <w:tcPr>
            <w:tcW w:w="1980" w:type="dxa"/>
          </w:tcPr>
          <w:p w14:paraId="3E71D652" w14:textId="77777777" w:rsidR="00E167C6" w:rsidRPr="00D836BD" w:rsidRDefault="00E167C6" w:rsidP="00357D72">
            <w:pPr>
              <w:rPr>
                <w:rFonts w:eastAsia="PMingLiU"/>
                <w:lang w:eastAsia="zh-TW"/>
              </w:rPr>
            </w:pPr>
            <w:r>
              <w:rPr>
                <w:rFonts w:eastAsia="PMingLiU" w:hint="eastAsia"/>
                <w:lang w:eastAsia="zh-TW"/>
              </w:rPr>
              <w:t>I</w:t>
            </w:r>
            <w:r>
              <w:rPr>
                <w:rFonts w:eastAsia="PMingLiU"/>
                <w:lang w:eastAsia="zh-TW"/>
              </w:rPr>
              <w:t>TRI</w:t>
            </w:r>
          </w:p>
        </w:tc>
        <w:tc>
          <w:tcPr>
            <w:tcW w:w="1843" w:type="dxa"/>
          </w:tcPr>
          <w:p w14:paraId="3037EFB7" w14:textId="77777777" w:rsidR="00E167C6" w:rsidRDefault="00E167C6" w:rsidP="00357D72">
            <w:pPr>
              <w:rPr>
                <w:lang w:eastAsia="zh-CN"/>
              </w:rPr>
            </w:pPr>
            <w:r>
              <w:rPr>
                <w:rFonts w:eastAsia="Malgun Gothic" w:hint="eastAsia"/>
                <w:lang w:eastAsia="ko-KR"/>
              </w:rPr>
              <w:t>b)</w:t>
            </w:r>
          </w:p>
        </w:tc>
        <w:tc>
          <w:tcPr>
            <w:tcW w:w="5808" w:type="dxa"/>
          </w:tcPr>
          <w:p w14:paraId="6CF416D8" w14:textId="77777777" w:rsidR="00E167C6" w:rsidRPr="00FA7E00" w:rsidRDefault="00E167C6" w:rsidP="00357D72">
            <w:pPr>
              <w:rPr>
                <w:rFonts w:eastAsia="PMingLiU"/>
                <w:lang w:eastAsia="zh-TW"/>
              </w:rPr>
            </w:pPr>
            <w:r>
              <w:rPr>
                <w:lang w:eastAsia="zh-CN"/>
              </w:rPr>
              <w:t xml:space="preserve">A </w:t>
            </w:r>
            <w:r>
              <w:rPr>
                <w:rFonts w:eastAsia="PMingLiU"/>
                <w:lang w:eastAsia="zh-TW"/>
              </w:rPr>
              <w:t>N</w:t>
            </w:r>
            <w:r>
              <w:rPr>
                <w:lang w:eastAsia="zh-CN"/>
              </w:rPr>
              <w:t>ote in Stage 2 may be sufficient.</w:t>
            </w:r>
            <w:r>
              <w:rPr>
                <w:rFonts w:eastAsia="PMingLiU"/>
                <w:lang w:eastAsia="zh-TW"/>
              </w:rPr>
              <w:t xml:space="preserve"> </w:t>
            </w:r>
          </w:p>
        </w:tc>
      </w:tr>
      <w:tr w:rsidR="000411BD" w14:paraId="1FD68024" w14:textId="77777777">
        <w:tc>
          <w:tcPr>
            <w:tcW w:w="1980" w:type="dxa"/>
          </w:tcPr>
          <w:p w14:paraId="5069DA07" w14:textId="77777777" w:rsidR="000411BD" w:rsidRPr="00E167C6" w:rsidRDefault="000411BD" w:rsidP="000411BD">
            <w:pPr>
              <w:rPr>
                <w:lang w:eastAsia="zh-CN"/>
              </w:rPr>
            </w:pPr>
          </w:p>
        </w:tc>
        <w:tc>
          <w:tcPr>
            <w:tcW w:w="1843" w:type="dxa"/>
          </w:tcPr>
          <w:p w14:paraId="07DE25DF" w14:textId="77777777" w:rsidR="000411BD" w:rsidRDefault="000411BD" w:rsidP="000411BD">
            <w:pPr>
              <w:rPr>
                <w:lang w:val="en-US" w:eastAsia="zh-CN"/>
              </w:rPr>
            </w:pPr>
          </w:p>
        </w:tc>
        <w:tc>
          <w:tcPr>
            <w:tcW w:w="5808" w:type="dxa"/>
          </w:tcPr>
          <w:p w14:paraId="705FA1FE" w14:textId="77777777" w:rsidR="000411BD" w:rsidRDefault="000411BD" w:rsidP="000411BD">
            <w:pPr>
              <w:rPr>
                <w:lang w:val="en-US" w:eastAsia="zh-CN"/>
              </w:rPr>
            </w:pPr>
          </w:p>
        </w:tc>
      </w:tr>
      <w:tr w:rsidR="000411BD" w14:paraId="35208CD3" w14:textId="77777777">
        <w:tc>
          <w:tcPr>
            <w:tcW w:w="1980" w:type="dxa"/>
          </w:tcPr>
          <w:p w14:paraId="02FEAA17" w14:textId="77777777" w:rsidR="000411BD" w:rsidRDefault="000411BD" w:rsidP="000411BD">
            <w:pPr>
              <w:rPr>
                <w:lang w:eastAsia="zh-CN"/>
              </w:rPr>
            </w:pPr>
          </w:p>
        </w:tc>
        <w:tc>
          <w:tcPr>
            <w:tcW w:w="1843" w:type="dxa"/>
          </w:tcPr>
          <w:p w14:paraId="7ECFF2FE" w14:textId="77777777" w:rsidR="000411BD" w:rsidRDefault="000411BD" w:rsidP="000411BD">
            <w:pPr>
              <w:rPr>
                <w:lang w:eastAsia="zh-CN"/>
              </w:rPr>
            </w:pPr>
          </w:p>
        </w:tc>
        <w:tc>
          <w:tcPr>
            <w:tcW w:w="5808" w:type="dxa"/>
          </w:tcPr>
          <w:p w14:paraId="0AA9F4CA" w14:textId="77777777" w:rsidR="000411BD" w:rsidRDefault="000411BD" w:rsidP="000411BD"/>
        </w:tc>
      </w:tr>
      <w:tr w:rsidR="000411BD" w14:paraId="3E1CD958" w14:textId="77777777">
        <w:tc>
          <w:tcPr>
            <w:tcW w:w="1980" w:type="dxa"/>
          </w:tcPr>
          <w:p w14:paraId="3CC75145" w14:textId="77777777" w:rsidR="000411BD" w:rsidRDefault="000411BD" w:rsidP="000411BD">
            <w:pPr>
              <w:rPr>
                <w:lang w:val="en-US" w:eastAsia="zh-CN"/>
              </w:rPr>
            </w:pPr>
          </w:p>
        </w:tc>
        <w:tc>
          <w:tcPr>
            <w:tcW w:w="1843" w:type="dxa"/>
          </w:tcPr>
          <w:p w14:paraId="45859D02" w14:textId="77777777" w:rsidR="000411BD" w:rsidRDefault="000411BD" w:rsidP="000411BD">
            <w:pPr>
              <w:rPr>
                <w:lang w:val="en-US" w:eastAsia="zh-CN"/>
              </w:rPr>
            </w:pPr>
          </w:p>
        </w:tc>
        <w:tc>
          <w:tcPr>
            <w:tcW w:w="5808" w:type="dxa"/>
          </w:tcPr>
          <w:p w14:paraId="31E52082" w14:textId="77777777" w:rsidR="000411BD" w:rsidRDefault="000411BD" w:rsidP="000411BD">
            <w:pPr>
              <w:rPr>
                <w:lang w:val="en-US" w:eastAsia="zh-CN"/>
              </w:rPr>
            </w:pPr>
          </w:p>
        </w:tc>
      </w:tr>
      <w:tr w:rsidR="000411BD" w14:paraId="2ABDD1EC" w14:textId="77777777">
        <w:tc>
          <w:tcPr>
            <w:tcW w:w="1980" w:type="dxa"/>
          </w:tcPr>
          <w:p w14:paraId="73CACEB2" w14:textId="77777777" w:rsidR="000411BD" w:rsidRDefault="000411BD" w:rsidP="000411BD">
            <w:pPr>
              <w:rPr>
                <w:lang w:eastAsia="zh-CN"/>
              </w:rPr>
            </w:pPr>
          </w:p>
        </w:tc>
        <w:tc>
          <w:tcPr>
            <w:tcW w:w="1843" w:type="dxa"/>
          </w:tcPr>
          <w:p w14:paraId="466878AD" w14:textId="77777777" w:rsidR="000411BD" w:rsidRDefault="000411BD" w:rsidP="000411BD">
            <w:pPr>
              <w:rPr>
                <w:lang w:eastAsia="zh-CN"/>
              </w:rPr>
            </w:pPr>
          </w:p>
        </w:tc>
        <w:tc>
          <w:tcPr>
            <w:tcW w:w="5808" w:type="dxa"/>
          </w:tcPr>
          <w:p w14:paraId="30EA61FC" w14:textId="77777777" w:rsidR="000411BD" w:rsidRDefault="000411BD" w:rsidP="000411BD">
            <w:pPr>
              <w:rPr>
                <w:lang w:eastAsia="zh-CN"/>
              </w:rPr>
            </w:pPr>
          </w:p>
        </w:tc>
      </w:tr>
      <w:tr w:rsidR="000411BD" w14:paraId="41125DD3" w14:textId="77777777">
        <w:tc>
          <w:tcPr>
            <w:tcW w:w="1980" w:type="dxa"/>
          </w:tcPr>
          <w:p w14:paraId="4F2B0840" w14:textId="77777777" w:rsidR="000411BD" w:rsidRDefault="000411BD" w:rsidP="000411BD">
            <w:pPr>
              <w:rPr>
                <w:lang w:eastAsia="zh-CN"/>
              </w:rPr>
            </w:pPr>
          </w:p>
        </w:tc>
        <w:tc>
          <w:tcPr>
            <w:tcW w:w="1843" w:type="dxa"/>
          </w:tcPr>
          <w:p w14:paraId="40E85DF6" w14:textId="77777777" w:rsidR="000411BD" w:rsidRDefault="000411BD" w:rsidP="000411BD">
            <w:pPr>
              <w:rPr>
                <w:lang w:eastAsia="zh-CN"/>
              </w:rPr>
            </w:pPr>
          </w:p>
        </w:tc>
        <w:tc>
          <w:tcPr>
            <w:tcW w:w="5808" w:type="dxa"/>
          </w:tcPr>
          <w:p w14:paraId="2D69709F" w14:textId="77777777" w:rsidR="000411BD" w:rsidRDefault="000411BD" w:rsidP="000411BD">
            <w:pPr>
              <w:rPr>
                <w:lang w:eastAsia="zh-CN"/>
              </w:rPr>
            </w:pPr>
          </w:p>
        </w:tc>
      </w:tr>
      <w:tr w:rsidR="000411BD" w14:paraId="281E3588" w14:textId="77777777">
        <w:tc>
          <w:tcPr>
            <w:tcW w:w="1980" w:type="dxa"/>
          </w:tcPr>
          <w:p w14:paraId="78A64E3A" w14:textId="77777777" w:rsidR="000411BD" w:rsidRDefault="000411BD" w:rsidP="000411BD">
            <w:pPr>
              <w:rPr>
                <w:lang w:eastAsia="zh-CN"/>
              </w:rPr>
            </w:pPr>
          </w:p>
        </w:tc>
        <w:tc>
          <w:tcPr>
            <w:tcW w:w="1843" w:type="dxa"/>
          </w:tcPr>
          <w:p w14:paraId="1F13FA76" w14:textId="77777777" w:rsidR="000411BD" w:rsidRDefault="000411BD" w:rsidP="000411BD">
            <w:pPr>
              <w:rPr>
                <w:lang w:eastAsia="zh-CN"/>
              </w:rPr>
            </w:pPr>
          </w:p>
        </w:tc>
        <w:tc>
          <w:tcPr>
            <w:tcW w:w="5808" w:type="dxa"/>
          </w:tcPr>
          <w:p w14:paraId="5C7C5037" w14:textId="77777777" w:rsidR="000411BD" w:rsidRDefault="000411BD" w:rsidP="000411BD">
            <w:pPr>
              <w:rPr>
                <w:lang w:eastAsia="zh-CN"/>
              </w:rPr>
            </w:pPr>
          </w:p>
        </w:tc>
      </w:tr>
      <w:tr w:rsidR="000411BD" w14:paraId="533243AB" w14:textId="77777777">
        <w:tc>
          <w:tcPr>
            <w:tcW w:w="1980" w:type="dxa"/>
          </w:tcPr>
          <w:p w14:paraId="29F87D4C" w14:textId="77777777" w:rsidR="000411BD" w:rsidRDefault="000411BD" w:rsidP="000411BD">
            <w:pPr>
              <w:rPr>
                <w:lang w:eastAsia="zh-CN"/>
              </w:rPr>
            </w:pPr>
          </w:p>
        </w:tc>
        <w:tc>
          <w:tcPr>
            <w:tcW w:w="1843" w:type="dxa"/>
          </w:tcPr>
          <w:p w14:paraId="3CEB8CC0" w14:textId="77777777" w:rsidR="000411BD" w:rsidRDefault="000411BD" w:rsidP="000411BD">
            <w:pPr>
              <w:rPr>
                <w:lang w:eastAsia="zh-CN"/>
              </w:rPr>
            </w:pPr>
          </w:p>
        </w:tc>
        <w:tc>
          <w:tcPr>
            <w:tcW w:w="5808" w:type="dxa"/>
          </w:tcPr>
          <w:p w14:paraId="338367CF" w14:textId="77777777" w:rsidR="000411BD" w:rsidRDefault="000411BD" w:rsidP="000411BD">
            <w:pPr>
              <w:rPr>
                <w:lang w:eastAsia="zh-CN"/>
              </w:rPr>
            </w:pPr>
          </w:p>
        </w:tc>
      </w:tr>
      <w:tr w:rsidR="000411BD" w14:paraId="4B05447F" w14:textId="77777777">
        <w:tc>
          <w:tcPr>
            <w:tcW w:w="1980" w:type="dxa"/>
          </w:tcPr>
          <w:p w14:paraId="4A5ADE4C" w14:textId="77777777" w:rsidR="000411BD" w:rsidRDefault="000411BD" w:rsidP="000411BD">
            <w:pPr>
              <w:rPr>
                <w:lang w:eastAsia="zh-CN"/>
              </w:rPr>
            </w:pPr>
          </w:p>
        </w:tc>
        <w:tc>
          <w:tcPr>
            <w:tcW w:w="1843" w:type="dxa"/>
          </w:tcPr>
          <w:p w14:paraId="1B0EE806" w14:textId="77777777" w:rsidR="000411BD" w:rsidRDefault="000411BD" w:rsidP="000411BD">
            <w:pPr>
              <w:rPr>
                <w:lang w:eastAsia="zh-CN"/>
              </w:rPr>
            </w:pPr>
          </w:p>
        </w:tc>
        <w:tc>
          <w:tcPr>
            <w:tcW w:w="5808" w:type="dxa"/>
          </w:tcPr>
          <w:p w14:paraId="25E7DC90" w14:textId="77777777" w:rsidR="000411BD" w:rsidRDefault="000411BD" w:rsidP="000411BD">
            <w:pPr>
              <w:rPr>
                <w:lang w:eastAsia="zh-CN"/>
              </w:rPr>
            </w:pPr>
          </w:p>
        </w:tc>
      </w:tr>
      <w:tr w:rsidR="000411BD" w14:paraId="0BC577E7" w14:textId="77777777">
        <w:tc>
          <w:tcPr>
            <w:tcW w:w="1980" w:type="dxa"/>
          </w:tcPr>
          <w:p w14:paraId="2421A138" w14:textId="77777777" w:rsidR="000411BD" w:rsidRDefault="000411BD" w:rsidP="000411BD">
            <w:pPr>
              <w:rPr>
                <w:lang w:eastAsia="zh-CN"/>
              </w:rPr>
            </w:pPr>
          </w:p>
        </w:tc>
        <w:tc>
          <w:tcPr>
            <w:tcW w:w="1843" w:type="dxa"/>
          </w:tcPr>
          <w:p w14:paraId="39329618" w14:textId="77777777" w:rsidR="000411BD" w:rsidRDefault="000411BD" w:rsidP="000411BD">
            <w:pPr>
              <w:rPr>
                <w:lang w:eastAsia="zh-CN"/>
              </w:rPr>
            </w:pPr>
          </w:p>
        </w:tc>
        <w:tc>
          <w:tcPr>
            <w:tcW w:w="5808" w:type="dxa"/>
          </w:tcPr>
          <w:p w14:paraId="64B4EBC3" w14:textId="77777777" w:rsidR="000411BD" w:rsidRDefault="000411BD" w:rsidP="000411BD">
            <w:pPr>
              <w:rPr>
                <w:lang w:eastAsia="zh-CN"/>
              </w:rPr>
            </w:pPr>
          </w:p>
        </w:tc>
      </w:tr>
      <w:tr w:rsidR="000411BD" w14:paraId="3028F361" w14:textId="77777777">
        <w:tc>
          <w:tcPr>
            <w:tcW w:w="1980" w:type="dxa"/>
          </w:tcPr>
          <w:p w14:paraId="31958726" w14:textId="77777777" w:rsidR="000411BD" w:rsidRDefault="000411BD" w:rsidP="000411BD">
            <w:pPr>
              <w:rPr>
                <w:rFonts w:eastAsia="Malgun Gothic"/>
                <w:lang w:eastAsia="ko-KR"/>
              </w:rPr>
            </w:pPr>
          </w:p>
        </w:tc>
        <w:tc>
          <w:tcPr>
            <w:tcW w:w="1843" w:type="dxa"/>
          </w:tcPr>
          <w:p w14:paraId="506E996A" w14:textId="77777777" w:rsidR="000411BD" w:rsidRDefault="000411BD" w:rsidP="000411BD">
            <w:pPr>
              <w:rPr>
                <w:rFonts w:eastAsia="Malgun Gothic"/>
                <w:lang w:eastAsia="ko-KR"/>
              </w:rPr>
            </w:pPr>
          </w:p>
        </w:tc>
        <w:tc>
          <w:tcPr>
            <w:tcW w:w="5808" w:type="dxa"/>
          </w:tcPr>
          <w:p w14:paraId="3E0064D4" w14:textId="77777777" w:rsidR="000411BD" w:rsidRDefault="000411BD" w:rsidP="000411BD">
            <w:pPr>
              <w:rPr>
                <w:rFonts w:eastAsia="Malgun Gothic"/>
                <w:lang w:eastAsia="ko-KR"/>
              </w:rPr>
            </w:pPr>
          </w:p>
        </w:tc>
      </w:tr>
      <w:tr w:rsidR="000411BD" w14:paraId="6ABE9412" w14:textId="77777777">
        <w:trPr>
          <w:trHeight w:val="75"/>
        </w:trPr>
        <w:tc>
          <w:tcPr>
            <w:tcW w:w="1980" w:type="dxa"/>
          </w:tcPr>
          <w:p w14:paraId="2E0DAC54" w14:textId="77777777" w:rsidR="000411BD" w:rsidRDefault="000411BD" w:rsidP="000411BD">
            <w:pPr>
              <w:rPr>
                <w:lang w:eastAsia="zh-CN"/>
              </w:rPr>
            </w:pPr>
          </w:p>
        </w:tc>
        <w:tc>
          <w:tcPr>
            <w:tcW w:w="1843" w:type="dxa"/>
          </w:tcPr>
          <w:p w14:paraId="5D98CF0E" w14:textId="77777777" w:rsidR="000411BD" w:rsidRDefault="000411BD" w:rsidP="000411BD">
            <w:pPr>
              <w:rPr>
                <w:rFonts w:eastAsia="Malgun Gothic"/>
                <w:lang w:eastAsia="ko-KR"/>
              </w:rPr>
            </w:pPr>
          </w:p>
        </w:tc>
        <w:tc>
          <w:tcPr>
            <w:tcW w:w="5808" w:type="dxa"/>
          </w:tcPr>
          <w:p w14:paraId="4A4C434C" w14:textId="77777777" w:rsidR="000411BD" w:rsidRDefault="000411BD" w:rsidP="000411BD">
            <w:pPr>
              <w:rPr>
                <w:lang w:eastAsia="zh-CN"/>
              </w:rPr>
            </w:pPr>
          </w:p>
        </w:tc>
      </w:tr>
      <w:tr w:rsidR="000411BD" w14:paraId="626190BD" w14:textId="77777777">
        <w:trPr>
          <w:trHeight w:val="75"/>
        </w:trPr>
        <w:tc>
          <w:tcPr>
            <w:tcW w:w="1980" w:type="dxa"/>
          </w:tcPr>
          <w:p w14:paraId="2C437219" w14:textId="77777777" w:rsidR="000411BD" w:rsidRDefault="000411BD" w:rsidP="000411BD">
            <w:pPr>
              <w:rPr>
                <w:lang w:eastAsia="zh-CN"/>
              </w:rPr>
            </w:pPr>
          </w:p>
        </w:tc>
        <w:tc>
          <w:tcPr>
            <w:tcW w:w="1843" w:type="dxa"/>
          </w:tcPr>
          <w:p w14:paraId="327CF0B7" w14:textId="77777777" w:rsidR="000411BD" w:rsidRDefault="000411BD" w:rsidP="000411BD">
            <w:pPr>
              <w:rPr>
                <w:rFonts w:eastAsia="Malgun Gothic"/>
                <w:lang w:eastAsia="ko-KR"/>
              </w:rPr>
            </w:pPr>
          </w:p>
        </w:tc>
        <w:tc>
          <w:tcPr>
            <w:tcW w:w="5808" w:type="dxa"/>
          </w:tcPr>
          <w:p w14:paraId="7E2B68D4" w14:textId="77777777" w:rsidR="000411BD" w:rsidRDefault="000411BD" w:rsidP="000411BD">
            <w:pPr>
              <w:rPr>
                <w:lang w:eastAsia="zh-CN"/>
              </w:rPr>
            </w:pPr>
          </w:p>
        </w:tc>
      </w:tr>
      <w:tr w:rsidR="000411BD" w14:paraId="72EA4C2A" w14:textId="77777777">
        <w:trPr>
          <w:trHeight w:val="75"/>
        </w:trPr>
        <w:tc>
          <w:tcPr>
            <w:tcW w:w="1980" w:type="dxa"/>
          </w:tcPr>
          <w:p w14:paraId="53FA8916" w14:textId="77777777" w:rsidR="000411BD" w:rsidRDefault="000411BD" w:rsidP="000411BD">
            <w:pPr>
              <w:rPr>
                <w:lang w:eastAsia="zh-CN"/>
              </w:rPr>
            </w:pPr>
          </w:p>
        </w:tc>
        <w:tc>
          <w:tcPr>
            <w:tcW w:w="1843" w:type="dxa"/>
          </w:tcPr>
          <w:p w14:paraId="4D69F672" w14:textId="77777777" w:rsidR="000411BD" w:rsidRDefault="000411BD" w:rsidP="000411BD">
            <w:pPr>
              <w:rPr>
                <w:rFonts w:eastAsia="Malgun Gothic"/>
                <w:lang w:eastAsia="ko-KR"/>
              </w:rPr>
            </w:pPr>
          </w:p>
        </w:tc>
        <w:tc>
          <w:tcPr>
            <w:tcW w:w="5808" w:type="dxa"/>
          </w:tcPr>
          <w:p w14:paraId="75204B01" w14:textId="77777777" w:rsidR="000411BD" w:rsidRDefault="000411BD" w:rsidP="000411BD">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lastRenderedPageBreak/>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(e.g.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32" w:author="Huawei, HiSilicon" w:date="2021-11-09T16:25:00Z">
              <w:r>
                <w:rPr>
                  <w:lang w:eastAsia="zh-CN"/>
                </w:rPr>
                <w:t>Huawei, HiSilicon</w:t>
              </w:r>
            </w:ins>
          </w:p>
        </w:tc>
        <w:tc>
          <w:tcPr>
            <w:tcW w:w="7651" w:type="dxa"/>
          </w:tcPr>
          <w:p w14:paraId="6350AD88" w14:textId="77777777" w:rsidR="00E904E9" w:rsidRDefault="00D917F1">
            <w:pPr>
              <w:rPr>
                <w:lang w:eastAsia="zh-CN"/>
              </w:rPr>
            </w:pPr>
            <w:ins w:id="33"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r>
              <w:rPr>
                <w:lang w:eastAsia="zh-CN"/>
              </w:rPr>
              <w:t>Futurewei</w:t>
            </w:r>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(e.g. using SN Change Required message) whether MN needs to wait for the updated measurement/measurement gap configuration after informing the source SN about the list of prepared cell</w:t>
            </w:r>
            <w:r>
              <w:rPr>
                <w:lang w:eastAsia="zh-CN"/>
              </w:rPr>
              <w:t>” seems reasonable. Then, once MN receives the accepted PSCells, MN takes into consideration the above indication also before it decides whether to send the accepted PSCells and wait for the source SN’s response before sending CPC configuration to UE.</w:t>
            </w:r>
          </w:p>
        </w:tc>
      </w:tr>
      <w:tr w:rsidR="00E904E9" w14:paraId="03B52F87" w14:textId="77777777">
        <w:tc>
          <w:tcPr>
            <w:tcW w:w="1980" w:type="dxa"/>
          </w:tcPr>
          <w:p w14:paraId="75EBA39B" w14:textId="34749469" w:rsidR="00E904E9" w:rsidRPr="008F5B98" w:rsidRDefault="00E904E9">
            <w:pPr>
              <w:rPr>
                <w:rFonts w:eastAsia="PMingLiU"/>
                <w:lang w:eastAsia="zh-TW"/>
              </w:rPr>
            </w:pPr>
          </w:p>
        </w:tc>
        <w:tc>
          <w:tcPr>
            <w:tcW w:w="7651" w:type="dxa"/>
          </w:tcPr>
          <w:p w14:paraId="6BF07B40" w14:textId="17690F17" w:rsidR="00E904E9" w:rsidRPr="008F5B98" w:rsidRDefault="00E904E9">
            <w:pPr>
              <w:rPr>
                <w:rFonts w:eastAsia="PMingLiU"/>
                <w:lang w:eastAsia="zh-TW"/>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34" w:name="_Hlk86648014"/>
      <w:r>
        <w:rPr>
          <w:b/>
          <w:bCs/>
          <w:lang w:eastAsia="zh-CN"/>
        </w:rPr>
        <w:t xml:space="preserve"> </w:t>
      </w:r>
    </w:p>
    <w:bookmarkEnd w:id="34"/>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35" w:name="_Ref87287417"/>
      <w:bookmarkStart w:id="36" w:name="_Ref86411128"/>
      <w:bookmarkStart w:id="37"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r>
        <w:rPr>
          <w:rFonts w:ascii="Times New Roman" w:hAnsi="Times New Roman"/>
          <w:sz w:val="20"/>
          <w:szCs w:val="20"/>
        </w:rPr>
        <w:t>Elbonia, 1 – 12 of November 2021</w:t>
      </w:r>
      <w:bookmarkStart w:id="38" w:name="_Ref87288115"/>
      <w:bookmarkEnd w:id="35"/>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36"/>
      <w:r>
        <w:rPr>
          <w:rFonts w:ascii="Times New Roman" w:hAnsi="Times New Roman"/>
          <w:sz w:val="20"/>
          <w:szCs w:val="20"/>
        </w:rPr>
        <w:tab/>
      </w:r>
      <w:bookmarkEnd w:id="37"/>
      <w:r>
        <w:rPr>
          <w:rFonts w:ascii="Times New Roman" w:hAnsi="Times New Roman"/>
          <w:sz w:val="20"/>
          <w:szCs w:val="20"/>
          <w:lang w:val="en-GB"/>
        </w:rPr>
        <w:t xml:space="preserve">3GPP </w:t>
      </w:r>
      <w:r>
        <w:rPr>
          <w:rFonts w:ascii="Times New Roman" w:hAnsi="Times New Roman"/>
          <w:sz w:val="20"/>
          <w:szCs w:val="20"/>
        </w:rPr>
        <w:t>TSG-RAN WG2 Meeting #116 Electronic Elbonia, 1 – 12 of November 2021</w:t>
      </w:r>
      <w:bookmarkStart w:id="39" w:name="_Ref87288227"/>
      <w:bookmarkEnd w:id="38"/>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Report on LTE legacy, 71 GHz, DCCA, Multi-SIM and RAN slicing 3GPP TSG-RAN WG2 Meeting #116 Electronic Elbonia, 1 – 12 of November 2021</w:t>
      </w:r>
    </w:p>
    <w:bookmarkEnd w:id="39"/>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Source configures MeasID 1 for A and Meas ID2 for B. MeasID1 points to MeasObject1 and MeasID2 points to MeasObject2 (both objects</w:t>
      </w:r>
      <w:r w:rsidRPr="00D57358">
        <w:rPr>
          <w:rFonts w:eastAsia="Times New Roman"/>
          <w:lang w:val="en-US"/>
        </w:rPr>
        <w:t xml:space="preserve"> configured with e.g.</w:t>
      </w:r>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r w:rsidRPr="00D57358">
        <w:rPr>
          <w:rFonts w:eastAsia="Times New Roman"/>
          <w:lang w:val="en-US"/>
        </w:rPr>
        <w:t xml:space="preserve">e.g.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r w:rsidRPr="0089022B">
        <w:rPr>
          <w:rFonts w:eastAsia="Times New Roman"/>
          <w:lang w:val="en-US"/>
        </w:rPr>
        <w:t>So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4"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Yes, that is a valid point and it seems this was not obvious to all when discussing it online</w:t>
      </w:r>
      <w:r>
        <w:rPr>
          <w:sz w:val="18"/>
          <w:szCs w:val="18"/>
        </w:rPr>
        <w:t>. So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this circumstances. </w:t>
      </w:r>
    </w:p>
  </w:comment>
  <w:comment w:id="5" w:author="Nokia" w:date="2021-11-10T09:48:00Z" w:initials="Nokia">
    <w:p w14:paraId="5787FFEA" w14:textId="59CA07BA" w:rsidR="00D57358" w:rsidRDefault="00D57358">
      <w:pPr>
        <w:pStyle w:val="CommentText"/>
      </w:pPr>
      <w:r>
        <w:rPr>
          <w:rStyle w:val="CommentReference"/>
        </w:rPr>
        <w:annotationRef/>
      </w:r>
      <w:r>
        <w:t>As we have argued above (in the Comment and in the Table), accepting all PSCells by T-SN is not the only case where the MN does not have to wait for the response from S-SN. This case is pretty obvious and non-controversial, but there are also other possibilities and the MN may not know if it shall wait for the response or not, contrary to what e.g. Huawei and Futurewei claim.</w:t>
      </w:r>
    </w:p>
  </w:comment>
  <w:comment w:id="17"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it and interpret it correctly? Especially in SN-initiated CPC, where it should be up to S-SN’s to decide when to reconfigure. </w:t>
      </w:r>
    </w:p>
  </w:comment>
  <w:comment w:id="18"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19"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(i.e. no additional message).</w:t>
      </w:r>
    </w:p>
  </w:comment>
  <w:comment w:id="20"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21"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92CE" w14:textId="77777777" w:rsidR="00C5557B" w:rsidRDefault="00C5557B" w:rsidP="00447C16">
      <w:pPr>
        <w:spacing w:after="0" w:line="240" w:lineRule="auto"/>
      </w:pPr>
      <w:r>
        <w:separator/>
      </w:r>
    </w:p>
  </w:endnote>
  <w:endnote w:type="continuationSeparator" w:id="0">
    <w:p w14:paraId="43F14904" w14:textId="77777777" w:rsidR="00C5557B" w:rsidRDefault="00C5557B"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A3828" w14:textId="77777777" w:rsidR="00C5557B" w:rsidRDefault="00C5557B" w:rsidP="00447C16">
      <w:pPr>
        <w:spacing w:after="0" w:line="240" w:lineRule="auto"/>
      </w:pPr>
      <w:r>
        <w:separator/>
      </w:r>
    </w:p>
  </w:footnote>
  <w:footnote w:type="continuationSeparator" w:id="0">
    <w:p w14:paraId="6BACB2F2" w14:textId="77777777" w:rsidR="00C5557B" w:rsidRDefault="00C5557B"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EC (Hisashi)">
    <w15:presenceInfo w15:providerId="None" w15:userId="NEC (Hisashi)"/>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1BD"/>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87532"/>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35C5"/>
    <w:rsid w:val="000B77B4"/>
    <w:rsid w:val="000B7BCF"/>
    <w:rsid w:val="000C3257"/>
    <w:rsid w:val="000C3F14"/>
    <w:rsid w:val="000C522B"/>
    <w:rsid w:val="000D007D"/>
    <w:rsid w:val="000D10AA"/>
    <w:rsid w:val="000D19E0"/>
    <w:rsid w:val="000D2691"/>
    <w:rsid w:val="000D41EE"/>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B76E3"/>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3737"/>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5C01"/>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54185"/>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496A"/>
    <w:rsid w:val="00477455"/>
    <w:rsid w:val="00482F8F"/>
    <w:rsid w:val="004860EB"/>
    <w:rsid w:val="0048613B"/>
    <w:rsid w:val="0048709A"/>
    <w:rsid w:val="00487F43"/>
    <w:rsid w:val="004911BB"/>
    <w:rsid w:val="00495AA5"/>
    <w:rsid w:val="00496841"/>
    <w:rsid w:val="004A1F7B"/>
    <w:rsid w:val="004A344E"/>
    <w:rsid w:val="004A52DB"/>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6F63"/>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3E28"/>
    <w:rsid w:val="008F48AC"/>
    <w:rsid w:val="008F5B98"/>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912"/>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0C87"/>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2364"/>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57B"/>
    <w:rsid w:val="00C55A12"/>
    <w:rsid w:val="00C61893"/>
    <w:rsid w:val="00C6553E"/>
    <w:rsid w:val="00C7087A"/>
    <w:rsid w:val="00C73977"/>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7C6"/>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51EE7D-EAF9-452E-8F93-05037871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3084</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Ericsson</cp:lastModifiedBy>
  <cp:revision>4</cp:revision>
  <dcterms:created xsi:type="dcterms:W3CDTF">2021-11-11T09:35:00Z</dcterms:created>
  <dcterms:modified xsi:type="dcterms:W3CDTF">2021-11-11T09:39:00Z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