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c"/>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DC0A6E"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Huawei, HiSilicon</w:t>
      </w:r>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DC0A6E"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a"/>
        <w:tblW w:w="0" w:type="auto"/>
        <w:tblInd w:w="113" w:type="dxa"/>
        <w:tblLook w:val="04A0" w:firstRow="1" w:lastRow="0" w:firstColumn="1" w:lastColumn="0" w:noHBand="0" w:noVBand="1"/>
      </w:tblPr>
      <w:tblGrid>
        <w:gridCol w:w="3776"/>
        <w:gridCol w:w="5740"/>
      </w:tblGrid>
      <w:tr w:rsidR="002071EC" w14:paraId="37E96C7E" w14:textId="77777777" w:rsidTr="00DE5EC5">
        <w:tc>
          <w:tcPr>
            <w:tcW w:w="3776" w:type="dxa"/>
          </w:tcPr>
          <w:p w14:paraId="0398C13A" w14:textId="77777777" w:rsidR="002071EC" w:rsidRDefault="002071EC" w:rsidP="0095045D">
            <w:pPr>
              <w:pStyle w:val="TAH"/>
              <w:rPr>
                <w:lang w:eastAsia="ko-KR"/>
              </w:rPr>
            </w:pPr>
            <w:r>
              <w:rPr>
                <w:lang w:eastAsia="ko-KR"/>
              </w:rPr>
              <w:lastRenderedPageBreak/>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DE5EC5">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DE5EC5">
        <w:tc>
          <w:tcPr>
            <w:tcW w:w="3776"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0"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DE5EC5" w14:paraId="34E55B74" w14:textId="77777777" w:rsidTr="00DE5EC5">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DC0A6E" w:rsidP="0095045D">
            <w:pPr>
              <w:pStyle w:val="TAC"/>
              <w:rPr>
                <w:lang w:val="fi-FI" w:eastAsia="ko-KR"/>
              </w:rPr>
            </w:pPr>
            <w:hyperlink r:id="rId17" w:history="1">
              <w:r w:rsidR="000C43B7" w:rsidRPr="00774AB8">
                <w:rPr>
                  <w:rStyle w:val="af"/>
                  <w:lang w:val="fi-FI" w:eastAsia="ko-KR"/>
                </w:rPr>
                <w:t>Jarkko.t.koskela@nokia.com</w:t>
              </w:r>
            </w:hyperlink>
          </w:p>
        </w:tc>
      </w:tr>
      <w:tr w:rsidR="002071EC" w:rsidRPr="00E10C91" w14:paraId="334A9112" w14:textId="77777777" w:rsidTr="00DE5EC5">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DE5EC5">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DE5EC5">
        <w:tc>
          <w:tcPr>
            <w:tcW w:w="3776" w:type="dxa"/>
          </w:tcPr>
          <w:p w14:paraId="0EF2910D" w14:textId="6B0DCB49" w:rsidR="001B2E7B" w:rsidRDefault="001B2E7B" w:rsidP="001B2E7B">
            <w:pPr>
              <w:pStyle w:val="TAC"/>
              <w:rPr>
                <w:lang w:eastAsia="ko-KR"/>
              </w:rPr>
            </w:pPr>
            <w:r>
              <w:rPr>
                <w:lang w:val="en-US" w:eastAsia="ko-KR"/>
              </w:rPr>
              <w:t>LGE (Geumsan Jo)</w:t>
            </w:r>
          </w:p>
        </w:tc>
        <w:tc>
          <w:tcPr>
            <w:tcW w:w="5740"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DE5EC5">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DE5EC5">
        <w:tc>
          <w:tcPr>
            <w:tcW w:w="3776" w:type="dxa"/>
          </w:tcPr>
          <w:p w14:paraId="7A902D25" w14:textId="048EF3C7" w:rsidR="005C6241" w:rsidRDefault="005C6241" w:rsidP="005C6241">
            <w:pPr>
              <w:pStyle w:val="TAC"/>
              <w:rPr>
                <w:lang w:eastAsia="ko-KR"/>
              </w:rPr>
            </w:pPr>
            <w:r>
              <w:rPr>
                <w:lang w:val="en-US" w:eastAsia="ko-KR"/>
              </w:rPr>
              <w:t>Futurewei</w:t>
            </w:r>
          </w:p>
        </w:tc>
        <w:tc>
          <w:tcPr>
            <w:tcW w:w="5740"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DE5EC5">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DE5EC5">
        <w:tc>
          <w:tcPr>
            <w:tcW w:w="3776"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0" w:type="dxa"/>
          </w:tcPr>
          <w:p w14:paraId="5E68A3A6" w14:textId="0481C38C" w:rsidR="005C6241" w:rsidRPr="000C43B7" w:rsidRDefault="001A094D" w:rsidP="005C6241">
            <w:pPr>
              <w:pStyle w:val="TAC"/>
              <w:rPr>
                <w:rFonts w:eastAsia="等线"/>
                <w:lang w:val="fi-FI" w:eastAsia="zh-CN"/>
              </w:rPr>
            </w:pPr>
            <w:r>
              <w:rPr>
                <w:lang w:val="en-GB" w:eastAsia="ko-KR"/>
              </w:rPr>
              <w:t>david.lecompte</w:t>
            </w:r>
            <w:r w:rsidRPr="00B41AB7">
              <w:rPr>
                <w:rFonts w:eastAsia="等线"/>
                <w:lang w:val="fi-FI" w:eastAsia="zh-CN"/>
              </w:rPr>
              <w:t>@</w:t>
            </w:r>
            <w:r>
              <w:rPr>
                <w:rFonts w:eastAsia="等线"/>
                <w:lang w:val="fi-FI" w:eastAsia="zh-CN"/>
              </w:rPr>
              <w:t>com</w:t>
            </w:r>
          </w:p>
        </w:tc>
      </w:tr>
      <w:tr w:rsidR="00A375A3" w14:paraId="6576D184" w14:textId="77777777" w:rsidTr="00DE5EC5">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DE5EC5">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DE5EC5">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DE5EC5">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DE5EC5">
        <w:tc>
          <w:tcPr>
            <w:tcW w:w="3776" w:type="dxa"/>
          </w:tcPr>
          <w:p w14:paraId="4F0162F0" w14:textId="0B5105F3" w:rsidR="00DE5EC5" w:rsidRPr="00DE5EC5" w:rsidRDefault="00DE5EC5" w:rsidP="00DE5EC5">
            <w:pPr>
              <w:pStyle w:val="TAC"/>
              <w:rPr>
                <w:rFonts w:hint="eastAsia"/>
                <w:lang w:val="en-US" w:eastAsia="ja-JP"/>
              </w:rPr>
            </w:pPr>
            <w:r>
              <w:rPr>
                <w:rFonts w:hint="eastAsia"/>
                <w:lang w:val="en-US" w:eastAsia="zh-CN"/>
              </w:rPr>
              <w:t>Spreadtrum</w:t>
            </w:r>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r w:rsidRPr="00466367">
        <w:rPr>
          <w:i/>
          <w:sz w:val="18"/>
        </w:rPr>
        <w:t>Bj</w:t>
      </w:r>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r w:rsidRPr="00466367">
        <w:rPr>
          <w:i/>
          <w:sz w:val="18"/>
          <w:lang w:eastAsia="fr-FR"/>
        </w:rPr>
        <w:t>SBj</w:t>
      </w:r>
      <w:r w:rsidRPr="00466367">
        <w:rPr>
          <w:sz w:val="18"/>
          <w:lang w:eastAsia="fr-FR"/>
        </w:rPr>
        <w:t xml:space="preserve"> for each logical channel to zero if Sidelink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r w:rsidRPr="00466367">
        <w:rPr>
          <w:i/>
          <w:sz w:val="18"/>
          <w:highlight w:val="cyan"/>
        </w:rPr>
        <w:t>timeAlignmentTimer</w:t>
      </w:r>
      <w:r w:rsidRPr="00466367">
        <w:rPr>
          <w:sz w:val="18"/>
          <w:highlight w:val="cyan"/>
        </w:rPr>
        <w:t>s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sets the NDIs for all HARQ process IDs to the value 0 for monitoring PDCCH in Sidelink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stop, if any, ongoing Random Access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cancel, if any, triggered Sidelink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sidelink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a"/>
        <w:tblW w:w="0" w:type="auto"/>
        <w:tblInd w:w="113" w:type="dxa"/>
        <w:tblLook w:val="04A0" w:firstRow="1" w:lastRow="0" w:firstColumn="1" w:lastColumn="0" w:noHBand="0" w:noVBand="1"/>
      </w:tblPr>
      <w:tblGrid>
        <w:gridCol w:w="1415"/>
        <w:gridCol w:w="1699"/>
        <w:gridCol w:w="6249"/>
      </w:tblGrid>
      <w:tr w:rsidR="008508DA" w14:paraId="0485E45C" w14:textId="77777777" w:rsidTr="00BD116D">
        <w:tc>
          <w:tcPr>
            <w:tcW w:w="1415" w:type="dxa"/>
            <w:shd w:val="clear" w:color="auto" w:fill="BFBFBF" w:themeFill="background1" w:themeFillShade="BF"/>
            <w:vAlign w:val="center"/>
          </w:tcPr>
          <w:p w14:paraId="1B293128" w14:textId="77777777" w:rsidR="008508DA" w:rsidRPr="006934EF" w:rsidRDefault="008508DA" w:rsidP="004E3250">
            <w:pPr>
              <w:pStyle w:val="ac"/>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c"/>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c"/>
              <w:jc w:val="center"/>
              <w:rPr>
                <w:sz w:val="20"/>
                <w:szCs w:val="20"/>
              </w:rPr>
            </w:pPr>
            <w:r w:rsidRPr="006934EF">
              <w:rPr>
                <w:sz w:val="20"/>
                <w:szCs w:val="20"/>
              </w:rPr>
              <w:t>Comments</w:t>
            </w:r>
          </w:p>
        </w:tc>
      </w:tr>
      <w:tr w:rsidR="008508DA" w:rsidRPr="000C43B7" w14:paraId="5C7B61C6" w14:textId="77777777" w:rsidTr="00BD116D">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behavior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So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If MAC reset, the legacy behavior is to stop all MAC timer including TAT timer.</w:t>
            </w:r>
          </w:p>
          <w:p w14:paraId="5D62DE01" w14:textId="77777777" w:rsidR="00476BF7" w:rsidRPr="004205BD" w:rsidRDefault="00476BF7" w:rsidP="004E3250">
            <w:pPr>
              <w:rPr>
                <w:rFonts w:eastAsia="等线"/>
                <w:sz w:val="20"/>
                <w:szCs w:val="20"/>
                <w:lang w:val="en-GB"/>
              </w:rPr>
            </w:pPr>
            <w:r w:rsidRPr="004205BD">
              <w:rPr>
                <w:rFonts w:eastAsia="等线"/>
                <w:sz w:val="20"/>
                <w:szCs w:val="20"/>
                <w:lang w:val="en-GB"/>
              </w:rPr>
              <w:t>So I think we should not change legacy behavior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BD116D">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r w:rsidRPr="004205BD">
              <w:rPr>
                <w:i/>
                <w:iCs/>
                <w:sz w:val="20"/>
                <w:szCs w:val="20"/>
                <w:lang w:val="en-GB"/>
              </w:rPr>
              <w:t xml:space="preserve">timeAlignmentTimer </w:t>
            </w:r>
            <w:r w:rsidRPr="004205BD">
              <w:rPr>
                <w:sz w:val="20"/>
                <w:szCs w:val="20"/>
                <w:lang w:val="en-GB"/>
              </w:rPr>
              <w:t xml:space="preserve">as expired. </w:t>
            </w:r>
          </w:p>
        </w:tc>
      </w:tr>
      <w:tr w:rsidR="00B41AB7" w:rsidRPr="000C43B7" w14:paraId="0CAA6290" w14:textId="77777777" w:rsidTr="00BD116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c>
          <w:tcPr>
            <w:tcW w:w="1415" w:type="dxa"/>
            <w:vAlign w:val="center"/>
          </w:tcPr>
          <w:p w14:paraId="39D8CE03" w14:textId="3B277CDF" w:rsidR="005C6241" w:rsidRPr="004205BD" w:rsidRDefault="005C6241" w:rsidP="005C6241">
            <w:pPr>
              <w:jc w:val="center"/>
              <w:rPr>
                <w:sz w:val="20"/>
                <w:szCs w:val="20"/>
                <w:lang w:val="en-GB"/>
              </w:rPr>
            </w:pPr>
            <w:r w:rsidRPr="004205BD">
              <w:rPr>
                <w:sz w:val="20"/>
                <w:szCs w:val="20"/>
                <w:lang w:val="en-GB"/>
              </w:rPr>
              <w:t>Futurewei</w:t>
            </w:r>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c>
          <w:tcPr>
            <w:tcW w:w="1415" w:type="dxa"/>
            <w:vAlign w:val="center"/>
          </w:tcPr>
          <w:p w14:paraId="65766B7A" w14:textId="632AAD83" w:rsidR="001A094D" w:rsidRPr="004205BD" w:rsidRDefault="001A094D" w:rsidP="001A094D">
            <w:pPr>
              <w:jc w:val="center"/>
              <w:rPr>
                <w:sz w:val="20"/>
                <w:szCs w:val="20"/>
              </w:rPr>
            </w:pPr>
            <w:r>
              <w:rPr>
                <w:szCs w:val="20"/>
                <w:lang w:val="en-GB"/>
              </w:rPr>
              <w:t>Huawei, HiSilicon</w:t>
            </w:r>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BD116D">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宋体"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宋体" w:hint="eastAsia"/>
                <w:szCs w:val="20"/>
              </w:rPr>
              <w:t>We don</w:t>
            </w:r>
            <w:r>
              <w:rPr>
                <w:rFonts w:eastAsia="宋体"/>
                <w:szCs w:val="20"/>
              </w:rPr>
              <w:t>’</w:t>
            </w:r>
            <w:r>
              <w:rPr>
                <w:rFonts w:eastAsia="宋体"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BD116D">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rFonts w:eastAsia="宋体"/>
                <w:szCs w:val="20"/>
              </w:rPr>
            </w:pPr>
          </w:p>
        </w:tc>
      </w:tr>
      <w:tr w:rsidR="00F360C8" w:rsidRPr="000C43B7" w14:paraId="0E92F565" w14:textId="77777777" w:rsidTr="00BD116D">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pPr>
              <w:rPr>
                <w:rFonts w:eastAsia="宋体"/>
              </w:rPr>
            </w:pPr>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BD116D">
        <w:tc>
          <w:tcPr>
            <w:tcW w:w="1415" w:type="dxa"/>
            <w:vAlign w:val="center"/>
          </w:tcPr>
          <w:p w14:paraId="168097BD" w14:textId="271107C5" w:rsidR="00DE5EC5" w:rsidRDefault="00DE5EC5" w:rsidP="00DE5EC5">
            <w:pPr>
              <w:jc w:val="center"/>
              <w:rPr>
                <w:rFonts w:hint="eastAsia"/>
                <w:szCs w:val="20"/>
                <w:lang w:val="en-GB"/>
              </w:rPr>
            </w:pPr>
            <w:r>
              <w:rPr>
                <w:rFonts w:hint="eastAsia"/>
                <w:szCs w:val="20"/>
                <w:lang w:val="en-GB"/>
              </w:rPr>
              <w:t>Spreadtrum</w:t>
            </w:r>
          </w:p>
        </w:tc>
        <w:tc>
          <w:tcPr>
            <w:tcW w:w="1699" w:type="dxa"/>
          </w:tcPr>
          <w:p w14:paraId="5E49D9F1" w14:textId="5363D93F" w:rsidR="00DE5EC5" w:rsidRDefault="00DE5EC5" w:rsidP="00DE5EC5">
            <w:pPr>
              <w:rPr>
                <w:rFonts w:hint="eastAsia"/>
                <w:szCs w:val="20"/>
                <w:lang w:val="en-GB"/>
              </w:rPr>
            </w:pPr>
            <w:r>
              <w:rPr>
                <w:szCs w:val="20"/>
                <w:lang w:val="en-GB"/>
              </w:rPr>
              <w:t>Option 1 or option 2</w:t>
            </w:r>
          </w:p>
        </w:tc>
        <w:tc>
          <w:tcPr>
            <w:tcW w:w="6249" w:type="dxa"/>
            <w:vAlign w:val="center"/>
          </w:tcPr>
          <w:p w14:paraId="523AD9CD" w14:textId="77777777" w:rsidR="00DE5EC5" w:rsidRDefault="00DE5EC5" w:rsidP="00DE5EC5">
            <w:pPr>
              <w:rPr>
                <w:rFonts w:hint="eastAsia"/>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a"/>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ac"/>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c"/>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r w:rsidRPr="007B2F77">
              <w:rPr>
                <w:i/>
                <w:iCs/>
              </w:rPr>
              <w:t>timeAlignmentTimer</w:t>
            </w:r>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r w:rsidRPr="00AA7CC0">
              <w:rPr>
                <w:i/>
                <w:highlight w:val="green"/>
              </w:rPr>
              <w:t>timeAlignmentTimer</w:t>
            </w:r>
            <w:r w:rsidRPr="00AA7CC0">
              <w:rPr>
                <w:highlight w:val="green"/>
              </w:rPr>
              <w:t>s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BD116D" w14:paraId="0677667B" w14:textId="77777777" w:rsidTr="00BD116D">
        <w:tc>
          <w:tcPr>
            <w:tcW w:w="1555" w:type="dxa"/>
            <w:vAlign w:val="center"/>
          </w:tcPr>
          <w:p w14:paraId="35BF8276" w14:textId="77777777" w:rsidR="00BD116D" w:rsidRPr="001B0EB6" w:rsidRDefault="00BD116D" w:rsidP="00BD116D">
            <w:pPr>
              <w:jc w:val="center"/>
              <w:rPr>
                <w:szCs w:val="20"/>
              </w:rPr>
            </w:pPr>
          </w:p>
        </w:tc>
        <w:tc>
          <w:tcPr>
            <w:tcW w:w="7796" w:type="dxa"/>
            <w:vAlign w:val="center"/>
          </w:tcPr>
          <w:p w14:paraId="0F428866" w14:textId="77777777" w:rsidR="00BD116D" w:rsidRPr="001B0EB6" w:rsidRDefault="00BD116D" w:rsidP="00BD116D">
            <w:pPr>
              <w:rPr>
                <w:szCs w:val="20"/>
              </w:rPr>
            </w:pPr>
          </w:p>
        </w:tc>
      </w:tr>
      <w:tr w:rsidR="00BD116D" w14:paraId="3295F979" w14:textId="77777777" w:rsidTr="00BD116D">
        <w:tc>
          <w:tcPr>
            <w:tcW w:w="1555" w:type="dxa"/>
            <w:vAlign w:val="center"/>
          </w:tcPr>
          <w:p w14:paraId="2DA343B8" w14:textId="77777777" w:rsidR="00BD116D" w:rsidRPr="001B0EB6" w:rsidRDefault="00BD116D" w:rsidP="00BD116D">
            <w:pPr>
              <w:jc w:val="center"/>
              <w:rPr>
                <w:szCs w:val="20"/>
              </w:rPr>
            </w:pPr>
          </w:p>
        </w:tc>
        <w:tc>
          <w:tcPr>
            <w:tcW w:w="7796" w:type="dxa"/>
            <w:vAlign w:val="center"/>
          </w:tcPr>
          <w:p w14:paraId="4EE49787" w14:textId="77777777" w:rsidR="00BD116D" w:rsidRPr="001B0EB6" w:rsidRDefault="00BD116D" w:rsidP="00BD116D">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the wording “Upon SCG deactivation, except for timeAlignmentTimer associated with PTAG, if configured, consider all timeAlignmentTimers as expired.”</w:t>
      </w:r>
      <w:r w:rsidRPr="000C43B7">
        <w:rPr>
          <w:rFonts w:eastAsia="Malgun Gothic"/>
          <w:b/>
        </w:rPr>
        <w:t xml:space="preserve">? </w:t>
      </w:r>
      <w:r>
        <w:rPr>
          <w:rFonts w:eastAsia="Malgun Gothic"/>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c"/>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SCells will be deactivated state during SCG state. </w:t>
            </w:r>
            <w:r w:rsidR="00D231AB" w:rsidRPr="004205BD">
              <w:rPr>
                <w:rFonts w:eastAsia="等线"/>
                <w:sz w:val="20"/>
                <w:szCs w:val="20"/>
              </w:rPr>
              <w:t>So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SCells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r w:rsidRPr="004205BD">
              <w:rPr>
                <w:sz w:val="20"/>
                <w:szCs w:val="20"/>
                <w:lang w:val="en-GB"/>
              </w:rPr>
              <w:t>Futurewei</w:t>
            </w:r>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BD116D">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BD116D">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BD116D">
        <w:tc>
          <w:tcPr>
            <w:tcW w:w="1415" w:type="dxa"/>
            <w:vAlign w:val="center"/>
          </w:tcPr>
          <w:p w14:paraId="2DEFA097" w14:textId="665C25E4" w:rsidR="00DE5EC5" w:rsidRDefault="00DE5EC5" w:rsidP="00DE5EC5">
            <w:pPr>
              <w:jc w:val="center"/>
              <w:rPr>
                <w:rFonts w:hint="eastAsia"/>
                <w:szCs w:val="20"/>
                <w:lang w:val="en-GB"/>
              </w:rPr>
            </w:pPr>
            <w:r>
              <w:rPr>
                <w:rFonts w:hint="eastAsia"/>
                <w:szCs w:val="20"/>
                <w:lang w:val="en-GB"/>
              </w:rPr>
              <w:t>Spreadtrum</w:t>
            </w:r>
          </w:p>
        </w:tc>
        <w:tc>
          <w:tcPr>
            <w:tcW w:w="1699" w:type="dxa"/>
          </w:tcPr>
          <w:p w14:paraId="5CF08929" w14:textId="782681F4" w:rsidR="00DE5EC5" w:rsidRDefault="00DE5EC5" w:rsidP="00DE5EC5">
            <w:pPr>
              <w:rPr>
                <w:rFonts w:hint="eastAsia"/>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rFonts w:hint="eastAsia"/>
                <w:szCs w:val="20"/>
                <w:lang w:val="en-GB"/>
              </w:rPr>
            </w:pPr>
            <w:r>
              <w:rPr>
                <w:rFonts w:hint="eastAsia"/>
                <w:szCs w:val="20"/>
                <w:lang w:val="en-GB"/>
              </w:rPr>
              <w:t>Similar view as Nokia and Ericsson.</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7"/>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7"/>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7"/>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7"/>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7"/>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2C04B57B" w14:textId="77777777" w:rsidTr="00057A8F">
        <w:tc>
          <w:tcPr>
            <w:tcW w:w="1415" w:type="dxa"/>
            <w:shd w:val="clear" w:color="auto" w:fill="BFBFBF" w:themeFill="background1" w:themeFillShade="BF"/>
            <w:vAlign w:val="center"/>
          </w:tcPr>
          <w:p w14:paraId="214FFE75" w14:textId="77777777" w:rsidR="00095BCB" w:rsidRPr="006934EF" w:rsidRDefault="00095BCB"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c"/>
              <w:jc w:val="center"/>
              <w:rPr>
                <w:sz w:val="20"/>
                <w:szCs w:val="20"/>
              </w:rPr>
            </w:pPr>
            <w:r w:rsidRPr="006934EF">
              <w:rPr>
                <w:sz w:val="20"/>
                <w:szCs w:val="20"/>
              </w:rPr>
              <w:t>Comments</w:t>
            </w:r>
          </w:p>
        </w:tc>
      </w:tr>
      <w:tr w:rsidR="00095BCB" w:rsidRPr="000C43B7" w14:paraId="504EAB67" w14:textId="77777777" w:rsidTr="00057A8F">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057A8F">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057A8F">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057A8F">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057A8F">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057A8F">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057A8F">
        <w:tc>
          <w:tcPr>
            <w:tcW w:w="1415" w:type="dxa"/>
            <w:vAlign w:val="center"/>
          </w:tcPr>
          <w:p w14:paraId="3DBF5191" w14:textId="2BB47FE7"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057A8F">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057A8F">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057A8F">
        <w:tc>
          <w:tcPr>
            <w:tcW w:w="1415" w:type="dxa"/>
            <w:vAlign w:val="center"/>
          </w:tcPr>
          <w:p w14:paraId="79BDA575" w14:textId="6F74C094" w:rsidR="001A094D" w:rsidRPr="000C43B7" w:rsidRDefault="001A094D" w:rsidP="001A094D">
            <w:pPr>
              <w:jc w:val="center"/>
              <w:rPr>
                <w:szCs w:val="20"/>
                <w:lang w:val="en-GB"/>
              </w:rPr>
            </w:pPr>
            <w:r>
              <w:rPr>
                <w:szCs w:val="20"/>
                <w:lang w:val="en-GB"/>
              </w:rPr>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057A8F">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057A8F">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057A8F">
        <w:tc>
          <w:tcPr>
            <w:tcW w:w="1415" w:type="dxa"/>
            <w:vAlign w:val="center"/>
          </w:tcPr>
          <w:p w14:paraId="382333F9" w14:textId="5026204D" w:rsidR="00BD116D" w:rsidRDefault="00BD116D" w:rsidP="00BD116D">
            <w:pPr>
              <w:jc w:val="center"/>
              <w:rPr>
                <w:sz w:val="20"/>
                <w:szCs w:val="20"/>
              </w:rPr>
            </w:pPr>
            <w:r>
              <w:rPr>
                <w:rFonts w:eastAsia="宋体" w:hint="eastAsia"/>
                <w:szCs w:val="20"/>
              </w:rPr>
              <w:t>ZTE</w:t>
            </w:r>
          </w:p>
        </w:tc>
        <w:tc>
          <w:tcPr>
            <w:tcW w:w="1699" w:type="dxa"/>
          </w:tcPr>
          <w:p w14:paraId="398DA41C" w14:textId="61B1FE57" w:rsidR="00BD116D" w:rsidRDefault="00BD116D" w:rsidP="00BD116D">
            <w:pPr>
              <w:rPr>
                <w:sz w:val="20"/>
                <w:szCs w:val="20"/>
              </w:rPr>
            </w:pPr>
            <w:r>
              <w:rPr>
                <w:rFonts w:eastAsia="宋体" w:hint="eastAsia"/>
                <w:szCs w:val="20"/>
              </w:rPr>
              <w:t>Agree</w:t>
            </w:r>
          </w:p>
        </w:tc>
        <w:tc>
          <w:tcPr>
            <w:tcW w:w="6249" w:type="dxa"/>
            <w:vAlign w:val="center"/>
          </w:tcPr>
          <w:p w14:paraId="04773DAE" w14:textId="77777777" w:rsidR="00BD116D" w:rsidRDefault="00BD116D" w:rsidP="00BD116D">
            <w:pPr>
              <w:rPr>
                <w:rFonts w:eastAsia="宋体"/>
                <w:szCs w:val="20"/>
              </w:rPr>
            </w:pPr>
            <w:r>
              <w:rPr>
                <w:rFonts w:eastAsia="宋体" w:hint="eastAsia"/>
                <w:szCs w:val="20"/>
              </w:rPr>
              <w:t>Even for UM DRB, the data lost should be avoided as much as possible.</w:t>
            </w:r>
          </w:p>
          <w:p w14:paraId="09DD990C" w14:textId="6D85E92A" w:rsidR="00BD116D" w:rsidRDefault="00BD116D" w:rsidP="00BD116D">
            <w:pPr>
              <w:rPr>
                <w:sz w:val="20"/>
                <w:szCs w:val="20"/>
              </w:rPr>
            </w:pPr>
            <w:r>
              <w:rPr>
                <w:rFonts w:eastAsia="宋体"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057A8F">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8824B1">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8824B1">
        <w:tc>
          <w:tcPr>
            <w:tcW w:w="1415" w:type="dxa"/>
            <w:vAlign w:val="center"/>
          </w:tcPr>
          <w:p w14:paraId="479AA643" w14:textId="45A4949B" w:rsidR="00DE5EC5" w:rsidRDefault="00DE5EC5" w:rsidP="00DE5EC5">
            <w:pPr>
              <w:jc w:val="center"/>
              <w:rPr>
                <w:rFonts w:hint="eastAsia"/>
                <w:szCs w:val="20"/>
                <w:lang w:val="en-GB"/>
              </w:rPr>
            </w:pPr>
            <w:r>
              <w:rPr>
                <w:rFonts w:hint="eastAsia"/>
                <w:szCs w:val="20"/>
                <w:lang w:val="en-GB"/>
              </w:rPr>
              <w:t>Spreadtrum</w:t>
            </w:r>
          </w:p>
        </w:tc>
        <w:tc>
          <w:tcPr>
            <w:tcW w:w="1699" w:type="dxa"/>
          </w:tcPr>
          <w:p w14:paraId="12E926F1" w14:textId="55E5CDE2" w:rsidR="00DE5EC5" w:rsidRDefault="00DE5EC5" w:rsidP="00DE5EC5">
            <w:pPr>
              <w:rPr>
                <w:rFonts w:hint="eastAsia"/>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c"/>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eastAsia="宋体" w:hint="eastAsia"/>
                <w:szCs w:val="20"/>
              </w:rPr>
              <w:t>ZTE</w:t>
            </w:r>
          </w:p>
        </w:tc>
        <w:tc>
          <w:tcPr>
            <w:tcW w:w="1699" w:type="dxa"/>
          </w:tcPr>
          <w:p w14:paraId="7598D9BA" w14:textId="12250F52" w:rsidR="00BD116D" w:rsidRDefault="00BD116D" w:rsidP="00BD116D">
            <w:pPr>
              <w:rPr>
                <w:szCs w:val="20"/>
                <w:lang w:val="en-GB"/>
              </w:rPr>
            </w:pPr>
            <w:r>
              <w:rPr>
                <w:rFonts w:eastAsia="宋体" w:hint="eastAsia"/>
                <w:szCs w:val="20"/>
              </w:rPr>
              <w:t>Disagree</w:t>
            </w:r>
          </w:p>
        </w:tc>
        <w:tc>
          <w:tcPr>
            <w:tcW w:w="6249" w:type="dxa"/>
            <w:vAlign w:val="center"/>
          </w:tcPr>
          <w:p w14:paraId="03E5AF75" w14:textId="32C9761C" w:rsidR="00BD116D" w:rsidRDefault="00BD116D" w:rsidP="00BD116D">
            <w:pPr>
              <w:rPr>
                <w:szCs w:val="20"/>
                <w:lang w:val="en-GB"/>
              </w:rPr>
            </w:pPr>
            <w:r>
              <w:rPr>
                <w:rFonts w:eastAsia="宋体" w:hint="eastAsia"/>
                <w:szCs w:val="20"/>
              </w:rPr>
              <w:t>Since the SCG activation/RACH procedure can be triggered in case there is data avaliable on SCG, we think there is no need to suspend DRB.</w:t>
            </w:r>
          </w:p>
        </w:tc>
      </w:tr>
      <w:tr w:rsidR="00057A8F" w:rsidRPr="000C43B7" w14:paraId="7AD55EB8" w14:textId="77777777" w:rsidTr="00BD116D">
        <w:tc>
          <w:tcPr>
            <w:tcW w:w="1415" w:type="dxa"/>
            <w:vAlign w:val="center"/>
          </w:tcPr>
          <w:p w14:paraId="2D566AA0" w14:textId="4870AD19" w:rsidR="00057A8F" w:rsidRDefault="00057A8F" w:rsidP="00BD116D">
            <w:pPr>
              <w:jc w:val="center"/>
              <w:rPr>
                <w:rFonts w:eastAsia="宋体"/>
                <w:szCs w:val="20"/>
              </w:rPr>
            </w:pPr>
            <w:r>
              <w:rPr>
                <w:rFonts w:eastAsia="宋体"/>
                <w:szCs w:val="20"/>
              </w:rPr>
              <w:t>Intel</w:t>
            </w:r>
          </w:p>
        </w:tc>
        <w:tc>
          <w:tcPr>
            <w:tcW w:w="1699" w:type="dxa"/>
          </w:tcPr>
          <w:p w14:paraId="67454434" w14:textId="2A5771C4" w:rsidR="00057A8F" w:rsidRDefault="00057A8F" w:rsidP="00BD116D">
            <w:pPr>
              <w:rPr>
                <w:rFonts w:eastAsia="宋体"/>
                <w:szCs w:val="20"/>
              </w:rPr>
            </w:pPr>
            <w:r>
              <w:rPr>
                <w:rFonts w:eastAsia="宋体"/>
                <w:szCs w:val="20"/>
              </w:rPr>
              <w:t>Disagree</w:t>
            </w:r>
          </w:p>
        </w:tc>
        <w:tc>
          <w:tcPr>
            <w:tcW w:w="6249" w:type="dxa"/>
            <w:vAlign w:val="center"/>
          </w:tcPr>
          <w:p w14:paraId="6756750D" w14:textId="56C82A02" w:rsidR="00057A8F" w:rsidRDefault="00057A8F" w:rsidP="00BD116D">
            <w:pPr>
              <w:rPr>
                <w:rFonts w:eastAsia="宋体"/>
                <w:szCs w:val="20"/>
              </w:rPr>
            </w:pPr>
            <w:r>
              <w:rPr>
                <w:szCs w:val="20"/>
                <w:lang w:val="en-GB"/>
              </w:rPr>
              <w:t>Same question like Ericsson.</w:t>
            </w:r>
          </w:p>
        </w:tc>
      </w:tr>
      <w:tr w:rsidR="00F360C8" w:rsidRPr="000C43B7" w14:paraId="3327ACD7" w14:textId="77777777" w:rsidTr="00BD116D">
        <w:tc>
          <w:tcPr>
            <w:tcW w:w="1415" w:type="dxa"/>
            <w:vAlign w:val="center"/>
          </w:tcPr>
          <w:p w14:paraId="405C45F2" w14:textId="46A6485F" w:rsidR="00F360C8" w:rsidRDefault="00F360C8" w:rsidP="00F360C8">
            <w:pPr>
              <w:jc w:val="center"/>
              <w:rPr>
                <w:rFonts w:eastAsia="宋体"/>
              </w:rP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pPr>
              <w:rPr>
                <w:rFonts w:eastAsia="宋体"/>
              </w:rPr>
            </w:pPr>
            <w:r w:rsidRPr="00001D72">
              <w:rPr>
                <w:lang w:eastAsia="en-US"/>
              </w:rPr>
              <w:t>Disagree</w:t>
            </w:r>
          </w:p>
        </w:tc>
        <w:tc>
          <w:tcPr>
            <w:tcW w:w="6249" w:type="dxa"/>
            <w:vAlign w:val="center"/>
          </w:tcPr>
          <w:p w14:paraId="667F0D22" w14:textId="6CFD1397" w:rsidR="00F360C8" w:rsidRDefault="00F360C8" w:rsidP="00F360C8">
            <w:r w:rsidRPr="00001D72">
              <w:rPr>
                <w:lang w:eastAsia="en-US"/>
              </w:rPr>
              <w:t>Please see our comments on Q4.</w:t>
            </w:r>
          </w:p>
        </w:tc>
      </w:tr>
      <w:tr w:rsidR="00DE5EC5" w:rsidRPr="000C43B7" w14:paraId="1E1A8156" w14:textId="77777777" w:rsidTr="00BD116D">
        <w:tc>
          <w:tcPr>
            <w:tcW w:w="1415" w:type="dxa"/>
            <w:vAlign w:val="center"/>
          </w:tcPr>
          <w:p w14:paraId="7EFE09DE" w14:textId="4EE3AF51" w:rsidR="00DE5EC5" w:rsidRPr="00001D72" w:rsidRDefault="00DE5EC5" w:rsidP="00DE5EC5">
            <w:pPr>
              <w:jc w:val="center"/>
              <w:rPr>
                <w:rFonts w:hint="eastAsia"/>
              </w:rPr>
            </w:pPr>
            <w:r>
              <w:rPr>
                <w:rFonts w:hint="eastAsia"/>
                <w:szCs w:val="20"/>
                <w:lang w:val="en-GB"/>
              </w:rPr>
              <w:t>Spreadtrum</w:t>
            </w:r>
          </w:p>
        </w:tc>
        <w:tc>
          <w:tcPr>
            <w:tcW w:w="1699" w:type="dxa"/>
          </w:tcPr>
          <w:p w14:paraId="72CD98AF" w14:textId="0FC9925E" w:rsidR="00DE5EC5" w:rsidRPr="00001D72" w:rsidRDefault="00DE5EC5" w:rsidP="00DE5EC5">
            <w:pPr>
              <w:rPr>
                <w:lang w:eastAsia="en-US"/>
              </w:rPr>
            </w:pPr>
            <w:r>
              <w:rPr>
                <w:rFonts w:hint="eastAsia"/>
                <w:szCs w:val="20"/>
                <w:lang w:val="en-GB"/>
              </w:rPr>
              <w:t>Disagree</w:t>
            </w:r>
          </w:p>
        </w:tc>
        <w:tc>
          <w:tcPr>
            <w:tcW w:w="6249" w:type="dxa"/>
            <w:vAlign w:val="center"/>
          </w:tcPr>
          <w:p w14:paraId="54676856" w14:textId="77777777" w:rsidR="00DE5EC5" w:rsidRPr="00001D72" w:rsidRDefault="00DE5EC5" w:rsidP="00DE5EC5">
            <w:pPr>
              <w:rPr>
                <w:lang w:eastAsia="en-US"/>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B24562" w14:paraId="0B93A7CE" w14:textId="77777777" w:rsidTr="00057A8F">
        <w:tc>
          <w:tcPr>
            <w:tcW w:w="1415" w:type="dxa"/>
            <w:shd w:val="clear" w:color="auto" w:fill="BFBFBF" w:themeFill="background1" w:themeFillShade="BF"/>
            <w:vAlign w:val="center"/>
          </w:tcPr>
          <w:p w14:paraId="47D1A164" w14:textId="77777777" w:rsidR="00B24562" w:rsidRPr="006934EF" w:rsidRDefault="00B2456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c"/>
              <w:jc w:val="center"/>
              <w:rPr>
                <w:sz w:val="20"/>
                <w:szCs w:val="20"/>
              </w:rPr>
            </w:pPr>
            <w:r w:rsidRPr="006934EF">
              <w:rPr>
                <w:sz w:val="20"/>
                <w:szCs w:val="20"/>
              </w:rPr>
              <w:t>Comments</w:t>
            </w:r>
          </w:p>
        </w:tc>
      </w:tr>
      <w:tr w:rsidR="00B24562" w:rsidRPr="000C43B7" w14:paraId="110C3F33" w14:textId="77777777" w:rsidTr="00057A8F">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057A8F">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057A8F">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057A8F">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057A8F">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057A8F">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057A8F">
        <w:tc>
          <w:tcPr>
            <w:tcW w:w="1415" w:type="dxa"/>
            <w:vAlign w:val="center"/>
          </w:tcPr>
          <w:p w14:paraId="6AF97DF1" w14:textId="675E53EE" w:rsidR="0061121B" w:rsidRPr="004205BD" w:rsidRDefault="006611C6" w:rsidP="0061121B">
            <w:pPr>
              <w:jc w:val="center"/>
              <w:rPr>
                <w:sz w:val="20"/>
                <w:szCs w:val="20"/>
                <w:lang w:val="en-GB"/>
              </w:rPr>
            </w:pPr>
            <w:r w:rsidRPr="004205BD">
              <w:rPr>
                <w:sz w:val="20"/>
                <w:szCs w:val="20"/>
                <w:lang w:val="en-GB"/>
              </w:rPr>
              <w:t>Futurewei</w:t>
            </w:r>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057A8F">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057A8F">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057A8F">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057A8F">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057A8F">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057A8F">
        <w:tc>
          <w:tcPr>
            <w:tcW w:w="1415" w:type="dxa"/>
            <w:vAlign w:val="center"/>
          </w:tcPr>
          <w:p w14:paraId="02C57A32" w14:textId="78B433F0" w:rsidR="00BD116D" w:rsidRDefault="00BD116D" w:rsidP="00BD116D">
            <w:pPr>
              <w:jc w:val="center"/>
              <w:rPr>
                <w:szCs w:val="20"/>
                <w:lang w:val="en-GB"/>
              </w:rPr>
            </w:pPr>
            <w:r>
              <w:rPr>
                <w:rFonts w:eastAsia="宋体" w:hint="eastAsia"/>
                <w:szCs w:val="20"/>
              </w:rPr>
              <w:t>ZTE</w:t>
            </w:r>
          </w:p>
        </w:tc>
        <w:tc>
          <w:tcPr>
            <w:tcW w:w="1699" w:type="dxa"/>
          </w:tcPr>
          <w:p w14:paraId="6CED898F" w14:textId="34398609" w:rsidR="00BD116D" w:rsidRDefault="00BD116D" w:rsidP="00BD116D">
            <w:pPr>
              <w:rPr>
                <w:szCs w:val="20"/>
                <w:lang w:val="en-GB"/>
              </w:rPr>
            </w:pPr>
            <w:r>
              <w:rPr>
                <w:rFonts w:eastAsia="宋体" w:hint="eastAsia"/>
                <w:szCs w:val="20"/>
              </w:rPr>
              <w:t>Disagree</w:t>
            </w:r>
          </w:p>
        </w:tc>
        <w:tc>
          <w:tcPr>
            <w:tcW w:w="6249" w:type="dxa"/>
            <w:vAlign w:val="center"/>
          </w:tcPr>
          <w:p w14:paraId="6FC31208" w14:textId="7D4E1DDC" w:rsidR="00BD116D" w:rsidRDefault="00BD116D" w:rsidP="00BD116D">
            <w:pPr>
              <w:rPr>
                <w:szCs w:val="20"/>
                <w:lang w:val="en-GB"/>
              </w:rPr>
            </w:pPr>
            <w:r>
              <w:rPr>
                <w:rFonts w:eastAsia="宋体" w:hint="eastAsia"/>
                <w:szCs w:val="20"/>
              </w:rPr>
              <w:t xml:space="preserve">Share the view </w:t>
            </w:r>
            <w:r>
              <w:rPr>
                <w:rFonts w:eastAsia="宋体"/>
                <w:szCs w:val="20"/>
              </w:rPr>
              <w:t>from</w:t>
            </w:r>
            <w:r>
              <w:rPr>
                <w:rFonts w:eastAsia="宋体" w:hint="eastAsia"/>
                <w:szCs w:val="20"/>
              </w:rPr>
              <w:t xml:space="preserve"> Ericsson</w:t>
            </w:r>
            <w:r>
              <w:rPr>
                <w:rFonts w:eastAsia="宋体"/>
                <w:szCs w:val="20"/>
              </w:rPr>
              <w:t>.</w:t>
            </w:r>
          </w:p>
        </w:tc>
      </w:tr>
      <w:tr w:rsidR="00057A8F" w:rsidRPr="004205BD" w14:paraId="21EEC828" w14:textId="77777777" w:rsidTr="00057A8F">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AD0E81">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AD0E81">
        <w:tc>
          <w:tcPr>
            <w:tcW w:w="1415" w:type="dxa"/>
            <w:vAlign w:val="center"/>
          </w:tcPr>
          <w:p w14:paraId="6106008B" w14:textId="3FB4CC7E" w:rsidR="00DE5EC5" w:rsidRPr="004B70C8" w:rsidRDefault="00DE5EC5" w:rsidP="00DE5EC5">
            <w:pPr>
              <w:jc w:val="center"/>
              <w:rPr>
                <w:rFonts w:hint="eastAsia"/>
              </w:rPr>
            </w:pPr>
            <w:r>
              <w:rPr>
                <w:rFonts w:hint="eastAsia"/>
                <w:szCs w:val="20"/>
                <w:lang w:val="en-GB"/>
              </w:rPr>
              <w:t>Spreadtrum</w:t>
            </w:r>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pPr>
              <w:rPr>
                <w:rFonts w:hint="eastAsia"/>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c"/>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behavior.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c"/>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BD116D">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BD116D">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lang w:eastAsia="en-US"/>
              </w:rPr>
              <w:t>SRB3</w:t>
            </w:r>
            <w:r>
              <w:rPr>
                <w:lang w:eastAsia="en-US"/>
              </w:rPr>
              <w:t xml:space="preserve"> should not be transmitted during SCG deactivation. It can be achieved</w:t>
            </w:r>
            <w:r w:rsidRPr="004B70C8">
              <w:rPr>
                <w:lang w:eastAsia="en-US"/>
              </w:rPr>
              <w:t xml:space="preserve"> </w:t>
            </w:r>
            <w:r>
              <w:rPr>
                <w:lang w:eastAsia="en-US"/>
              </w:rPr>
              <w:t>without saying “suspend SRB3” as current running CR</w:t>
            </w:r>
            <w:r w:rsidRPr="004B70C8">
              <w:rPr>
                <w:lang w:eastAsia="en-US"/>
              </w:rPr>
              <w:t>.</w:t>
            </w:r>
          </w:p>
        </w:tc>
      </w:tr>
      <w:tr w:rsidR="00DE5EC5" w:rsidRPr="009D5F15" w14:paraId="0D95CFEB" w14:textId="77777777" w:rsidTr="00BD116D">
        <w:tc>
          <w:tcPr>
            <w:tcW w:w="1415" w:type="dxa"/>
            <w:vAlign w:val="center"/>
          </w:tcPr>
          <w:p w14:paraId="61A53AF7" w14:textId="4CA80B39" w:rsidR="00DE5EC5" w:rsidRPr="004B70C8" w:rsidRDefault="00DE5EC5" w:rsidP="00DE5EC5">
            <w:pPr>
              <w:jc w:val="center"/>
              <w:rPr>
                <w:rFonts w:hint="eastAsia"/>
              </w:rPr>
            </w:pPr>
            <w:r>
              <w:rPr>
                <w:rFonts w:hint="eastAsia"/>
                <w:szCs w:val="20"/>
              </w:rPr>
              <w:t>Spreadtrum</w:t>
            </w:r>
          </w:p>
        </w:tc>
        <w:tc>
          <w:tcPr>
            <w:tcW w:w="1699" w:type="dxa"/>
          </w:tcPr>
          <w:p w14:paraId="1AD3F2B8" w14:textId="65C36C89" w:rsidR="00DE5EC5" w:rsidRDefault="00DE5EC5" w:rsidP="00DE5EC5">
            <w:pPr>
              <w:rPr>
                <w:rFonts w:hint="eastAsia"/>
              </w:rPr>
            </w:pPr>
            <w:r>
              <w:rPr>
                <w:rFonts w:hint="eastAsia"/>
                <w:szCs w:val="20"/>
              </w:rPr>
              <w:t>Disagree</w:t>
            </w:r>
          </w:p>
        </w:tc>
        <w:tc>
          <w:tcPr>
            <w:tcW w:w="6249" w:type="dxa"/>
            <w:vAlign w:val="center"/>
          </w:tcPr>
          <w:p w14:paraId="50134047" w14:textId="77777777" w:rsidR="00DE5EC5" w:rsidRPr="004B70C8" w:rsidRDefault="00DE5EC5" w:rsidP="00DE5EC5">
            <w:pPr>
              <w:rPr>
                <w:lang w:eastAsia="en-US"/>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c"/>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c"/>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Confliction between measurement report and SCG deactivation would be a rare case. However, UE implementation need to make sure that UE will not trigger SCG activation by such erroneous RRC message.</w:t>
            </w:r>
            <w:r>
              <w:rPr>
                <w:lang w:eastAsia="en-US"/>
              </w:rP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rPr>
                <w:rFonts w:hint="eastAsia"/>
              </w:rPr>
            </w:pPr>
            <w:bookmarkStart w:id="7" w:name="_GoBack" w:colFirst="0" w:colLast="0"/>
            <w:r>
              <w:rPr>
                <w:rFonts w:hint="eastAsia"/>
                <w:szCs w:val="20"/>
                <w:lang w:val="en-GB"/>
              </w:rPr>
              <w:t>Spreadtrum</w:t>
            </w:r>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pPr>
              <w:rPr>
                <w:lang w:eastAsia="en-US"/>
              </w:rPr>
            </w:pPr>
          </w:p>
        </w:tc>
      </w:tr>
      <w:bookmarkEnd w:id="7"/>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c"/>
        <w:rPr>
          <w:rFonts w:eastAsia="Malgun Gothic"/>
          <w:b/>
          <w:bCs/>
        </w:rPr>
      </w:pPr>
    </w:p>
    <w:p w14:paraId="3DE54289" w14:textId="3C7E0836" w:rsidR="002071EC" w:rsidRDefault="002071EC" w:rsidP="006B4E9D">
      <w:pPr>
        <w:pStyle w:val="ac"/>
        <w:rPr>
          <w:rFonts w:eastAsia="Malgun Gothic"/>
          <w:b/>
          <w:bCs/>
        </w:rPr>
      </w:pPr>
      <w:r>
        <w:rPr>
          <w:rFonts w:eastAsia="Malgun Gothic"/>
          <w:b/>
          <w:bCs/>
        </w:rPr>
        <w:t>TBD</w:t>
      </w:r>
    </w:p>
    <w:p w14:paraId="4A7F2533" w14:textId="77777777" w:rsidR="00B412E2" w:rsidRDefault="00B412E2" w:rsidP="006B4E9D">
      <w:pPr>
        <w:pStyle w:val="ac"/>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9CE82" w14:textId="77777777" w:rsidR="00DC0A6E" w:rsidRDefault="00DC0A6E">
      <w:r>
        <w:separator/>
      </w:r>
    </w:p>
  </w:endnote>
  <w:endnote w:type="continuationSeparator" w:id="0">
    <w:p w14:paraId="2216E3F6" w14:textId="77777777" w:rsidR="00DC0A6E" w:rsidRDefault="00DC0A6E">
      <w:r>
        <w:continuationSeparator/>
      </w:r>
    </w:p>
  </w:endnote>
  <w:endnote w:type="continuationNotice" w:id="1">
    <w:p w14:paraId="63451FC7" w14:textId="77777777" w:rsidR="00DC0A6E" w:rsidRDefault="00DC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0896EEA4" w:rsidR="005A1CF7" w:rsidRDefault="005A1CF7" w:rsidP="00313FD6">
    <w:pPr>
      <w:pStyle w:val="ab"/>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C0A6E">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C0A6E">
      <w:rPr>
        <w:rStyle w:val="ae"/>
      </w:rPr>
      <w:t>1</w:t>
    </w:r>
    <w:r>
      <w:rPr>
        <w:rStyle w:val="ae"/>
      </w:rPr>
      <w:fldChar w:fldCharType="end"/>
    </w:r>
    <w:r>
      <w:rPr>
        <w:rStyle w:val="ae"/>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9891C" w14:textId="77777777" w:rsidR="00DC0A6E" w:rsidRDefault="00DC0A6E">
      <w:r>
        <w:separator/>
      </w:r>
    </w:p>
  </w:footnote>
  <w:footnote w:type="continuationSeparator" w:id="0">
    <w:p w14:paraId="0C5CCD3D" w14:textId="77777777" w:rsidR="00DC0A6E" w:rsidRDefault="00DC0A6E">
      <w:r>
        <w:continuationSeparator/>
      </w:r>
    </w:p>
  </w:footnote>
  <w:footnote w:type="continuationNotice" w:id="1">
    <w:p w14:paraId="5C849FC1" w14:textId="77777777" w:rsidR="00DC0A6E" w:rsidRDefault="00DC0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5A1CF7" w:rsidRDefault="005A1CF7">
    <w:r>
      <w:t xml:space="preserve">Page </w:t>
    </w:r>
    <w:r>
      <w:fldChar w:fldCharType="begin"/>
    </w:r>
    <w:r>
      <w:instrText>PAGE</w:instrText>
    </w:r>
    <w:r>
      <w:fldChar w:fldCharType="separate"/>
    </w:r>
    <w:r>
      <w:t>4</w:t>
    </w:r>
    <w:r>
      <w:fldChar w:fldCharType="end"/>
    </w:r>
    <w:r>
      <w:br/>
      <w:t>Draft prETS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1A"/>
    <w:pPr>
      <w:widowControl w:val="0"/>
      <w:jc w:val="both"/>
    </w:pPr>
    <w:rPr>
      <w:rFonts w:asciiTheme="minorHAnsi" w:hAnsiTheme="minorHAnsi" w:cstheme="minorBidi"/>
      <w:kern w:val="2"/>
      <w:sz w:val="21"/>
      <w:szCs w:val="22"/>
      <w:lang w:val="en-US" w:eastAsia="zh-CN"/>
    </w:rPr>
  </w:style>
  <w:style w:type="paragraph" w:styleId="1">
    <w:name w:val="heading 1"/>
    <w:next w:val="a"/>
    <w:link w:val="1Char"/>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E10C91"/>
    <w:pPr>
      <w:pBdr>
        <w:top w:val="none" w:sz="0" w:space="0" w:color="auto"/>
      </w:pBdr>
      <w:spacing w:before="180"/>
      <w:outlineLvl w:val="1"/>
    </w:pPr>
    <w:rPr>
      <w:sz w:val="32"/>
      <w:lang w:val="x-none"/>
    </w:rPr>
  </w:style>
  <w:style w:type="paragraph" w:styleId="30">
    <w:name w:val="heading 3"/>
    <w:basedOn w:val="2"/>
    <w:next w:val="a"/>
    <w:link w:val="3Char"/>
    <w:qFormat/>
    <w:rsid w:val="00E10C91"/>
    <w:pPr>
      <w:spacing w:before="120"/>
      <w:outlineLvl w:val="2"/>
    </w:pPr>
    <w:rPr>
      <w:sz w:val="28"/>
    </w:rPr>
  </w:style>
  <w:style w:type="paragraph" w:styleId="4">
    <w:name w:val="heading 4"/>
    <w:basedOn w:val="30"/>
    <w:next w:val="a"/>
    <w:link w:val="4Char"/>
    <w:qFormat/>
    <w:rsid w:val="00E10C91"/>
    <w:pPr>
      <w:ind w:left="1418" w:hanging="1418"/>
      <w:outlineLvl w:val="3"/>
    </w:pPr>
    <w:rPr>
      <w:sz w:val="24"/>
    </w:rPr>
  </w:style>
  <w:style w:type="paragraph" w:styleId="5">
    <w:name w:val="heading 5"/>
    <w:basedOn w:val="4"/>
    <w:next w:val="a"/>
    <w:link w:val="5Char"/>
    <w:qFormat/>
    <w:rsid w:val="00E10C91"/>
    <w:pPr>
      <w:ind w:left="1701" w:hanging="1701"/>
      <w:outlineLvl w:val="4"/>
    </w:pPr>
    <w:rPr>
      <w:sz w:val="22"/>
    </w:rPr>
  </w:style>
  <w:style w:type="paragraph" w:styleId="6">
    <w:name w:val="heading 6"/>
    <w:basedOn w:val="a"/>
    <w:next w:val="a"/>
    <w:link w:val="6Char"/>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Char"/>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Char"/>
    <w:qFormat/>
    <w:rsid w:val="00E10C91"/>
    <w:pPr>
      <w:ind w:left="0" w:firstLine="0"/>
      <w:outlineLvl w:val="7"/>
    </w:pPr>
    <w:rPr>
      <w:lang w:val="x-none"/>
    </w:rPr>
  </w:style>
  <w:style w:type="paragraph" w:styleId="9">
    <w:name w:val="heading 9"/>
    <w:basedOn w:val="8"/>
    <w:next w:val="a"/>
    <w:link w:val="9Char"/>
    <w:qFormat/>
    <w:rsid w:val="00E10C91"/>
    <w:pPr>
      <w:outlineLvl w:val="8"/>
    </w:pPr>
  </w:style>
  <w:style w:type="character" w:default="1" w:styleId="a0">
    <w:name w:val="Default Paragraph Font"/>
    <w:uiPriority w:val="1"/>
    <w:semiHidden/>
    <w:unhideWhenUsed/>
    <w:rsid w:val="00E85D1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5D1A"/>
  </w:style>
  <w:style w:type="paragraph" w:styleId="80">
    <w:name w:val="toc 8"/>
    <w:basedOn w:val="10"/>
    <w:uiPriority w:val="39"/>
    <w:rsid w:val="00E10C91"/>
    <w:pPr>
      <w:spacing w:before="180"/>
      <w:ind w:left="2693" w:hanging="2693"/>
    </w:pPr>
    <w:rPr>
      <w:b/>
    </w:rPr>
  </w:style>
  <w:style w:type="paragraph" w:styleId="10">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50">
    <w:name w:val="toc 5"/>
    <w:basedOn w:val="40"/>
    <w:uiPriority w:val="39"/>
    <w:rsid w:val="00E10C91"/>
    <w:pPr>
      <w:ind w:left="1701" w:hanging="1701"/>
    </w:pPr>
  </w:style>
  <w:style w:type="paragraph" w:styleId="40">
    <w:name w:val="toc 4"/>
    <w:basedOn w:val="31"/>
    <w:uiPriority w:val="39"/>
    <w:rsid w:val="00E10C91"/>
    <w:pPr>
      <w:ind w:left="1418" w:hanging="1418"/>
    </w:pPr>
  </w:style>
  <w:style w:type="paragraph" w:styleId="31">
    <w:name w:val="toc 3"/>
    <w:basedOn w:val="20"/>
    <w:uiPriority w:val="39"/>
    <w:rsid w:val="00E10C91"/>
    <w:pPr>
      <w:ind w:left="1134" w:hanging="1134"/>
    </w:pPr>
  </w:style>
  <w:style w:type="paragraph" w:styleId="20">
    <w:name w:val="toc 2"/>
    <w:basedOn w:val="10"/>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Char"/>
    <w:rsid w:val="00E10C91"/>
    <w:pPr>
      <w:shd w:val="clear" w:color="auto" w:fill="000080"/>
    </w:pPr>
    <w:rPr>
      <w:rFonts w:ascii="Tahoma" w:hAnsi="Tahoma"/>
      <w:lang w:val="x-none"/>
    </w:rPr>
  </w:style>
  <w:style w:type="paragraph" w:styleId="22">
    <w:name w:val="List Number 2"/>
    <w:basedOn w:val="a5"/>
    <w:rsid w:val="00E10C91"/>
    <w:pPr>
      <w:ind w:left="851"/>
    </w:pPr>
  </w:style>
  <w:style w:type="paragraph" w:styleId="a5">
    <w:name w:val="List Number"/>
    <w:basedOn w:val="a6"/>
    <w:rsid w:val="00E10C91"/>
  </w:style>
  <w:style w:type="paragraph" w:styleId="a6">
    <w:name w:val="List"/>
    <w:basedOn w:val="a"/>
    <w:rsid w:val="00E10C91"/>
    <w:pPr>
      <w:ind w:left="568" w:hanging="284"/>
    </w:pPr>
  </w:style>
  <w:style w:type="paragraph" w:styleId="a7">
    <w:name w:val="header"/>
    <w:link w:val="Char0"/>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8">
    <w:name w:val="footnote reference"/>
    <w:rsid w:val="00E10C91"/>
    <w:rPr>
      <w:b/>
      <w:position w:val="6"/>
      <w:sz w:val="16"/>
    </w:rPr>
  </w:style>
  <w:style w:type="paragraph" w:styleId="a9">
    <w:name w:val="footnote text"/>
    <w:basedOn w:val="a"/>
    <w:link w:val="Char1"/>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90">
    <w:name w:val="toc 9"/>
    <w:basedOn w:val="80"/>
    <w:uiPriority w:val="39"/>
    <w:rsid w:val="00E10C91"/>
    <w:pPr>
      <w:ind w:left="1418" w:hanging="1418"/>
    </w:pPr>
  </w:style>
  <w:style w:type="paragraph" w:styleId="60">
    <w:name w:val="toc 6"/>
    <w:basedOn w:val="50"/>
    <w:next w:val="a"/>
    <w:uiPriority w:val="39"/>
    <w:rsid w:val="00E10C91"/>
    <w:pPr>
      <w:ind w:left="1985" w:hanging="1985"/>
    </w:pPr>
  </w:style>
  <w:style w:type="paragraph" w:styleId="70">
    <w:name w:val="toc 7"/>
    <w:basedOn w:val="60"/>
    <w:next w:val="a"/>
    <w:uiPriority w:val="39"/>
    <w:rsid w:val="00E10C91"/>
    <w:pPr>
      <w:ind w:left="2268" w:hanging="2268"/>
    </w:pPr>
  </w:style>
  <w:style w:type="paragraph" w:styleId="23">
    <w:name w:val="List Bullet 2"/>
    <w:basedOn w:val="aa"/>
    <w:rsid w:val="00E10C91"/>
    <w:pPr>
      <w:ind w:left="851"/>
    </w:pPr>
  </w:style>
  <w:style w:type="paragraph" w:styleId="aa">
    <w:name w:val="List Bullet"/>
    <w:basedOn w:val="a6"/>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6"/>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b">
    <w:name w:val="footer"/>
    <w:basedOn w:val="a7"/>
    <w:link w:val="Char2"/>
    <w:rsid w:val="00E10C91"/>
    <w:pPr>
      <w:jc w:val="center"/>
    </w:pPr>
    <w:rPr>
      <w:i/>
      <w:lang w:val="x-none"/>
    </w:rPr>
  </w:style>
  <w:style w:type="paragraph" w:customStyle="1" w:styleId="Reference">
    <w:name w:val="Reference"/>
    <w:basedOn w:val="ac"/>
    <w:rsid w:val="009E35DB"/>
    <w:pPr>
      <w:numPr>
        <w:numId w:val="1"/>
      </w:numPr>
    </w:pPr>
  </w:style>
  <w:style w:type="paragraph" w:styleId="ad">
    <w:name w:val="Balloon Text"/>
    <w:basedOn w:val="a"/>
    <w:link w:val="Char3"/>
    <w:rsid w:val="00E10C91"/>
    <w:rPr>
      <w:rFonts w:ascii="Segoe UI" w:hAnsi="Segoe UI"/>
      <w:sz w:val="18"/>
      <w:szCs w:val="18"/>
      <w:lang w:val="x-none"/>
    </w:rPr>
  </w:style>
  <w:style w:type="character" w:styleId="ae">
    <w:name w:val="page number"/>
    <w:basedOn w:val="a0"/>
    <w:rsid w:val="00E10C91"/>
  </w:style>
  <w:style w:type="paragraph" w:styleId="ac">
    <w:name w:val="Body Text"/>
    <w:basedOn w:val="a"/>
    <w:link w:val="Char4"/>
    <w:rsid w:val="00E10C91"/>
    <w:pPr>
      <w:spacing w:after="120"/>
    </w:pPr>
    <w:rPr>
      <w:rFonts w:ascii="Arial" w:hAnsi="Arial"/>
      <w:lang w:val="x-none"/>
    </w:rPr>
  </w:style>
  <w:style w:type="character" w:styleId="af">
    <w:name w:val="Hyperlink"/>
    <w:rsid w:val="00E10C91"/>
    <w:rPr>
      <w:color w:val="0000FF"/>
      <w:u w:val="single"/>
    </w:rPr>
  </w:style>
  <w:style w:type="character" w:styleId="af0">
    <w:name w:val="FollowedHyperlink"/>
    <w:unhideWhenUsed/>
    <w:rsid w:val="00E10C91"/>
    <w:rPr>
      <w:color w:val="800080"/>
      <w:u w:val="single"/>
    </w:rPr>
  </w:style>
  <w:style w:type="character" w:styleId="af1">
    <w:name w:val="annotation reference"/>
    <w:uiPriority w:val="99"/>
    <w:qFormat/>
    <w:rsid w:val="00E10C91"/>
    <w:rPr>
      <w:sz w:val="16"/>
      <w:szCs w:val="16"/>
    </w:rPr>
  </w:style>
  <w:style w:type="paragraph" w:styleId="af2">
    <w:name w:val="annotation text"/>
    <w:basedOn w:val="a"/>
    <w:link w:val="Char5"/>
    <w:uiPriority w:val="99"/>
    <w:qFormat/>
    <w:rsid w:val="00E10C91"/>
    <w:rPr>
      <w:lang w:val="x-none"/>
    </w:rPr>
  </w:style>
  <w:style w:type="paragraph" w:styleId="af3">
    <w:name w:val="annotation subject"/>
    <w:basedOn w:val="af2"/>
    <w:next w:val="af2"/>
    <w:link w:val="Char6"/>
    <w:rsid w:val="00E10C91"/>
    <w:rPr>
      <w:b/>
      <w:bCs/>
    </w:rPr>
  </w:style>
  <w:style w:type="character" w:customStyle="1" w:styleId="1Char">
    <w:name w:val="标题 1 Char"/>
    <w:link w:val="1"/>
    <w:rsid w:val="00E10C91"/>
    <w:rPr>
      <w:rFonts w:ascii="Arial" w:eastAsia="Times New Roman" w:hAnsi="Arial"/>
      <w:sz w:val="36"/>
      <w:lang w:eastAsia="ja-JP"/>
    </w:rPr>
  </w:style>
  <w:style w:type="paragraph" w:customStyle="1" w:styleId="B1">
    <w:name w:val="B1"/>
    <w:basedOn w:val="a6"/>
    <w:link w:val="B1Char1"/>
    <w:qFormat/>
    <w:rsid w:val="00E10C91"/>
    <w:rPr>
      <w:lang w:eastAsia="en-US"/>
    </w:rPr>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Char4">
    <w:name w:val="正文文本 Char"/>
    <w:link w:val="ac"/>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4">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Char3">
    <w:name w:val="批注框文本 Char"/>
    <w:link w:val="ad"/>
    <w:rsid w:val="00E10C91"/>
    <w:rPr>
      <w:rFonts w:ascii="Segoe UI" w:eastAsia="Times New Roman" w:hAnsi="Segoe UI"/>
      <w:sz w:val="18"/>
      <w:szCs w:val="18"/>
      <w:lang w:val="x-none" w:eastAsia="ja-JP"/>
    </w:rPr>
  </w:style>
  <w:style w:type="character" w:customStyle="1" w:styleId="Char5">
    <w:name w:val="批注文字 Char"/>
    <w:link w:val="af2"/>
    <w:uiPriority w:val="99"/>
    <w:qFormat/>
    <w:rsid w:val="00E10C91"/>
    <w:rPr>
      <w:rFonts w:ascii="Times New Roman" w:eastAsia="Times New Roman" w:hAnsi="Times New Roman"/>
      <w:lang w:val="x-none" w:eastAsia="ja-JP"/>
    </w:rPr>
  </w:style>
  <w:style w:type="character" w:customStyle="1" w:styleId="Char6">
    <w:name w:val="批注主题 Char"/>
    <w:link w:val="af3"/>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Char">
    <w:name w:val="文档结构图 Char"/>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5">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Char0">
    <w:name w:val="页眉 Char"/>
    <w:link w:val="a7"/>
    <w:rsid w:val="00E10C91"/>
    <w:rPr>
      <w:rFonts w:ascii="Arial" w:eastAsia="Times New Roman" w:hAnsi="Arial"/>
      <w:b/>
      <w:noProof/>
      <w:sz w:val="18"/>
      <w:lang w:eastAsia="ja-JP"/>
    </w:rPr>
  </w:style>
  <w:style w:type="character" w:customStyle="1" w:styleId="Char2">
    <w:name w:val="页脚 Char"/>
    <w:link w:val="ab"/>
    <w:rsid w:val="00E10C91"/>
    <w:rPr>
      <w:rFonts w:ascii="Arial" w:eastAsia="Times New Roman" w:hAnsi="Arial"/>
      <w:b/>
      <w:i/>
      <w:noProof/>
      <w:sz w:val="18"/>
      <w:lang w:val="x-none" w:eastAsia="ja-JP"/>
    </w:rPr>
  </w:style>
  <w:style w:type="character" w:customStyle="1" w:styleId="Char1">
    <w:name w:val="脚注文本 Char"/>
    <w:link w:val="a9"/>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Char">
    <w:name w:val="标题 2 Char"/>
    <w:link w:val="2"/>
    <w:rsid w:val="00E10C91"/>
    <w:rPr>
      <w:rFonts w:ascii="Arial" w:eastAsia="Times New Roman" w:hAnsi="Arial"/>
      <w:sz w:val="32"/>
      <w:lang w:val="x-none" w:eastAsia="ja-JP"/>
    </w:rPr>
  </w:style>
  <w:style w:type="character" w:customStyle="1" w:styleId="3Char">
    <w:name w:val="标题 3 Char"/>
    <w:link w:val="30"/>
    <w:rsid w:val="00E10C91"/>
    <w:rPr>
      <w:rFonts w:ascii="Arial" w:eastAsia="Times New Roman" w:hAnsi="Arial"/>
      <w:sz w:val="28"/>
      <w:lang w:val="x-none" w:eastAsia="ja-JP"/>
    </w:rPr>
  </w:style>
  <w:style w:type="character" w:customStyle="1" w:styleId="4Char">
    <w:name w:val="标题 4 Char"/>
    <w:link w:val="4"/>
    <w:rsid w:val="00E10C91"/>
    <w:rPr>
      <w:rFonts w:ascii="Arial" w:eastAsia="Times New Roman" w:hAnsi="Arial"/>
      <w:sz w:val="24"/>
      <w:lang w:val="x-none" w:eastAsia="ja-JP"/>
    </w:rPr>
  </w:style>
  <w:style w:type="character" w:customStyle="1" w:styleId="5Char">
    <w:name w:val="标题 5 Char"/>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Char">
    <w:name w:val="标题 6 Char"/>
    <w:link w:val="6"/>
    <w:rsid w:val="00E10C91"/>
    <w:rPr>
      <w:rFonts w:ascii="Arial" w:eastAsia="Times New Roman" w:hAnsi="Arial"/>
      <w:lang w:val="x-none" w:eastAsia="ja-JP"/>
    </w:rPr>
  </w:style>
  <w:style w:type="character" w:customStyle="1" w:styleId="7Char">
    <w:name w:val="标题 7 Char"/>
    <w:link w:val="7"/>
    <w:rsid w:val="00E10C91"/>
    <w:rPr>
      <w:rFonts w:ascii="Arial" w:eastAsia="Times New Roman" w:hAnsi="Arial"/>
      <w:lang w:val="x-none" w:eastAsia="ja-JP"/>
    </w:rPr>
  </w:style>
  <w:style w:type="character" w:customStyle="1" w:styleId="8Char">
    <w:name w:val="标题 8 Char"/>
    <w:link w:val="8"/>
    <w:rsid w:val="00E10C91"/>
    <w:rPr>
      <w:rFonts w:ascii="Arial" w:eastAsia="Times New Roman" w:hAnsi="Arial"/>
      <w:sz w:val="36"/>
      <w:lang w:val="x-none" w:eastAsia="ja-JP"/>
    </w:rPr>
  </w:style>
  <w:style w:type="character" w:customStyle="1" w:styleId="9Char">
    <w:name w:val="标题 9 Char"/>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6">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7">
    <w:name w:val="List Paragraph"/>
    <w:basedOn w:val="a"/>
    <w:link w:val="Char7"/>
    <w:uiPriority w:val="34"/>
    <w:qFormat/>
    <w:rsid w:val="00E10C91"/>
    <w:pPr>
      <w:ind w:left="720"/>
    </w:pPr>
    <w:rPr>
      <w:rFonts w:ascii="Calibri" w:eastAsia="Calibri" w:hAnsi="Calibri"/>
      <w:sz w:val="22"/>
      <w:lang w:val="x-none" w:eastAsia="en-US"/>
    </w:rPr>
  </w:style>
  <w:style w:type="character" w:customStyle="1" w:styleId="Char7">
    <w:name w:val="列出段落 Char"/>
    <w:link w:val="af7"/>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8">
    <w:name w:val="Plain Text"/>
    <w:basedOn w:val="a"/>
    <w:link w:val="Char8"/>
    <w:rsid w:val="00E10C91"/>
    <w:rPr>
      <w:rFonts w:ascii="Courier New" w:hAnsi="Courier New"/>
      <w:lang w:val="nb-NO"/>
    </w:rPr>
  </w:style>
  <w:style w:type="character" w:customStyle="1" w:styleId="Char8">
    <w:name w:val="纯文本 Char"/>
    <w:link w:val="af8"/>
    <w:rsid w:val="00E10C91"/>
    <w:rPr>
      <w:rFonts w:ascii="Courier New" w:eastAsia="Times New Roman" w:hAnsi="Courier New"/>
      <w:lang w:val="nb-NO" w:eastAsia="ja-JP"/>
    </w:rPr>
  </w:style>
  <w:style w:type="character" w:styleId="af9">
    <w:name w:val="Strong"/>
    <w:uiPriority w:val="22"/>
    <w:qFormat/>
    <w:rsid w:val="00E10C91"/>
    <w:rPr>
      <w:b/>
      <w:bCs/>
    </w:rPr>
  </w:style>
  <w:style w:type="table" w:styleId="afa">
    <w:name w:val="Table Grid"/>
    <w:basedOn w:val="a1"/>
    <w:uiPriority w:val="39"/>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b">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
    <w:next w:val="a"/>
    <w:link w:val="Char9"/>
    <w:qFormat/>
    <w:rsid w:val="00575C36"/>
    <w:pPr>
      <w:spacing w:after="60"/>
      <w:jc w:val="center"/>
      <w:outlineLvl w:val="1"/>
    </w:pPr>
  </w:style>
  <w:style w:type="character" w:customStyle="1" w:styleId="Char9">
    <w:name w:val="副标题 Char"/>
    <w:basedOn w:val="a0"/>
    <w:link w:val="afd"/>
    <w:rsid w:val="00575C36"/>
    <w:rPr>
      <w:rFonts w:asciiTheme="minorHAnsi" w:hAnsiTheme="minorHAnsi" w:cstheme="minorBidi"/>
      <w:kern w:val="2"/>
      <w:sz w:val="24"/>
      <w:szCs w:val="24"/>
      <w:lang w:val="en-US" w:eastAsia="ko-KR"/>
    </w:rPr>
  </w:style>
  <w:style w:type="paragraph" w:styleId="afe">
    <w:name w:val="Title"/>
    <w:basedOn w:val="a"/>
    <w:next w:val="a"/>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标题 Char"/>
    <w:basedOn w:val="a0"/>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a"/>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2.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E93291E-9EC1-494C-B2B4-2DD1BE20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4972</Words>
  <Characters>28342</Characters>
  <Application>Microsoft Office Word</Application>
  <DocSecurity>0</DocSecurity>
  <Lines>236</Lines>
  <Paragraphs>66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33248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Spreadtrum Communications</cp:lastModifiedBy>
  <cp:revision>3</cp:revision>
  <cp:lastPrinted>2008-01-31T07:09:00Z</cp:lastPrinted>
  <dcterms:created xsi:type="dcterms:W3CDTF">2021-11-08T07:14:00Z</dcterms:created>
  <dcterms:modified xsi:type="dcterms:W3CDTF">2021-11-08T07:18:00Z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