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5A1CF7"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Huawei, HiSilicon</w:t>
      </w:r>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5A1CF7"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Ind w:w="113" w:type="dxa"/>
        <w:tblLook w:val="04A0" w:firstRow="1" w:lastRow="0" w:firstColumn="1" w:lastColumn="0" w:noHBand="0" w:noVBand="1"/>
      </w:tblPr>
      <w:tblGrid>
        <w:gridCol w:w="3776"/>
        <w:gridCol w:w="5740"/>
      </w:tblGrid>
      <w:tr w:rsidR="002071EC" w14:paraId="37E96C7E" w14:textId="77777777" w:rsidTr="00BD116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BD116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BD116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5A1CF7" w14:paraId="34E55B74" w14:textId="77777777" w:rsidTr="00BD116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5A1CF7" w:rsidP="0095045D">
            <w:pPr>
              <w:pStyle w:val="TAC"/>
              <w:rPr>
                <w:lang w:val="fi-FI" w:eastAsia="ko-KR"/>
              </w:rPr>
            </w:pPr>
            <w:hyperlink r:id="rId17" w:history="1">
              <w:r w:rsidR="000C43B7" w:rsidRPr="00774AB8">
                <w:rPr>
                  <w:rStyle w:val="Hyperlink"/>
                  <w:lang w:val="fi-FI" w:eastAsia="ko-KR"/>
                </w:rPr>
                <w:t>Jarkko.t.koskela@nokia.com</w:t>
              </w:r>
            </w:hyperlink>
          </w:p>
        </w:tc>
      </w:tr>
      <w:tr w:rsidR="002071EC" w:rsidRPr="007560CB" w14:paraId="334A9112" w14:textId="77777777" w:rsidTr="00BD116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BD116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BD116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BD116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BD116D">
        <w:tc>
          <w:tcPr>
            <w:tcW w:w="3778" w:type="dxa"/>
          </w:tcPr>
          <w:p w14:paraId="7A902D25" w14:textId="048EF3C7" w:rsidR="005C6241" w:rsidRDefault="005C6241" w:rsidP="005C6241">
            <w:pPr>
              <w:pStyle w:val="TAC"/>
              <w:rPr>
                <w:lang w:eastAsia="ko-KR"/>
              </w:rPr>
            </w:pPr>
            <w:r>
              <w:rPr>
                <w:lang w:val="en-US" w:eastAsia="ko-KR"/>
              </w:rPr>
              <w:t>Futurewei</w:t>
            </w:r>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BD116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BD116D">
        <w:tc>
          <w:tcPr>
            <w:tcW w:w="3778"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2" w:type="dxa"/>
          </w:tcPr>
          <w:p w14:paraId="5E68A3A6" w14:textId="0481C38C" w:rsidR="005C6241" w:rsidRPr="000C43B7" w:rsidRDefault="001A094D" w:rsidP="005C6241">
            <w:pPr>
              <w:pStyle w:val="TAC"/>
              <w:rPr>
                <w:rFonts w:eastAsia="DengXian"/>
                <w:lang w:val="fi-FI" w:eastAsia="zh-CN"/>
              </w:rPr>
            </w:pPr>
            <w:r>
              <w:rPr>
                <w:lang w:val="en-GB" w:eastAsia="ko-KR"/>
              </w:rPr>
              <w:t>david.lecompte</w:t>
            </w:r>
            <w:r w:rsidRPr="00B41AB7">
              <w:rPr>
                <w:rFonts w:eastAsia="DengXian"/>
                <w:lang w:val="fi-FI" w:eastAsia="zh-CN"/>
              </w:rPr>
              <w:t>@</w:t>
            </w:r>
            <w:r>
              <w:rPr>
                <w:rFonts w:eastAsia="DengXian"/>
                <w:lang w:val="fi-FI" w:eastAsia="zh-CN"/>
              </w:rPr>
              <w:t>com</w:t>
            </w:r>
          </w:p>
        </w:tc>
      </w:tr>
      <w:tr w:rsidR="00A375A3" w14:paraId="6576D184" w14:textId="77777777" w:rsidTr="00BD116D">
        <w:tc>
          <w:tcPr>
            <w:tcW w:w="3778"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2"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BD116D">
        <w:tc>
          <w:tcPr>
            <w:tcW w:w="3778"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2"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BD116D">
        <w:tc>
          <w:tcPr>
            <w:tcW w:w="3778" w:type="dxa"/>
          </w:tcPr>
          <w:p w14:paraId="44DC36C1" w14:textId="715C7BE3" w:rsidR="00BD116D" w:rsidRDefault="007522D0" w:rsidP="00BD116D">
            <w:pPr>
              <w:pStyle w:val="TAC"/>
              <w:rPr>
                <w:lang w:val="en-US" w:eastAsia="ja-JP"/>
              </w:rPr>
            </w:pPr>
            <w:r>
              <w:rPr>
                <w:lang w:val="en-US" w:eastAsia="ja-JP"/>
              </w:rPr>
              <w:t>ZTE</w:t>
            </w:r>
          </w:p>
        </w:tc>
        <w:tc>
          <w:tcPr>
            <w:tcW w:w="5742"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rPr>
      </w:pPr>
      <w:r w:rsidRPr="00466367">
        <w:rPr>
          <w:rFonts w:ascii="Times New Roman" w:hAnsi="Times New Roman"/>
          <w:sz w:val="18"/>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initialize </w:t>
      </w:r>
      <w:r w:rsidRPr="00466367">
        <w:rPr>
          <w:rFonts w:ascii="Times New Roman" w:hAnsi="Times New Roman"/>
          <w:i/>
          <w:sz w:val="18"/>
        </w:rPr>
        <w:t>Bj</w:t>
      </w:r>
      <w:r w:rsidRPr="00466367">
        <w:rPr>
          <w:rFonts w:ascii="Times New Roman" w:hAnsi="Times New Roman"/>
          <w:sz w:val="18"/>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r w:rsidRPr="00466367">
        <w:rPr>
          <w:rFonts w:ascii="Times New Roman" w:hAnsi="Times New Roman"/>
          <w:i/>
          <w:sz w:val="18"/>
          <w:lang w:eastAsia="fr-FR"/>
        </w:rPr>
        <w:t>SBj</w:t>
      </w:r>
      <w:r w:rsidRPr="00466367">
        <w:rPr>
          <w:rFonts w:ascii="Times New Roman" w:hAnsi="Times New Roman"/>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running) all timers;</w:t>
      </w:r>
    </w:p>
    <w:p w14:paraId="228C4D4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highlight w:val="cyan"/>
        </w:rPr>
        <w:t>1&gt;</w:t>
      </w:r>
      <w:r w:rsidRPr="00466367">
        <w:rPr>
          <w:rFonts w:ascii="Times New Roman" w:hAnsi="Times New Roman"/>
          <w:sz w:val="18"/>
          <w:highlight w:val="cyan"/>
        </w:rPr>
        <w:tab/>
        <w:t xml:space="preserve">consider all </w:t>
      </w:r>
      <w:r w:rsidRPr="00466367">
        <w:rPr>
          <w:rFonts w:ascii="Times New Roman" w:hAnsi="Times New Roman"/>
          <w:i/>
          <w:sz w:val="18"/>
          <w:highlight w:val="cyan"/>
        </w:rPr>
        <w:t>timeAlignmentTimer</w:t>
      </w:r>
      <w:r w:rsidRPr="00466367">
        <w:rPr>
          <w:rFonts w:ascii="Times New Roman" w:hAnsi="Times New Roman"/>
          <w:sz w:val="18"/>
          <w:highlight w:val="cyan"/>
        </w:rPr>
        <w:t>s as expired and perform the corresponding actions in clause 5.2;</w:t>
      </w:r>
    </w:p>
    <w:p w14:paraId="7B7CE0D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any, ongoing Random Access procedure;</w:t>
      </w:r>
    </w:p>
    <w:p w14:paraId="62F1B74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lastRenderedPageBreak/>
        <w:t>1&gt;</w:t>
      </w:r>
      <w:r w:rsidRPr="00466367">
        <w:rPr>
          <w:rFonts w:ascii="Times New Roman" w:hAnsi="Times New Roman"/>
          <w:sz w:val="18"/>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Msg3 buffer;</w:t>
      </w:r>
    </w:p>
    <w:p w14:paraId="463EC46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MSGA buffer;</w:t>
      </w:r>
    </w:p>
    <w:p w14:paraId="7101169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consistent LBT failure;</w:t>
      </w:r>
    </w:p>
    <w:p w14:paraId="7C70900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BFR;</w:t>
      </w:r>
    </w:p>
    <w:p w14:paraId="0553554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Sidelink Buffer Status Reporting procedure;</w:t>
      </w:r>
    </w:p>
    <w:p w14:paraId="68FB9015"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Pre-emptive Buffer Status Reporting procedure;</w:t>
      </w:r>
    </w:p>
    <w:p w14:paraId="15D3692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uplink grant confirmation;</w:t>
      </w:r>
    </w:p>
    <w:p w14:paraId="5D496A97"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sidelink grant confirmation;</w:t>
      </w:r>
    </w:p>
    <w:p w14:paraId="648AFE7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Desired Guard Symbol query;</w:t>
      </w:r>
    </w:p>
    <w:p w14:paraId="4352073B"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the soft buffers for all DL HARQ processes;</w:t>
      </w:r>
    </w:p>
    <w:p w14:paraId="3CEC4C02"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release, if any, Temporary C-RNTI;</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lastRenderedPageBreak/>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TableGrid"/>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behavior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If MAC reset, the legacy behavior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So I think we should not change legacy behavior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r w:rsidRPr="004205BD">
              <w:rPr>
                <w:i/>
                <w:iCs/>
                <w:sz w:val="20"/>
                <w:szCs w:val="20"/>
                <w:lang w:val="en-GB"/>
              </w:rPr>
              <w:t xml:space="preserve">timeAlignmentTimer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r w:rsidRPr="004205BD">
              <w:rPr>
                <w:sz w:val="20"/>
                <w:szCs w:val="20"/>
                <w:lang w:val="en-GB"/>
              </w:rPr>
              <w:t>Futurewei</w:t>
            </w:r>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w:t>
            </w:r>
            <w:r w:rsidRPr="004205BD">
              <w:rPr>
                <w:rFonts w:eastAsia="Malgun Gothic"/>
                <w:sz w:val="20"/>
                <w:szCs w:val="20"/>
                <w:lang w:val="en-GB"/>
              </w:rPr>
              <w:lastRenderedPageBreak/>
              <w:t xml:space="preserve">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lastRenderedPageBreak/>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SimSun"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SimSun" w:hint="eastAsia"/>
                <w:szCs w:val="20"/>
              </w:rPr>
              <w:t>We don</w:t>
            </w:r>
            <w:r>
              <w:rPr>
                <w:rFonts w:eastAsia="SimSun"/>
                <w:szCs w:val="20"/>
              </w:rPr>
              <w:t>’</w:t>
            </w:r>
            <w:r>
              <w:rPr>
                <w:rFonts w:eastAsia="SimSun"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SimSun" w:hint="eastAsia"/>
                <w:szCs w:val="20"/>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TableGrid"/>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rFonts w:ascii="Times New Roman" w:hAnsi="Times New Roman"/>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rPr>
            </w:pPr>
            <w:r w:rsidRPr="004205BD">
              <w:rPr>
                <w:rFonts w:asciiTheme="minorHAnsi" w:eastAsia="PMingLiU" w:hAnsiTheme="minorHAnsi"/>
                <w:sz w:val="20"/>
                <w:szCs w:val="20"/>
              </w:rPr>
              <w:t>2&gt;</w:t>
            </w:r>
            <w:r w:rsidRPr="004205BD">
              <w:rPr>
                <w:rFonts w:asciiTheme="minorHAnsi" w:eastAsia="PMingLiU" w:hAnsiTheme="minorHAnsi"/>
                <w:sz w:val="20"/>
                <w:szCs w:val="20"/>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lastRenderedPageBreak/>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r w:rsidRPr="007B2F77">
              <w:rPr>
                <w:i/>
                <w:iCs/>
              </w:rPr>
              <w:t>timeAlignmentTimer</w:t>
            </w:r>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r w:rsidRPr="00AA7CC0">
              <w:rPr>
                <w:i/>
                <w:highlight w:val="green"/>
              </w:rPr>
              <w:t>timeAlignmentTimer</w:t>
            </w:r>
            <w:r w:rsidRPr="00AA7CC0">
              <w:rPr>
                <w:highlight w:val="green"/>
              </w:rPr>
              <w:t>s as expired;</w:t>
            </w:r>
          </w:p>
          <w:p w14:paraId="27290001" w14:textId="4AACCF3B" w:rsidR="002A6C26" w:rsidRPr="001B0EB6" w:rsidRDefault="002A6C26" w:rsidP="006C6F52">
            <w:pPr>
              <w:ind w:firstLineChars="400" w:firstLine="88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BD116D" w14:paraId="0677667B" w14:textId="77777777" w:rsidTr="00BD116D">
        <w:tc>
          <w:tcPr>
            <w:tcW w:w="1555" w:type="dxa"/>
            <w:vAlign w:val="center"/>
          </w:tcPr>
          <w:p w14:paraId="35BF8276" w14:textId="77777777" w:rsidR="00BD116D" w:rsidRPr="001B0EB6" w:rsidRDefault="00BD116D" w:rsidP="00BD116D">
            <w:pPr>
              <w:jc w:val="center"/>
              <w:rPr>
                <w:szCs w:val="20"/>
              </w:rPr>
            </w:pPr>
          </w:p>
        </w:tc>
        <w:tc>
          <w:tcPr>
            <w:tcW w:w="7796" w:type="dxa"/>
            <w:vAlign w:val="center"/>
          </w:tcPr>
          <w:p w14:paraId="0F428866" w14:textId="77777777" w:rsidR="00BD116D" w:rsidRPr="001B0EB6" w:rsidRDefault="00BD116D" w:rsidP="00BD116D">
            <w:pPr>
              <w:rPr>
                <w:szCs w:val="20"/>
              </w:rPr>
            </w:pPr>
          </w:p>
        </w:tc>
      </w:tr>
      <w:tr w:rsidR="00BD116D" w14:paraId="3295F979" w14:textId="77777777" w:rsidTr="00BD116D">
        <w:tc>
          <w:tcPr>
            <w:tcW w:w="1555" w:type="dxa"/>
            <w:vAlign w:val="center"/>
          </w:tcPr>
          <w:p w14:paraId="2DA343B8" w14:textId="77777777" w:rsidR="00BD116D" w:rsidRPr="001B0EB6" w:rsidRDefault="00BD116D" w:rsidP="00BD116D">
            <w:pPr>
              <w:jc w:val="center"/>
              <w:rPr>
                <w:szCs w:val="20"/>
              </w:rPr>
            </w:pPr>
          </w:p>
        </w:tc>
        <w:tc>
          <w:tcPr>
            <w:tcW w:w="7796" w:type="dxa"/>
            <w:vAlign w:val="center"/>
          </w:tcPr>
          <w:p w14:paraId="4EE49787" w14:textId="77777777" w:rsidR="00BD116D" w:rsidRPr="001B0EB6" w:rsidRDefault="00BD116D" w:rsidP="00BD116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lastRenderedPageBreak/>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SCells will be deactivated state during SCG state. </w:t>
            </w:r>
            <w:r w:rsidR="00D231AB" w:rsidRPr="004205BD">
              <w:rPr>
                <w:rFonts w:eastAsia="DengXian"/>
                <w:sz w:val="20"/>
                <w:szCs w:val="20"/>
              </w:rPr>
              <w:t>So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SCells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lastRenderedPageBreak/>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r w:rsidRPr="004205BD">
              <w:rPr>
                <w:sz w:val="20"/>
                <w:szCs w:val="20"/>
                <w:lang w:val="en-GB"/>
              </w:rPr>
              <w:t>Futurewei</w:t>
            </w:r>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lastRenderedPageBreak/>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 xml:space="preserve">Agree, but some data loss is </w:t>
            </w:r>
            <w:r w:rsidRPr="004205BD">
              <w:rPr>
                <w:rFonts w:eastAsia="Malgun Gothic"/>
                <w:sz w:val="20"/>
                <w:szCs w:val="20"/>
              </w:rPr>
              <w:lastRenderedPageBreak/>
              <w:t>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lastRenderedPageBreak/>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lastRenderedPageBreak/>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lastRenderedPageBreak/>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eastAsia="SimSun" w:hint="eastAsia"/>
                <w:szCs w:val="20"/>
              </w:rPr>
              <w:t>ZTE</w:t>
            </w:r>
          </w:p>
        </w:tc>
        <w:tc>
          <w:tcPr>
            <w:tcW w:w="1699" w:type="dxa"/>
          </w:tcPr>
          <w:p w14:paraId="398DA41C" w14:textId="61B1FE57" w:rsidR="00BD116D" w:rsidRDefault="00BD116D" w:rsidP="00BD116D">
            <w:pPr>
              <w:rPr>
                <w:sz w:val="20"/>
                <w:szCs w:val="20"/>
              </w:rPr>
            </w:pPr>
            <w:r>
              <w:rPr>
                <w:rFonts w:eastAsia="SimSun" w:hint="eastAsia"/>
                <w:szCs w:val="20"/>
              </w:rPr>
              <w:t>Agree</w:t>
            </w:r>
          </w:p>
        </w:tc>
        <w:tc>
          <w:tcPr>
            <w:tcW w:w="6249" w:type="dxa"/>
            <w:vAlign w:val="center"/>
          </w:tcPr>
          <w:p w14:paraId="04773DAE" w14:textId="77777777" w:rsidR="00BD116D" w:rsidRDefault="00BD116D" w:rsidP="00BD116D">
            <w:pPr>
              <w:rPr>
                <w:rFonts w:eastAsia="SimSun"/>
                <w:szCs w:val="20"/>
              </w:rPr>
            </w:pPr>
            <w:r>
              <w:rPr>
                <w:rFonts w:eastAsia="SimSun" w:hint="eastAsia"/>
                <w:szCs w:val="20"/>
              </w:rPr>
              <w:t>Even for UM DRB, the data lost should be avoided as much as possible.</w:t>
            </w:r>
          </w:p>
          <w:p w14:paraId="09DD990C" w14:textId="6D85E92A" w:rsidR="00BD116D" w:rsidRDefault="00BD116D" w:rsidP="00BD116D">
            <w:pPr>
              <w:rPr>
                <w:sz w:val="20"/>
                <w:szCs w:val="20"/>
              </w:rPr>
            </w:pPr>
            <w:r>
              <w:rPr>
                <w:rFonts w:eastAsia="SimSun"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bl>
    <w:p w14:paraId="04BB4E96" w14:textId="0E33A223" w:rsidR="00095BCB" w:rsidRPr="00057A8F" w:rsidRDefault="00095BCB" w:rsidP="00095BCB">
      <w:pPr>
        <w:rPr>
          <w:rFonts w:eastAsia="Malgun Gothic"/>
          <w:lang w:val="en-GB"/>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SimSun" w:hint="eastAsia"/>
                <w:szCs w:val="20"/>
              </w:rPr>
              <w:t>ZTE</w:t>
            </w:r>
          </w:p>
        </w:tc>
        <w:tc>
          <w:tcPr>
            <w:tcW w:w="1699" w:type="dxa"/>
          </w:tcPr>
          <w:p w14:paraId="7598D9BA" w14:textId="12250F52" w:rsidR="00BD116D" w:rsidRDefault="00BD116D" w:rsidP="00BD116D">
            <w:pPr>
              <w:rPr>
                <w:szCs w:val="20"/>
                <w:lang w:val="en-GB"/>
              </w:rPr>
            </w:pPr>
            <w:r>
              <w:rPr>
                <w:rFonts w:eastAsia="SimSun" w:hint="eastAsia"/>
                <w:szCs w:val="20"/>
              </w:rPr>
              <w:t>Disagree</w:t>
            </w:r>
          </w:p>
        </w:tc>
        <w:tc>
          <w:tcPr>
            <w:tcW w:w="6249" w:type="dxa"/>
            <w:vAlign w:val="center"/>
          </w:tcPr>
          <w:p w14:paraId="03E5AF75" w14:textId="32C9761C" w:rsidR="00BD116D" w:rsidRDefault="00BD116D" w:rsidP="00BD116D">
            <w:pPr>
              <w:rPr>
                <w:szCs w:val="20"/>
                <w:lang w:val="en-GB"/>
              </w:rPr>
            </w:pPr>
            <w:r>
              <w:rPr>
                <w:rFonts w:eastAsia="SimSun" w:hint="eastAsia"/>
                <w:szCs w:val="20"/>
              </w:rPr>
              <w:t>Since the SCG activation/RACH procedure can be triggered in case there is data avaliable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rFonts w:eastAsia="SimSun" w:hint="eastAsia"/>
                <w:szCs w:val="20"/>
              </w:rPr>
            </w:pPr>
            <w:r>
              <w:rPr>
                <w:rFonts w:eastAsia="SimSun"/>
                <w:szCs w:val="20"/>
              </w:rPr>
              <w:t>Intel</w:t>
            </w:r>
          </w:p>
        </w:tc>
        <w:tc>
          <w:tcPr>
            <w:tcW w:w="1699" w:type="dxa"/>
          </w:tcPr>
          <w:p w14:paraId="67454434" w14:textId="2A5771C4" w:rsidR="00057A8F" w:rsidRDefault="00057A8F" w:rsidP="00BD116D">
            <w:pPr>
              <w:rPr>
                <w:rFonts w:eastAsia="SimSun" w:hint="eastAsia"/>
                <w:szCs w:val="20"/>
              </w:rPr>
            </w:pPr>
            <w:r>
              <w:rPr>
                <w:rFonts w:eastAsia="SimSun"/>
                <w:szCs w:val="20"/>
              </w:rPr>
              <w:t>Disagree</w:t>
            </w:r>
          </w:p>
        </w:tc>
        <w:tc>
          <w:tcPr>
            <w:tcW w:w="6249" w:type="dxa"/>
            <w:vAlign w:val="center"/>
          </w:tcPr>
          <w:p w14:paraId="6756750D" w14:textId="56C82A02" w:rsidR="00057A8F" w:rsidRDefault="00057A8F" w:rsidP="00BD116D">
            <w:pPr>
              <w:rPr>
                <w:rFonts w:eastAsia="SimSun" w:hint="eastAsia"/>
                <w:szCs w:val="20"/>
              </w:rPr>
            </w:pPr>
            <w:r>
              <w:rPr>
                <w:szCs w:val="20"/>
                <w:lang w:val="en-GB"/>
              </w:rPr>
              <w:t>Same question like Ericsson.</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lastRenderedPageBreak/>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r w:rsidRPr="004205BD">
              <w:rPr>
                <w:sz w:val="20"/>
                <w:szCs w:val="20"/>
                <w:lang w:val="en-GB"/>
              </w:rPr>
              <w:t>Futurewei</w:t>
            </w:r>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eastAsia="SimSun" w:hint="eastAsia"/>
                <w:szCs w:val="20"/>
              </w:rPr>
              <w:t>ZTE</w:t>
            </w:r>
          </w:p>
        </w:tc>
        <w:tc>
          <w:tcPr>
            <w:tcW w:w="1699" w:type="dxa"/>
          </w:tcPr>
          <w:p w14:paraId="6CED898F" w14:textId="34398609" w:rsidR="00BD116D" w:rsidRDefault="00BD116D" w:rsidP="00BD116D">
            <w:pPr>
              <w:rPr>
                <w:szCs w:val="20"/>
                <w:lang w:val="en-GB"/>
              </w:rPr>
            </w:pPr>
            <w:r>
              <w:rPr>
                <w:rFonts w:eastAsia="SimSun" w:hint="eastAsia"/>
                <w:szCs w:val="20"/>
              </w:rPr>
              <w:t>Disagree</w:t>
            </w:r>
          </w:p>
        </w:tc>
        <w:tc>
          <w:tcPr>
            <w:tcW w:w="6249" w:type="dxa"/>
            <w:vAlign w:val="center"/>
          </w:tcPr>
          <w:p w14:paraId="6FC31208" w14:textId="7D4E1DDC" w:rsidR="00BD116D" w:rsidRDefault="00BD116D" w:rsidP="00BD116D">
            <w:pPr>
              <w:rPr>
                <w:szCs w:val="20"/>
                <w:lang w:val="en-GB"/>
              </w:rPr>
            </w:pPr>
            <w:r>
              <w:rPr>
                <w:rFonts w:eastAsia="SimSun" w:hint="eastAsia"/>
                <w:szCs w:val="20"/>
              </w:rPr>
              <w:t xml:space="preserve">Share the view </w:t>
            </w:r>
            <w:r>
              <w:rPr>
                <w:rFonts w:eastAsia="SimSun"/>
                <w:szCs w:val="20"/>
              </w:rPr>
              <w:t>from</w:t>
            </w:r>
            <w:r>
              <w:rPr>
                <w:rFonts w:eastAsia="SimSun" w:hint="eastAsia"/>
                <w:szCs w:val="20"/>
              </w:rPr>
              <w:t xml:space="preserve"> Ericsson</w:t>
            </w:r>
            <w:r>
              <w:rPr>
                <w:rFonts w:eastAsia="SimSun"/>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behavior.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lastRenderedPageBreak/>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TableGrid"/>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lastRenderedPageBreak/>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lastRenderedPageBreak/>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lastRenderedPageBreak/>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3F71" w14:textId="77777777" w:rsidR="00394D2D" w:rsidRDefault="00394D2D">
      <w:r>
        <w:separator/>
      </w:r>
    </w:p>
  </w:endnote>
  <w:endnote w:type="continuationSeparator" w:id="0">
    <w:p w14:paraId="330F0BDE" w14:textId="77777777" w:rsidR="00394D2D" w:rsidRDefault="00394D2D">
      <w:r>
        <w:continuationSeparator/>
      </w:r>
    </w:p>
  </w:endnote>
  <w:endnote w:type="continuationNotice" w:id="1">
    <w:p w14:paraId="3B348B38" w14:textId="77777777" w:rsidR="00394D2D" w:rsidRDefault="0039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A374" w14:textId="77777777" w:rsidR="005A1CF7" w:rsidRDefault="005A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0896EEA4" w:rsidR="005A1CF7" w:rsidRDefault="005A1CF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p w14:paraId="473D9D22" w14:textId="77777777" w:rsidR="005A1CF7" w:rsidRDefault="005A1CF7"/>
  <w:p w14:paraId="3BB7C2FA" w14:textId="77777777" w:rsidR="005A1CF7" w:rsidRDefault="005A1C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2D41" w14:textId="77777777" w:rsidR="005A1CF7" w:rsidRDefault="005A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CF02" w14:textId="77777777" w:rsidR="00394D2D" w:rsidRDefault="00394D2D">
      <w:r>
        <w:separator/>
      </w:r>
    </w:p>
  </w:footnote>
  <w:footnote w:type="continuationSeparator" w:id="0">
    <w:p w14:paraId="0271D41C" w14:textId="77777777" w:rsidR="00394D2D" w:rsidRDefault="00394D2D">
      <w:r>
        <w:continuationSeparator/>
      </w:r>
    </w:p>
  </w:footnote>
  <w:footnote w:type="continuationNotice" w:id="1">
    <w:p w14:paraId="11220E64" w14:textId="77777777" w:rsidR="00394D2D" w:rsidRDefault="00394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5A1CF7" w:rsidRDefault="005A1CF7">
    <w:r>
      <w:t xml:space="preserve">Page </w:t>
    </w:r>
    <w:r>
      <w:fldChar w:fldCharType="begin"/>
    </w:r>
    <w:r>
      <w:instrText>PAGE</w:instrText>
    </w:r>
    <w:r>
      <w:fldChar w:fldCharType="separate"/>
    </w:r>
    <w:r>
      <w:t>4</w:t>
    </w:r>
    <w:r>
      <w:fldChar w:fldCharType="end"/>
    </w:r>
    <w:r>
      <w:br/>
      <w:t>Draft prETS 300 ???: Month YYYY</w:t>
    </w:r>
  </w:p>
  <w:p w14:paraId="0A21AD97" w14:textId="77777777" w:rsidR="005A1CF7" w:rsidRDefault="005A1CF7"/>
  <w:p w14:paraId="6610F681" w14:textId="77777777" w:rsidR="005A1CF7" w:rsidRDefault="005A1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D020" w14:textId="77777777" w:rsidR="005A1CF7" w:rsidRDefault="005A1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83BB" w14:textId="77777777" w:rsidR="005A1CF7" w:rsidRDefault="005A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CF7"/>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A1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CF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Normal"/>
    <w:qFormat/>
    <w:rsid w:val="00A95EA8"/>
    <w:pPr>
      <w:numPr>
        <w:numId w:val="3"/>
      </w:numPr>
      <w:tabs>
        <w:tab w:val="left" w:pos="1701"/>
      </w:tabs>
      <w:spacing w:after="120"/>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qFormat/>
    <w:rsid w:val="00A95EA8"/>
    <w:pPr>
      <w:numPr>
        <w:numId w:val="43"/>
      </w:numPr>
      <w:spacing w:after="120"/>
    </w:pPr>
    <w:rPr>
      <w:b/>
    </w:rPr>
  </w:style>
  <w:style w:type="paragraph" w:styleId="TableofFigures">
    <w:name w:val="table of figures"/>
    <w:basedOn w:val="Normal"/>
    <w:next w:val="Normal"/>
    <w:uiPriority w:val="99"/>
    <w:unhideWhenUsed/>
    <w:rsid w:val="00A95EA8"/>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eastAsia="MS Mincho"/>
      <w:i/>
    </w:rPr>
  </w:style>
  <w:style w:type="paragraph" w:customStyle="1" w:styleId="Comments">
    <w:name w:val="Comments"/>
    <w:basedOn w:val="Normal"/>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Props1.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2.xml><?xml version="1.0" encoding="utf-8"?>
<ds:datastoreItem xmlns:ds="http://schemas.openxmlformats.org/officeDocument/2006/customXml" ds:itemID="{146FC50E-BA3C-42B7-8F55-93885E5793A5}">
  <ds:schemaRefs>
    <ds:schemaRef ds:uri="http://schemas.openxmlformats.org/officeDocument/2006/bibliography"/>
  </ds:schemaRefs>
</ds:datastoreItem>
</file>

<file path=customXml/itemProps3.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4801</Words>
  <Characters>27367</Characters>
  <Application>Microsoft Office Word</Application>
  <DocSecurity>0</DocSecurity>
  <Lines>228</Lines>
  <Paragraphs>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32104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Tangxun</cp:lastModifiedBy>
  <cp:revision>15</cp:revision>
  <cp:lastPrinted>2008-01-31T07:09:00Z</cp:lastPrinted>
  <dcterms:created xsi:type="dcterms:W3CDTF">2021-11-07T23:19:00Z</dcterms:created>
  <dcterms:modified xsi:type="dcterms:W3CDTF">2021-11-08T05:01:00Z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