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9"/>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1"/>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ＭＳ 明朝"/>
          <w:b/>
          <w:lang w:eastAsia="x-none"/>
        </w:rPr>
      </w:pPr>
      <w:r w:rsidRPr="002E2FDB">
        <w:rPr>
          <w:rFonts w:eastAsia="ＭＳ 明朝"/>
          <w:b/>
          <w:lang w:val="x-none" w:eastAsia="x-none"/>
        </w:rPr>
        <w:t xml:space="preserve">Web Conf (1st week </w:t>
      </w:r>
      <w:r w:rsidRPr="000C43B7">
        <w:rPr>
          <w:rFonts w:eastAsia="ＭＳ 明朝"/>
          <w:b/>
          <w:lang w:eastAsia="x-none"/>
        </w:rPr>
        <w:t>Tuesday</w:t>
      </w:r>
      <w:r w:rsidRPr="002E2FDB">
        <w:rPr>
          <w:rFonts w:eastAsia="ＭＳ 明朝"/>
          <w:b/>
          <w:lang w:val="x-none" w:eastAsia="x-none"/>
        </w:rPr>
        <w:t>)</w:t>
      </w:r>
      <w:r w:rsidRPr="000C43B7">
        <w:rPr>
          <w:rFonts w:eastAsia="ＭＳ 明朝"/>
          <w:b/>
          <w:lang w:eastAsia="x-none"/>
        </w:rPr>
        <w:t xml:space="preserve"> (2)</w:t>
      </w:r>
    </w:p>
    <w:p w14:paraId="03132DBF" w14:textId="77777777" w:rsidR="002E2FDB" w:rsidRPr="002E2FDB" w:rsidRDefault="002E2FDB" w:rsidP="002E2FDB">
      <w:pPr>
        <w:spacing w:before="40"/>
        <w:rPr>
          <w:rFonts w:eastAsia="ＭＳ 明朝"/>
          <w:i/>
          <w:sz w:val="18"/>
        </w:rPr>
      </w:pPr>
      <w:r w:rsidRPr="002E2FDB">
        <w:rPr>
          <w:rFonts w:eastAsia="ＭＳ 明朝"/>
          <w:i/>
          <w:sz w:val="18"/>
        </w:rPr>
        <w:t>UP details of SCG deactivation:</w:t>
      </w:r>
    </w:p>
    <w:p w14:paraId="11CEB5E8" w14:textId="77777777" w:rsidR="002E2FDB" w:rsidRPr="002E2FDB" w:rsidRDefault="00881163" w:rsidP="002E2FDB">
      <w:pPr>
        <w:spacing w:before="60"/>
        <w:ind w:left="1259" w:hanging="1259"/>
        <w:rPr>
          <w:rFonts w:eastAsia="ＭＳ 明朝"/>
        </w:rPr>
      </w:pPr>
      <w:hyperlink r:id="rId15" w:history="1">
        <w:r w:rsidR="002E2FDB" w:rsidRPr="002E2FDB">
          <w:rPr>
            <w:rFonts w:eastAsia="ＭＳ 明朝"/>
            <w:color w:val="0000FF"/>
            <w:u w:val="single"/>
          </w:rPr>
          <w:t>R2-2110870</w:t>
        </w:r>
      </w:hyperlink>
      <w:r w:rsidR="002E2FDB" w:rsidRPr="002E2FDB">
        <w:rPr>
          <w:rFonts w:eastAsia="ＭＳ 明朝"/>
        </w:rPr>
        <w:tab/>
        <w:t>UP handling while SCG is deactivated</w:t>
      </w:r>
      <w:r w:rsidR="002E2FDB" w:rsidRPr="002E2FDB">
        <w:rPr>
          <w:rFonts w:eastAsia="ＭＳ 明朝"/>
        </w:rPr>
        <w:tab/>
        <w:t>Huawei, HiSilicon</w:t>
      </w:r>
      <w:r w:rsidR="002E2FDB" w:rsidRPr="002E2FDB">
        <w:rPr>
          <w:rFonts w:eastAsia="ＭＳ 明朝"/>
        </w:rPr>
        <w:tab/>
        <w:t>discussion</w:t>
      </w:r>
      <w:r w:rsidR="002E2FDB" w:rsidRPr="002E2FDB">
        <w:rPr>
          <w:rFonts w:eastAsia="ＭＳ 明朝"/>
        </w:rPr>
        <w:tab/>
        <w:t>LTE_NR_DC_enh2-Core</w:t>
      </w:r>
    </w:p>
    <w:p w14:paraId="5CDE3273" w14:textId="77777777" w:rsidR="002E2FDB" w:rsidRPr="002E2FDB" w:rsidRDefault="002E2FDB" w:rsidP="002E2FDB">
      <w:pPr>
        <w:tabs>
          <w:tab w:val="num" w:pos="1619"/>
        </w:tabs>
        <w:spacing w:before="60"/>
        <w:ind w:left="1619" w:hanging="360"/>
        <w:rPr>
          <w:rFonts w:eastAsia="ＭＳ 明朝"/>
          <w:b/>
        </w:rPr>
      </w:pPr>
      <w:r w:rsidRPr="002E2FDB">
        <w:rPr>
          <w:rFonts w:eastAsia="ＭＳ 明朝"/>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ＭＳ 明朝"/>
        </w:rPr>
      </w:pPr>
    </w:p>
    <w:p w14:paraId="06099353" w14:textId="77777777" w:rsidR="002E2FDB" w:rsidRPr="002E2FDB" w:rsidRDefault="00881163" w:rsidP="002E2FDB">
      <w:pPr>
        <w:spacing w:before="60"/>
        <w:ind w:left="1259" w:hanging="1259"/>
        <w:rPr>
          <w:rFonts w:eastAsia="ＭＳ 明朝"/>
        </w:rPr>
      </w:pPr>
      <w:hyperlink r:id="rId16" w:history="1">
        <w:r w:rsidR="002E2FDB" w:rsidRPr="002E2FDB">
          <w:rPr>
            <w:rFonts w:eastAsia="ＭＳ 明朝"/>
            <w:color w:val="0000FF"/>
            <w:u w:val="single"/>
          </w:rPr>
          <w:t>R2-2109942</w:t>
        </w:r>
      </w:hyperlink>
      <w:r w:rsidR="002E2FDB" w:rsidRPr="002E2FDB">
        <w:rPr>
          <w:rFonts w:eastAsia="ＭＳ 明朝"/>
        </w:rPr>
        <w:tab/>
        <w:t>UP issues for SCG deactivation</w:t>
      </w:r>
      <w:r w:rsidR="002E2FDB" w:rsidRPr="002E2FDB">
        <w:rPr>
          <w:rFonts w:eastAsia="ＭＳ 明朝"/>
        </w:rPr>
        <w:tab/>
        <w:t>Samsung</w:t>
      </w:r>
      <w:r w:rsidR="002E2FDB" w:rsidRPr="002E2FDB">
        <w:rPr>
          <w:rFonts w:eastAsia="ＭＳ 明朝"/>
        </w:rPr>
        <w:tab/>
        <w:t>discussion</w:t>
      </w:r>
      <w:r w:rsidR="002E2FDB" w:rsidRPr="002E2FDB">
        <w:rPr>
          <w:rFonts w:eastAsia="ＭＳ 明朝"/>
        </w:rPr>
        <w:tab/>
        <w:t>Rel-17</w:t>
      </w:r>
      <w:r w:rsidR="002E2FDB" w:rsidRPr="002E2FDB">
        <w:rPr>
          <w:rFonts w:eastAsia="ＭＳ 明朝"/>
        </w:rPr>
        <w:tab/>
        <w:t>LTE_NR_DC_enh2-Core</w:t>
      </w:r>
    </w:p>
    <w:p w14:paraId="4937C26A" w14:textId="77777777" w:rsidR="002E2FDB" w:rsidRPr="002E2FDB" w:rsidRDefault="002E2FDB" w:rsidP="002E2FDB">
      <w:pPr>
        <w:tabs>
          <w:tab w:val="num" w:pos="1619"/>
        </w:tabs>
        <w:spacing w:before="60"/>
        <w:ind w:left="1619" w:hanging="360"/>
        <w:rPr>
          <w:rFonts w:eastAsia="ＭＳ 明朝"/>
          <w:b/>
        </w:rPr>
      </w:pPr>
      <w:r w:rsidRPr="002E2FDB">
        <w:rPr>
          <w:rFonts w:eastAsia="ＭＳ 明朝"/>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f4"/>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lastRenderedPageBreak/>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7560CB"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881163" w:rsidP="0095045D">
            <w:pPr>
              <w:pStyle w:val="TAC"/>
              <w:rPr>
                <w:lang w:val="fi-FI" w:eastAsia="ko-KR"/>
              </w:rPr>
            </w:pPr>
            <w:hyperlink r:id="rId17" w:history="1">
              <w:r w:rsidR="000C43B7" w:rsidRPr="00774AB8">
                <w:rPr>
                  <w:rStyle w:val="af5"/>
                  <w:lang w:val="fi-FI" w:eastAsia="ko-KR"/>
                </w:rPr>
                <w:t>Jarkko.t.koskela@nokia.com</w:t>
              </w:r>
            </w:hyperlink>
          </w:p>
        </w:tc>
      </w:tr>
      <w:tr w:rsidR="002071EC" w:rsidRPr="007560CB"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95045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95045D">
        <w:tc>
          <w:tcPr>
            <w:tcW w:w="3778" w:type="dxa"/>
          </w:tcPr>
          <w:p w14:paraId="0EF2910D" w14:textId="6B0DCB49" w:rsidR="001B2E7B" w:rsidRDefault="001B2E7B" w:rsidP="001B2E7B">
            <w:pPr>
              <w:pStyle w:val="TAC"/>
              <w:rPr>
                <w:lang w:eastAsia="ko-KR"/>
              </w:rPr>
            </w:pPr>
            <w:r>
              <w:rPr>
                <w:lang w:val="en-US" w:eastAsia="ko-KR"/>
              </w:rPr>
              <w:t>LGE (Geumsan Jo)</w:t>
            </w:r>
          </w:p>
        </w:tc>
        <w:tc>
          <w:tcPr>
            <w:tcW w:w="5742"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95045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95045D">
        <w:tc>
          <w:tcPr>
            <w:tcW w:w="3778" w:type="dxa"/>
          </w:tcPr>
          <w:p w14:paraId="7A902D25" w14:textId="048EF3C7" w:rsidR="005C6241" w:rsidRDefault="005C6241" w:rsidP="005C6241">
            <w:pPr>
              <w:pStyle w:val="TAC"/>
              <w:rPr>
                <w:lang w:eastAsia="ko-KR"/>
              </w:rPr>
            </w:pPr>
            <w:r>
              <w:rPr>
                <w:lang w:val="en-US" w:eastAsia="ko-KR"/>
              </w:rPr>
              <w:t>Futurewei</w:t>
            </w:r>
          </w:p>
        </w:tc>
        <w:tc>
          <w:tcPr>
            <w:tcW w:w="5742"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95045D">
        <w:tc>
          <w:tcPr>
            <w:tcW w:w="3778" w:type="dxa"/>
          </w:tcPr>
          <w:p w14:paraId="1FC5E8AE" w14:textId="1EED3116" w:rsidR="005C6241" w:rsidRPr="00480D4C" w:rsidRDefault="00480D4C" w:rsidP="005C6241">
            <w:pPr>
              <w:pStyle w:val="TAC"/>
              <w:rPr>
                <w:lang w:val="en-US" w:eastAsia="ko-KR"/>
              </w:rPr>
            </w:pPr>
            <w:r>
              <w:rPr>
                <w:lang w:val="en-US" w:eastAsia="ko-KR"/>
              </w:rPr>
              <w:t>Qualcomm</w:t>
            </w:r>
          </w:p>
        </w:tc>
        <w:tc>
          <w:tcPr>
            <w:tcW w:w="5742"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95045D">
        <w:tc>
          <w:tcPr>
            <w:tcW w:w="3778" w:type="dxa"/>
          </w:tcPr>
          <w:p w14:paraId="75C695AA" w14:textId="013783FE" w:rsidR="005C6241" w:rsidRPr="001A094D" w:rsidRDefault="001A094D" w:rsidP="005C6241">
            <w:pPr>
              <w:pStyle w:val="TAC"/>
              <w:rPr>
                <w:lang w:val="en-US" w:eastAsia="ko-KR"/>
              </w:rPr>
            </w:pPr>
            <w:r>
              <w:rPr>
                <w:lang w:val="en-US" w:eastAsia="ko-KR"/>
              </w:rPr>
              <w:t>Huawei, HiSilicon</w:t>
            </w:r>
          </w:p>
        </w:tc>
        <w:tc>
          <w:tcPr>
            <w:tcW w:w="5742" w:type="dxa"/>
          </w:tcPr>
          <w:p w14:paraId="5E68A3A6" w14:textId="0481C38C" w:rsidR="005C6241" w:rsidRPr="000C43B7" w:rsidRDefault="001A094D" w:rsidP="005C6241">
            <w:pPr>
              <w:pStyle w:val="TAC"/>
              <w:rPr>
                <w:rFonts w:eastAsia="DengXian"/>
                <w:lang w:val="fi-FI" w:eastAsia="zh-CN"/>
              </w:rPr>
            </w:pPr>
            <w:r>
              <w:rPr>
                <w:lang w:val="en-GB" w:eastAsia="ko-KR"/>
              </w:rPr>
              <w:t>david.lecompte</w:t>
            </w:r>
            <w:r w:rsidRPr="00B41AB7">
              <w:rPr>
                <w:rFonts w:eastAsia="DengXian"/>
                <w:lang w:val="fi-FI" w:eastAsia="zh-CN"/>
              </w:rPr>
              <w:t>@</w:t>
            </w:r>
            <w:r>
              <w:rPr>
                <w:rFonts w:eastAsia="DengXian"/>
                <w:lang w:val="fi-FI" w:eastAsia="zh-CN"/>
              </w:rPr>
              <w:t>com</w:t>
            </w:r>
          </w:p>
        </w:tc>
      </w:tr>
      <w:tr w:rsidR="00A375A3" w14:paraId="6576D184" w14:textId="77777777" w:rsidTr="0095045D">
        <w:tc>
          <w:tcPr>
            <w:tcW w:w="3778"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2"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396D01" w14:paraId="7974BCD6" w14:textId="77777777" w:rsidTr="0095045D">
        <w:tc>
          <w:tcPr>
            <w:tcW w:w="3778" w:type="dxa"/>
          </w:tcPr>
          <w:p w14:paraId="7D3F1387" w14:textId="3AF860C3" w:rsidR="00396D01" w:rsidRPr="00396D01" w:rsidRDefault="00396D01" w:rsidP="005C6241">
            <w:pPr>
              <w:pStyle w:val="TAC"/>
              <w:rPr>
                <w:rFonts w:eastAsiaTheme="minorEastAsia" w:hint="eastAsia"/>
                <w:lang w:val="en-US" w:eastAsia="ja-JP"/>
              </w:rPr>
            </w:pPr>
            <w:r>
              <w:rPr>
                <w:rFonts w:eastAsiaTheme="minorEastAsia" w:hint="eastAsia"/>
                <w:lang w:val="en-US" w:eastAsia="ja-JP"/>
              </w:rPr>
              <w:t>N</w:t>
            </w:r>
            <w:r>
              <w:rPr>
                <w:rFonts w:eastAsiaTheme="minorEastAsia"/>
                <w:lang w:val="en-US" w:eastAsia="ja-JP"/>
              </w:rPr>
              <w:t>EC</w:t>
            </w:r>
          </w:p>
        </w:tc>
        <w:tc>
          <w:tcPr>
            <w:tcW w:w="5742" w:type="dxa"/>
          </w:tcPr>
          <w:p w14:paraId="77DD222B" w14:textId="0D9623CD" w:rsidR="00396D01" w:rsidRPr="00396D01" w:rsidRDefault="00396D01" w:rsidP="005C6241">
            <w:pPr>
              <w:pStyle w:val="TAC"/>
              <w:rPr>
                <w:rFonts w:eastAsiaTheme="minorEastAsia" w:hint="eastAsia"/>
                <w:lang w:val="en-GB" w:eastAsia="ja-JP"/>
              </w:rPr>
            </w:pPr>
            <w:r w:rsidRPr="00396D01">
              <w:rPr>
                <w:lang w:val="en-GB" w:eastAsia="ja-JP"/>
              </w:rPr>
              <w:t>hisashi.futaki@nec.com</w:t>
            </w:r>
            <w:r>
              <w:rPr>
                <w:rFonts w:eastAsiaTheme="minorEastAsia"/>
                <w:lang w:val="en-GB" w:eastAsia="ja-JP"/>
              </w:rPr>
              <w:t xml:space="preserve"> </w:t>
            </w:r>
          </w:p>
        </w:tc>
      </w:tr>
      <w:tr w:rsidR="00396D01" w14:paraId="1A6C044F" w14:textId="77777777" w:rsidTr="0095045D">
        <w:tc>
          <w:tcPr>
            <w:tcW w:w="3778" w:type="dxa"/>
          </w:tcPr>
          <w:p w14:paraId="44DC36C1" w14:textId="77777777" w:rsidR="00396D01" w:rsidRDefault="00396D01" w:rsidP="005C6241">
            <w:pPr>
              <w:pStyle w:val="TAC"/>
              <w:rPr>
                <w:rFonts w:hint="eastAsia"/>
                <w:lang w:val="en-US" w:eastAsia="ja-JP"/>
              </w:rPr>
            </w:pPr>
          </w:p>
        </w:tc>
        <w:tc>
          <w:tcPr>
            <w:tcW w:w="5742" w:type="dxa"/>
          </w:tcPr>
          <w:p w14:paraId="4F2D5D95" w14:textId="77777777" w:rsidR="00396D01" w:rsidRDefault="00396D01" w:rsidP="005C6241">
            <w:pPr>
              <w:pStyle w:val="TAC"/>
              <w:rPr>
                <w:lang w:val="en-GB" w:eastAsia="ja-JP"/>
              </w:rPr>
            </w:pP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1"/>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rFonts w:ascii="Times New Roman" w:hAnsi="Times New Roman"/>
          <w:sz w:val="18"/>
        </w:rPr>
      </w:pPr>
      <w:r w:rsidRPr="00466367">
        <w:rPr>
          <w:rFonts w:ascii="Times New Roman" w:hAnsi="Times New Roman"/>
          <w:sz w:val="18"/>
        </w:rPr>
        <w:t>If a reset of the MAC entity is requested by upper layers, the MAC entity shall:</w:t>
      </w:r>
    </w:p>
    <w:p w14:paraId="3F03F9E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initialize </w:t>
      </w:r>
      <w:r w:rsidRPr="00466367">
        <w:rPr>
          <w:rFonts w:ascii="Times New Roman" w:hAnsi="Times New Roman"/>
          <w:i/>
          <w:sz w:val="18"/>
        </w:rPr>
        <w:t>Bj</w:t>
      </w:r>
      <w:r w:rsidRPr="00466367">
        <w:rPr>
          <w:rFonts w:ascii="Times New Roman" w:hAnsi="Times New Roman"/>
          <w:sz w:val="18"/>
        </w:rPr>
        <w:t xml:space="preserve"> for each logical channel to zero;</w:t>
      </w:r>
    </w:p>
    <w:p w14:paraId="1697ED04" w14:textId="77777777" w:rsidR="00466367" w:rsidRPr="00466367" w:rsidRDefault="00466367" w:rsidP="00466367">
      <w:pPr>
        <w:ind w:left="568" w:hanging="284"/>
        <w:rPr>
          <w:rFonts w:ascii="Times New Roman" w:hAnsi="Times New Roman"/>
          <w:sz w:val="18"/>
          <w:lang w:eastAsia="fr-FR"/>
        </w:rPr>
      </w:pPr>
      <w:r w:rsidRPr="00466367">
        <w:rPr>
          <w:rFonts w:ascii="Times New Roman" w:hAnsi="Times New Roman"/>
          <w:sz w:val="18"/>
          <w:lang w:eastAsia="fr-FR"/>
        </w:rPr>
        <w:t>1&gt;</w:t>
      </w:r>
      <w:r w:rsidRPr="00466367">
        <w:rPr>
          <w:rFonts w:ascii="Times New Roman" w:hAnsi="Times New Roman"/>
          <w:sz w:val="18"/>
          <w:lang w:eastAsia="fr-FR"/>
        </w:rPr>
        <w:tab/>
        <w:t xml:space="preserve">initialize </w:t>
      </w:r>
      <w:r w:rsidRPr="00466367">
        <w:rPr>
          <w:rFonts w:ascii="Times New Roman" w:hAnsi="Times New Roman"/>
          <w:i/>
          <w:sz w:val="18"/>
          <w:lang w:eastAsia="fr-FR"/>
        </w:rPr>
        <w:t>SBj</w:t>
      </w:r>
      <w:r w:rsidRPr="00466367">
        <w:rPr>
          <w:rFonts w:ascii="Times New Roman" w:hAnsi="Times New Roman"/>
          <w:sz w:val="18"/>
          <w:lang w:eastAsia="fr-FR"/>
        </w:rPr>
        <w:t xml:space="preserve"> for each logical channel to zero if Sidelink resource allocation mode 1 is configured by RRC;</w:t>
      </w:r>
    </w:p>
    <w:p w14:paraId="5D6C65DA"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stop (if running) all timers;</w:t>
      </w:r>
    </w:p>
    <w:p w14:paraId="228C4D44"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highlight w:val="cyan"/>
        </w:rPr>
        <w:t>1&gt;</w:t>
      </w:r>
      <w:r w:rsidRPr="00466367">
        <w:rPr>
          <w:rFonts w:ascii="Times New Roman" w:hAnsi="Times New Roman"/>
          <w:sz w:val="18"/>
          <w:highlight w:val="cyan"/>
        </w:rPr>
        <w:tab/>
        <w:t xml:space="preserve">consider all </w:t>
      </w:r>
      <w:r w:rsidRPr="00466367">
        <w:rPr>
          <w:rFonts w:ascii="Times New Roman" w:hAnsi="Times New Roman"/>
          <w:i/>
          <w:sz w:val="18"/>
          <w:highlight w:val="cyan"/>
        </w:rPr>
        <w:t>timeAlignmentTimer</w:t>
      </w:r>
      <w:r w:rsidRPr="00466367">
        <w:rPr>
          <w:rFonts w:ascii="Times New Roman" w:hAnsi="Times New Roman"/>
          <w:sz w:val="18"/>
          <w:highlight w:val="cyan"/>
        </w:rPr>
        <w:t>s as expired and perform the corresponding actions in clause 5.2;</w:t>
      </w:r>
    </w:p>
    <w:p w14:paraId="7B7CE0D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set the NDIs for all uplink HARQ processes to the value 0;</w:t>
      </w:r>
    </w:p>
    <w:p w14:paraId="00CAD90D"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sets the NDIs for all HARQ process IDs to the value 0 for monitoring PDCCH in Sidelink resource allocation mode 1;</w:t>
      </w:r>
    </w:p>
    <w:p w14:paraId="00F570B6"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stop, if any, ongoing Random Access procedure;</w:t>
      </w:r>
    </w:p>
    <w:p w14:paraId="62F1B74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r>
      <w:r w:rsidRPr="00466367">
        <w:rPr>
          <w:rFonts w:ascii="Times New Roman" w:eastAsia="PMingLiU" w:hAnsi="Times New Roman"/>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Msg3 buffer;</w:t>
      </w:r>
    </w:p>
    <w:p w14:paraId="463EC464"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MSGA buffer;</w:t>
      </w:r>
    </w:p>
    <w:p w14:paraId="7101169A"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Scheduling Request procedure;</w:t>
      </w:r>
    </w:p>
    <w:p w14:paraId="51CD0FD3"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Buffer Status Reporting procedure;</w:t>
      </w:r>
    </w:p>
    <w:p w14:paraId="42E4F17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Power Headroom Reporting procedure;</w:t>
      </w:r>
    </w:p>
    <w:p w14:paraId="6411081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consistent LBT failure;</w:t>
      </w:r>
    </w:p>
    <w:p w14:paraId="7C70900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BFR;</w:t>
      </w:r>
    </w:p>
    <w:p w14:paraId="0553554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Sidelink Buffer Status Reporting procedure;</w:t>
      </w:r>
    </w:p>
    <w:p w14:paraId="68FB9015"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Pre-emptive Buffer Status Reporting procedure;</w:t>
      </w:r>
    </w:p>
    <w:p w14:paraId="15D3692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Recommended bit rate query procedure;</w:t>
      </w:r>
    </w:p>
    <w:p w14:paraId="6A7673E8"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Configured uplink grant confirmation;</w:t>
      </w:r>
    </w:p>
    <w:p w14:paraId="5D496A97"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configured sidelink grant confirmation;</w:t>
      </w:r>
    </w:p>
    <w:p w14:paraId="648AFE7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Desired Guard Symbol query;</w:t>
      </w:r>
    </w:p>
    <w:p w14:paraId="4352073B"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the soft buffers for all DL HARQ processes;</w:t>
      </w:r>
    </w:p>
    <w:p w14:paraId="3CEC4C02"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release, if any, Temporary C-RNTI;</w:t>
      </w:r>
    </w:p>
    <w:p w14:paraId="5FCC6ADF"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BFI_COUNTER</w:t>
      </w:r>
      <w:r w:rsidRPr="00466367">
        <w:rPr>
          <w:rFonts w:ascii="Times New Roman" w:hAnsi="Times New Roman"/>
          <w:sz w:val="18"/>
        </w:rPr>
        <w:t>s;</w:t>
      </w:r>
    </w:p>
    <w:p w14:paraId="402CE38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LBT_COUNTERs</w:t>
      </w:r>
      <w:r w:rsidRPr="00466367">
        <w:rPr>
          <w:rFonts w:ascii="Times New Roman" w:hAnsi="Times New Roman"/>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PSCell continues running when the SCG is switched from </w:t>
      </w:r>
      <w:r w:rsidRPr="000C43B7">
        <w:rPr>
          <w:highlight w:val="green"/>
        </w:rPr>
        <w:lastRenderedPageBreak/>
        <w:t>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f4"/>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a9"/>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9"/>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9"/>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205BD" w:rsidRDefault="00476BF7" w:rsidP="004E3250">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BA29864" w14:textId="2377C8F4" w:rsidR="008508DA" w:rsidRPr="004205BD" w:rsidRDefault="00476BF7" w:rsidP="004E3250">
            <w:pPr>
              <w:rPr>
                <w:rFonts w:eastAsia="DengXian"/>
                <w:sz w:val="20"/>
                <w:szCs w:val="20"/>
              </w:rPr>
            </w:pPr>
            <w:r w:rsidRPr="004205BD">
              <w:rPr>
                <w:rFonts w:eastAsia="DengXian"/>
                <w:sz w:val="20"/>
                <w:szCs w:val="20"/>
              </w:rPr>
              <w:t>Option 4</w:t>
            </w:r>
          </w:p>
        </w:tc>
        <w:tc>
          <w:tcPr>
            <w:tcW w:w="6249" w:type="dxa"/>
            <w:vAlign w:val="center"/>
          </w:tcPr>
          <w:p w14:paraId="6107C3AC" w14:textId="77777777" w:rsidR="008508DA" w:rsidRPr="004205BD" w:rsidRDefault="00476BF7" w:rsidP="004E3250">
            <w:pPr>
              <w:rPr>
                <w:rFonts w:eastAsia="DengXian"/>
                <w:sz w:val="20"/>
                <w:szCs w:val="20"/>
                <w:lang w:val="en-GB"/>
              </w:rPr>
            </w:pPr>
            <w:r w:rsidRPr="004205BD">
              <w:rPr>
                <w:rFonts w:eastAsia="DengXian"/>
                <w:sz w:val="20"/>
                <w:szCs w:val="20"/>
                <w:lang w:val="en-GB"/>
              </w:rPr>
              <w:t xml:space="preserve">During SCG deactivation, the UE behavior looks like SCG failure. UE just </w:t>
            </w:r>
            <w:r w:rsidRPr="004205BD">
              <w:rPr>
                <w:rFonts w:eastAsia="DengXian" w:hint="eastAsia"/>
                <w:sz w:val="20"/>
                <w:szCs w:val="20"/>
                <w:lang w:val="en-GB"/>
              </w:rPr>
              <w:t>suspend</w:t>
            </w:r>
            <w:r w:rsidRPr="004205BD">
              <w:rPr>
                <w:rFonts w:eastAsia="DengXian"/>
                <w:sz w:val="20"/>
                <w:szCs w:val="20"/>
                <w:lang w:val="en-GB"/>
              </w:rPr>
              <w:t xml:space="preserve"> </w:t>
            </w:r>
            <w:r w:rsidRPr="004205BD">
              <w:rPr>
                <w:rFonts w:eastAsia="DengXian" w:hint="eastAsia"/>
                <w:sz w:val="20"/>
                <w:szCs w:val="20"/>
                <w:lang w:val="en-GB"/>
              </w:rPr>
              <w:t>SCG</w:t>
            </w:r>
            <w:r w:rsidRPr="004205BD">
              <w:rPr>
                <w:rFonts w:eastAsia="DengXian"/>
                <w:sz w:val="20"/>
                <w:szCs w:val="20"/>
                <w:lang w:val="en-GB"/>
              </w:rPr>
              <w:t xml:space="preserve"> transmission. So the MAC should be reset.</w:t>
            </w:r>
          </w:p>
          <w:p w14:paraId="166529A5" w14:textId="1EA758FA" w:rsidR="00476BF7" w:rsidRPr="004205BD" w:rsidRDefault="00476BF7" w:rsidP="004E3250">
            <w:pPr>
              <w:rPr>
                <w:rFonts w:eastAsia="DengXian"/>
                <w:sz w:val="20"/>
                <w:szCs w:val="20"/>
                <w:lang w:val="en-GB"/>
              </w:rPr>
            </w:pPr>
            <w:r w:rsidRPr="004205BD">
              <w:rPr>
                <w:rFonts w:eastAsia="DengXian"/>
                <w:sz w:val="20"/>
                <w:szCs w:val="20"/>
                <w:lang w:val="en-GB"/>
              </w:rPr>
              <w:t>If MAC reset, the legacy behavior is to stop all MAC timer including TAT timer.</w:t>
            </w:r>
          </w:p>
          <w:p w14:paraId="5D62DE01" w14:textId="77777777" w:rsidR="00476BF7" w:rsidRPr="004205BD" w:rsidRDefault="00476BF7" w:rsidP="004E3250">
            <w:pPr>
              <w:rPr>
                <w:rFonts w:eastAsia="DengXian"/>
                <w:sz w:val="20"/>
                <w:szCs w:val="20"/>
                <w:lang w:val="en-GB"/>
              </w:rPr>
            </w:pPr>
            <w:r w:rsidRPr="004205BD">
              <w:rPr>
                <w:rFonts w:eastAsia="DengXian"/>
                <w:sz w:val="20"/>
                <w:szCs w:val="20"/>
                <w:lang w:val="en-GB"/>
              </w:rPr>
              <w:t>So I think we should not change legacy behavior of MAC reset.</w:t>
            </w:r>
          </w:p>
          <w:p w14:paraId="653FD280" w14:textId="40EA10C8" w:rsidR="00476BF7" w:rsidRPr="004205BD" w:rsidRDefault="00476BF7" w:rsidP="004E3250">
            <w:pPr>
              <w:rPr>
                <w:rFonts w:eastAsia="DengXian"/>
                <w:sz w:val="20"/>
                <w:szCs w:val="20"/>
                <w:lang w:val="en-GB"/>
              </w:rPr>
            </w:pPr>
            <w:r w:rsidRPr="004205BD">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8E7052">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r w:rsidRPr="004205BD">
              <w:rPr>
                <w:i/>
                <w:iCs/>
                <w:sz w:val="20"/>
                <w:szCs w:val="20"/>
                <w:lang w:val="en-GB"/>
              </w:rPr>
              <w:t xml:space="preserve">timeAlignmentTimer </w:t>
            </w:r>
            <w:r w:rsidRPr="004205BD">
              <w:rPr>
                <w:sz w:val="20"/>
                <w:szCs w:val="20"/>
                <w:lang w:val="en-GB"/>
              </w:rPr>
              <w:t xml:space="preserve">as expired. </w:t>
            </w:r>
          </w:p>
        </w:tc>
      </w:tr>
      <w:tr w:rsidR="00B41AB7" w:rsidRPr="000C43B7" w14:paraId="0CAA6290" w14:textId="77777777" w:rsidTr="004205B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8E7052">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8E7052">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8E7052">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8E7052">
        <w:tc>
          <w:tcPr>
            <w:tcW w:w="1415" w:type="dxa"/>
            <w:vAlign w:val="center"/>
          </w:tcPr>
          <w:p w14:paraId="39D8CE03" w14:textId="3B277CDF" w:rsidR="005C6241" w:rsidRPr="004205BD" w:rsidRDefault="005C6241" w:rsidP="005C6241">
            <w:pPr>
              <w:jc w:val="center"/>
              <w:rPr>
                <w:sz w:val="20"/>
                <w:szCs w:val="20"/>
                <w:lang w:val="en-GB"/>
              </w:rPr>
            </w:pPr>
            <w:r w:rsidRPr="004205BD">
              <w:rPr>
                <w:sz w:val="20"/>
                <w:szCs w:val="20"/>
                <w:lang w:val="en-GB"/>
              </w:rPr>
              <w:t>Futurewei</w:t>
            </w:r>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4205BD">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 xml:space="preserve">Option 2 for SCG </w:t>
            </w:r>
            <w:r w:rsidRPr="004205BD">
              <w:rPr>
                <w:rFonts w:eastAsia="Malgun Gothic"/>
                <w:sz w:val="20"/>
                <w:szCs w:val="20"/>
              </w:rPr>
              <w:lastRenderedPageBreak/>
              <w:t>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lastRenderedPageBreak/>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lastRenderedPageBreak/>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8E7052">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lastRenderedPageBreak/>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8E7052">
        <w:tc>
          <w:tcPr>
            <w:tcW w:w="1415" w:type="dxa"/>
            <w:vAlign w:val="center"/>
          </w:tcPr>
          <w:p w14:paraId="65766B7A" w14:textId="632AAD83" w:rsidR="001A094D" w:rsidRPr="004205BD" w:rsidRDefault="001A094D" w:rsidP="001A094D">
            <w:pPr>
              <w:jc w:val="center"/>
              <w:rPr>
                <w:sz w:val="20"/>
                <w:szCs w:val="20"/>
              </w:rPr>
            </w:pPr>
            <w:r>
              <w:rPr>
                <w:szCs w:val="20"/>
                <w:lang w:val="en-GB"/>
              </w:rPr>
              <w:t>Huawei, HiSilicon</w:t>
            </w:r>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8E7052">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8E7052">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ut firstly good to make this as working assumption, then RAN2 can clarify what to do. Depending on the expected complexity, can decide finally.</w:t>
            </w:r>
          </w:p>
        </w:tc>
      </w:tr>
      <w:tr w:rsidR="002A6C26" w:rsidRPr="000C43B7" w14:paraId="70E86252" w14:textId="77777777" w:rsidTr="008E7052">
        <w:tc>
          <w:tcPr>
            <w:tcW w:w="1415" w:type="dxa"/>
            <w:vAlign w:val="center"/>
          </w:tcPr>
          <w:p w14:paraId="2EF00F14" w14:textId="77777777" w:rsidR="002A6C26" w:rsidRDefault="002A6C26" w:rsidP="002A6C26">
            <w:pPr>
              <w:jc w:val="center"/>
              <w:rPr>
                <w:rFonts w:hint="eastAsia"/>
                <w:sz w:val="20"/>
                <w:szCs w:val="20"/>
              </w:rPr>
            </w:pPr>
          </w:p>
        </w:tc>
        <w:tc>
          <w:tcPr>
            <w:tcW w:w="1699" w:type="dxa"/>
          </w:tcPr>
          <w:p w14:paraId="4A7F4882" w14:textId="77777777" w:rsidR="002A6C26" w:rsidRDefault="002A6C26" w:rsidP="002A6C26">
            <w:pPr>
              <w:rPr>
                <w:rFonts w:hint="eastAsia"/>
                <w:sz w:val="20"/>
                <w:szCs w:val="20"/>
              </w:rPr>
            </w:pPr>
          </w:p>
        </w:tc>
        <w:tc>
          <w:tcPr>
            <w:tcW w:w="6249" w:type="dxa"/>
            <w:vAlign w:val="center"/>
          </w:tcPr>
          <w:p w14:paraId="100D7FB1" w14:textId="77777777" w:rsidR="002A6C26" w:rsidRDefault="002A6C26" w:rsidP="002A6C26">
            <w:pPr>
              <w:rPr>
                <w:rFonts w:hint="eastAsia"/>
                <w:sz w:val="20"/>
                <w:szCs w:val="20"/>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f4"/>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a9"/>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9"/>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rFonts w:ascii="Times New Roman" w:hAnsi="Times New Roman"/>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w:t>
            </w:r>
            <w:r w:rsidRPr="004205BD">
              <w:rPr>
                <w:rFonts w:eastAsia="PMingLiU"/>
                <w:sz w:val="20"/>
                <w:szCs w:val="20"/>
              </w:rPr>
              <w:lastRenderedPageBreak/>
              <w:t xml:space="preserve">be re-started, and this is to follow the legacy behavior, see below: </w:t>
            </w:r>
          </w:p>
          <w:p w14:paraId="5DCA49D7" w14:textId="77777777" w:rsidR="00B41AB7" w:rsidRPr="004205BD" w:rsidRDefault="00B41AB7" w:rsidP="00B41AB7">
            <w:pPr>
              <w:pStyle w:val="B1"/>
              <w:rPr>
                <w:rFonts w:asciiTheme="minorHAnsi" w:eastAsia="PMingLiU" w:hAnsiTheme="minorHAnsi"/>
                <w:sz w:val="20"/>
                <w:szCs w:val="20"/>
              </w:rPr>
            </w:pPr>
            <w:r w:rsidRPr="004205BD">
              <w:rPr>
                <w:rFonts w:asciiTheme="minorHAnsi" w:eastAsia="PMingLiU" w:hAnsiTheme="minorHAnsi"/>
                <w:sz w:val="20"/>
                <w:szCs w:val="20"/>
              </w:rPr>
              <w:t>1&gt;</w:t>
            </w:r>
            <w:r w:rsidRPr="004205BD">
              <w:rPr>
                <w:rFonts w:asciiTheme="minorHAnsi" w:eastAsia="PMingLiU" w:hAnsiTheme="minorHAnsi"/>
                <w:sz w:val="20"/>
                <w:szCs w:val="20"/>
              </w:rPr>
              <w:tab/>
              <w:t>if it is the first UL resource allocated for a new transmission since the last MAC reset:</w:t>
            </w:r>
          </w:p>
          <w:p w14:paraId="347F94EC" w14:textId="77777777" w:rsidR="00B41AB7" w:rsidRPr="004205BD" w:rsidRDefault="00B41AB7" w:rsidP="00B41AB7">
            <w:pPr>
              <w:pStyle w:val="B2"/>
              <w:rPr>
                <w:rFonts w:asciiTheme="minorHAnsi" w:eastAsia="PMingLiU" w:hAnsiTheme="minorHAnsi"/>
                <w:sz w:val="20"/>
                <w:szCs w:val="20"/>
                <w:lang w:eastAsia="zh-CN"/>
              </w:rPr>
            </w:pPr>
            <w:r w:rsidRPr="004205BD">
              <w:rPr>
                <w:rFonts w:asciiTheme="minorHAnsi" w:eastAsia="PMingLiU" w:hAnsiTheme="minorHAnsi"/>
                <w:sz w:val="20"/>
                <w:szCs w:val="20"/>
                <w:lang w:eastAsia="zh-CN"/>
              </w:rPr>
              <w:t>2&gt;</w:t>
            </w:r>
            <w:r w:rsidRPr="004205BD">
              <w:rPr>
                <w:rFonts w:asciiTheme="minorHAnsi" w:eastAsia="PMingLiU" w:hAnsiTheme="minorHAnsi"/>
                <w:sz w:val="20"/>
                <w:szCs w:val="20"/>
                <w:lang w:eastAsia="zh-CN"/>
              </w:rPr>
              <w:tab/>
              <w:t>start phr-PeriodicTimer.</w:t>
            </w:r>
          </w:p>
          <w:p w14:paraId="1D80F715" w14:textId="77777777" w:rsidR="00B41AB7" w:rsidRPr="004205BD" w:rsidRDefault="00B41AB7" w:rsidP="00B41AB7">
            <w:pPr>
              <w:rPr>
                <w:rFonts w:eastAsia="PMingLiU"/>
                <w:sz w:val="20"/>
                <w:szCs w:val="20"/>
              </w:rPr>
            </w:pPr>
            <w:r w:rsidRPr="004205BD">
              <w:rPr>
                <w:rFonts w:eastAsia="PMingLiU"/>
                <w:sz w:val="20"/>
                <w:szCs w:val="20"/>
              </w:rPr>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7A1BCE">
        <w:tc>
          <w:tcPr>
            <w:tcW w:w="1555" w:type="dxa"/>
            <w:vAlign w:val="center"/>
          </w:tcPr>
          <w:p w14:paraId="0747E97E" w14:textId="228BE6DE" w:rsidR="00B41AB7" w:rsidRPr="004205BD" w:rsidRDefault="003E5CA1" w:rsidP="00B41AB7">
            <w:pPr>
              <w:jc w:val="center"/>
              <w:rPr>
                <w:sz w:val="20"/>
                <w:szCs w:val="20"/>
              </w:rPr>
            </w:pPr>
            <w:r w:rsidRPr="004205BD">
              <w:rPr>
                <w:sz w:val="20"/>
                <w:szCs w:val="20"/>
              </w:rPr>
              <w:lastRenderedPageBreak/>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7A1BCE">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8F7302">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7A1BCE">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7A1BCE">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7A1BCE">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r>
              <w:rPr>
                <w:rFonts w:eastAsiaTheme="minorEastAsia" w:hint="eastAsia"/>
                <w:sz w:val="20"/>
                <w:szCs w:val="20"/>
              </w:rPr>
              <w:t>B</w:t>
            </w:r>
            <w:r>
              <w:rPr>
                <w:rFonts w:eastAsiaTheme="minorEastAsia"/>
                <w:sz w:val="20"/>
                <w:szCs w:val="20"/>
              </w:rPr>
              <w:t>asically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r w:rsidRPr="007B2F77">
              <w:rPr>
                <w:i/>
                <w:iCs/>
              </w:rPr>
              <w:t>timeAlignmentTimer</w:t>
            </w:r>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r w:rsidRPr="00AA7CC0">
              <w:rPr>
                <w:i/>
                <w:highlight w:val="green"/>
              </w:rPr>
              <w:t>timeAlignmentTimer</w:t>
            </w:r>
            <w:r w:rsidRPr="00AA7CC0">
              <w:rPr>
                <w:highlight w:val="green"/>
              </w:rPr>
              <w:t>s as expired;</w:t>
            </w:r>
          </w:p>
          <w:p w14:paraId="27290001" w14:textId="4AACCF3B" w:rsidR="002A6C26" w:rsidRPr="001B0EB6" w:rsidRDefault="002A6C26" w:rsidP="006C6F52">
            <w:pPr>
              <w:ind w:firstLineChars="400" w:firstLine="84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2A6C26" w14:paraId="3D7467D1" w14:textId="77777777" w:rsidTr="007A1BCE">
        <w:tc>
          <w:tcPr>
            <w:tcW w:w="1555" w:type="dxa"/>
            <w:vAlign w:val="center"/>
          </w:tcPr>
          <w:p w14:paraId="5B9ADAA3" w14:textId="77777777" w:rsidR="002A6C26" w:rsidRPr="001B0EB6" w:rsidRDefault="002A6C26" w:rsidP="002A6C26">
            <w:pPr>
              <w:jc w:val="center"/>
              <w:rPr>
                <w:szCs w:val="20"/>
              </w:rPr>
            </w:pPr>
          </w:p>
        </w:tc>
        <w:tc>
          <w:tcPr>
            <w:tcW w:w="7796" w:type="dxa"/>
            <w:vAlign w:val="center"/>
          </w:tcPr>
          <w:p w14:paraId="68DB3B07" w14:textId="77777777" w:rsidR="002A6C26" w:rsidRPr="001B0EB6" w:rsidRDefault="002A6C26" w:rsidP="002A6C26">
            <w:pPr>
              <w:rPr>
                <w:szCs w:val="20"/>
              </w:rPr>
            </w:pPr>
          </w:p>
        </w:tc>
      </w:tr>
      <w:tr w:rsidR="002A6C26" w14:paraId="0677667B" w14:textId="77777777" w:rsidTr="007A1BCE">
        <w:tc>
          <w:tcPr>
            <w:tcW w:w="1555" w:type="dxa"/>
            <w:vAlign w:val="center"/>
          </w:tcPr>
          <w:p w14:paraId="35BF8276" w14:textId="77777777" w:rsidR="002A6C26" w:rsidRPr="001B0EB6" w:rsidRDefault="002A6C26" w:rsidP="002A6C26">
            <w:pPr>
              <w:jc w:val="center"/>
              <w:rPr>
                <w:szCs w:val="20"/>
              </w:rPr>
            </w:pPr>
          </w:p>
        </w:tc>
        <w:tc>
          <w:tcPr>
            <w:tcW w:w="7796" w:type="dxa"/>
            <w:vAlign w:val="center"/>
          </w:tcPr>
          <w:p w14:paraId="0F428866" w14:textId="77777777" w:rsidR="002A6C26" w:rsidRPr="001B0EB6" w:rsidRDefault="002A6C26" w:rsidP="002A6C26">
            <w:pPr>
              <w:rPr>
                <w:szCs w:val="20"/>
              </w:rPr>
            </w:pPr>
          </w:p>
        </w:tc>
      </w:tr>
      <w:tr w:rsidR="002A6C26" w14:paraId="3295F979" w14:textId="77777777" w:rsidTr="007A1BCE">
        <w:tc>
          <w:tcPr>
            <w:tcW w:w="1555" w:type="dxa"/>
            <w:vAlign w:val="center"/>
          </w:tcPr>
          <w:p w14:paraId="2DA343B8" w14:textId="77777777" w:rsidR="002A6C26" w:rsidRPr="001B0EB6" w:rsidRDefault="002A6C26" w:rsidP="002A6C26">
            <w:pPr>
              <w:jc w:val="center"/>
              <w:rPr>
                <w:szCs w:val="20"/>
              </w:rPr>
            </w:pPr>
          </w:p>
        </w:tc>
        <w:tc>
          <w:tcPr>
            <w:tcW w:w="7796" w:type="dxa"/>
            <w:vAlign w:val="center"/>
          </w:tcPr>
          <w:p w14:paraId="4EE49787" w14:textId="77777777" w:rsidR="002A6C26" w:rsidRPr="001B0EB6" w:rsidRDefault="002A6C26" w:rsidP="002A6C26">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1"/>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1"/>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the wording “Upon SCG deactivation, except for timeAlignmentTimer associated with PTAG, if configured, consider all timeAlignmentTimers as expired.”</w:t>
      </w:r>
      <w:r w:rsidRPr="000C43B7">
        <w:rPr>
          <w:rFonts w:eastAsia="Malgun Gothic"/>
          <w:b/>
        </w:rPr>
        <w:t xml:space="preserve">?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9"/>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205BD" w:rsidRDefault="00476BF7" w:rsidP="0095045D">
            <w:pPr>
              <w:jc w:val="center"/>
              <w:rPr>
                <w:rFonts w:eastAsia="DengXian"/>
                <w:sz w:val="20"/>
                <w:szCs w:val="20"/>
              </w:rPr>
            </w:pPr>
            <w:r w:rsidRPr="004205BD">
              <w:rPr>
                <w:rFonts w:eastAsia="DengXian" w:hint="eastAsia"/>
                <w:sz w:val="20"/>
                <w:szCs w:val="20"/>
              </w:rPr>
              <w:lastRenderedPageBreak/>
              <w:t>O</w:t>
            </w:r>
            <w:r w:rsidRPr="004205BD">
              <w:rPr>
                <w:rFonts w:eastAsia="DengXian"/>
                <w:sz w:val="20"/>
                <w:szCs w:val="20"/>
              </w:rPr>
              <w:t>PPO</w:t>
            </w:r>
          </w:p>
        </w:tc>
        <w:tc>
          <w:tcPr>
            <w:tcW w:w="1699" w:type="dxa"/>
          </w:tcPr>
          <w:p w14:paraId="078083C3" w14:textId="74B5F0A5" w:rsidR="00C2267D" w:rsidRPr="004205BD" w:rsidRDefault="00476BF7" w:rsidP="0095045D">
            <w:pPr>
              <w:rPr>
                <w:rFonts w:eastAsia="DengXian"/>
                <w:sz w:val="20"/>
                <w:szCs w:val="20"/>
              </w:rPr>
            </w:pPr>
            <w:r w:rsidRPr="004205BD">
              <w:rPr>
                <w:rFonts w:eastAsia="DengXian"/>
                <w:sz w:val="20"/>
                <w:szCs w:val="20"/>
              </w:rPr>
              <w:t xml:space="preserve">Agree </w:t>
            </w:r>
          </w:p>
        </w:tc>
        <w:tc>
          <w:tcPr>
            <w:tcW w:w="6249" w:type="dxa"/>
            <w:vAlign w:val="center"/>
          </w:tcPr>
          <w:p w14:paraId="684B8556" w14:textId="68E5F54A" w:rsidR="00C2267D" w:rsidRPr="004205BD" w:rsidRDefault="00476BF7" w:rsidP="0095045D">
            <w:pPr>
              <w:rPr>
                <w:rFonts w:eastAsia="DengXian"/>
                <w:sz w:val="20"/>
                <w:szCs w:val="20"/>
              </w:rPr>
            </w:pPr>
            <w:r w:rsidRPr="004205BD">
              <w:rPr>
                <w:rFonts w:eastAsia="DengXian" w:hint="eastAsia"/>
                <w:sz w:val="20"/>
                <w:szCs w:val="20"/>
                <w:lang w:val="en-GB"/>
              </w:rPr>
              <w:t>O</w:t>
            </w:r>
            <w:r w:rsidRPr="004205BD">
              <w:rPr>
                <w:rFonts w:eastAsia="DengXian"/>
                <w:sz w:val="20"/>
                <w:szCs w:val="20"/>
                <w:lang w:val="en-GB"/>
              </w:rPr>
              <w:t>PPO once had the same proposal in paper.</w:t>
            </w:r>
            <w:r w:rsidR="00D231AB" w:rsidRPr="004205BD">
              <w:rPr>
                <w:rFonts w:eastAsia="DengXian"/>
                <w:sz w:val="20"/>
                <w:szCs w:val="20"/>
                <w:lang w:val="en-GB"/>
              </w:rPr>
              <w:t xml:space="preserve"> All SCells will be deactivated state during SCG state. </w:t>
            </w:r>
            <w:r w:rsidR="00D231AB" w:rsidRPr="004205BD">
              <w:rPr>
                <w:rFonts w:eastAsia="DengXian"/>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How would this differ from deactivating SCell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SCell with UL</w:t>
            </w:r>
            <w:r w:rsidR="00AD1101" w:rsidRPr="004205BD">
              <w:rPr>
                <w:sz w:val="20"/>
                <w:szCs w:val="20"/>
                <w:lang w:val="en-GB"/>
              </w:rPr>
              <w:t xml:space="preserve"> as anyway all the SCells of deactivated SCG are deactivated.</w:t>
            </w:r>
          </w:p>
        </w:tc>
      </w:tr>
      <w:tr w:rsidR="00B41AB7" w:rsidRPr="000C43B7" w14:paraId="6361FBEE" w14:textId="77777777" w:rsidTr="004205B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r w:rsidRPr="004205BD">
              <w:rPr>
                <w:i/>
                <w:sz w:val="20"/>
                <w:szCs w:val="20"/>
              </w:rPr>
              <w:t>timeAlignmentTimer</w:t>
            </w:r>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95045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Same view as Nokia, we do not do this for SCell with UL in STAG.</w:t>
            </w:r>
          </w:p>
        </w:tc>
      </w:tr>
      <w:tr w:rsidR="001B2E7B" w:rsidRPr="000C43B7" w14:paraId="2683275F" w14:textId="77777777" w:rsidTr="0095045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95045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95045D">
        <w:tc>
          <w:tcPr>
            <w:tcW w:w="1415" w:type="dxa"/>
            <w:vAlign w:val="center"/>
          </w:tcPr>
          <w:p w14:paraId="3EC59A20" w14:textId="0202F27B" w:rsidR="001B2E7B" w:rsidRPr="004205BD" w:rsidRDefault="00B102D1" w:rsidP="001B2E7B">
            <w:pPr>
              <w:jc w:val="center"/>
              <w:rPr>
                <w:sz w:val="20"/>
                <w:szCs w:val="20"/>
                <w:lang w:val="en-GB"/>
              </w:rPr>
            </w:pPr>
            <w:r w:rsidRPr="004205BD">
              <w:rPr>
                <w:sz w:val="20"/>
                <w:szCs w:val="20"/>
                <w:lang w:val="en-GB"/>
              </w:rPr>
              <w:t>Futurewei</w:t>
            </w:r>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4205B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95045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95045D">
        <w:tc>
          <w:tcPr>
            <w:tcW w:w="1415" w:type="dxa"/>
            <w:vAlign w:val="center"/>
          </w:tcPr>
          <w:p w14:paraId="5CDF88B6" w14:textId="3133E13B" w:rsidR="001A094D" w:rsidRPr="000C43B7" w:rsidRDefault="001A094D" w:rsidP="001A094D">
            <w:pPr>
              <w:jc w:val="center"/>
              <w:rPr>
                <w:szCs w:val="20"/>
                <w:lang w:val="en-GB"/>
              </w:rPr>
            </w:pPr>
            <w:r>
              <w:rPr>
                <w:szCs w:val="20"/>
                <w:lang w:val="en-GB"/>
              </w:rPr>
              <w:t>Huawei, HiSilicon</w:t>
            </w:r>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95045D">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95045D">
        <w:tc>
          <w:tcPr>
            <w:tcW w:w="1415" w:type="dxa"/>
            <w:vAlign w:val="center"/>
          </w:tcPr>
          <w:p w14:paraId="1F866CA6" w14:textId="6E7AE116" w:rsidR="001D59B0" w:rsidRDefault="001D59B0" w:rsidP="001D59B0">
            <w:pPr>
              <w:jc w:val="center"/>
              <w:rPr>
                <w:rFonts w:hint="eastAsia"/>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rFonts w:hint="eastAsia"/>
                <w:szCs w:val="20"/>
                <w:lang w:val="en-GB"/>
              </w:rPr>
            </w:pPr>
            <w:r>
              <w:rPr>
                <w:rFonts w:eastAsiaTheme="minorEastAsia"/>
                <w:sz w:val="20"/>
                <w:szCs w:val="20"/>
              </w:rPr>
              <w:t>“</w:t>
            </w:r>
            <w:r w:rsidRPr="00A434A6">
              <w:rPr>
                <w:rFonts w:eastAsiaTheme="minorEastAsia"/>
                <w:sz w:val="20"/>
                <w:szCs w:val="20"/>
              </w:rPr>
              <w:t xml:space="preserve">Upon SCG deactivation, except for timeAlignmentTimer associated with PTAG, consider all </w:t>
            </w:r>
            <w:r w:rsidRPr="00A434A6">
              <w:rPr>
                <w:rFonts w:eastAsiaTheme="minorEastAsia"/>
                <w:sz w:val="20"/>
                <w:szCs w:val="20"/>
                <w:u w:val="single"/>
              </w:rPr>
              <w:t>other</w:t>
            </w:r>
            <w:r>
              <w:rPr>
                <w:rFonts w:eastAsiaTheme="minorEastAsia"/>
                <w:sz w:val="20"/>
                <w:szCs w:val="20"/>
              </w:rPr>
              <w:t xml:space="preserve"> </w:t>
            </w:r>
            <w:r w:rsidRPr="00A434A6">
              <w:rPr>
                <w:rFonts w:eastAsiaTheme="minorEastAsia"/>
                <w:sz w:val="20"/>
                <w:szCs w:val="20"/>
              </w:rPr>
              <w:t>timeAlignmentTimers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1D59B0" w:rsidRPr="000C43B7" w14:paraId="19B71CC2" w14:textId="77777777" w:rsidTr="0095045D">
        <w:tc>
          <w:tcPr>
            <w:tcW w:w="1415" w:type="dxa"/>
            <w:vAlign w:val="center"/>
          </w:tcPr>
          <w:p w14:paraId="4AC67DEC" w14:textId="77777777" w:rsidR="001D59B0" w:rsidRDefault="001D59B0" w:rsidP="001D59B0">
            <w:pPr>
              <w:jc w:val="center"/>
              <w:rPr>
                <w:rFonts w:hint="eastAsia"/>
                <w:szCs w:val="20"/>
                <w:lang w:val="en-GB"/>
              </w:rPr>
            </w:pPr>
          </w:p>
        </w:tc>
        <w:tc>
          <w:tcPr>
            <w:tcW w:w="1699" w:type="dxa"/>
          </w:tcPr>
          <w:p w14:paraId="3BD9B421" w14:textId="77777777" w:rsidR="001D59B0" w:rsidRDefault="001D59B0" w:rsidP="001D59B0">
            <w:pPr>
              <w:rPr>
                <w:szCs w:val="20"/>
                <w:lang w:val="en-GB"/>
              </w:rPr>
            </w:pPr>
          </w:p>
        </w:tc>
        <w:tc>
          <w:tcPr>
            <w:tcW w:w="6249" w:type="dxa"/>
            <w:vAlign w:val="center"/>
          </w:tcPr>
          <w:p w14:paraId="29E03752" w14:textId="77777777" w:rsidR="001D59B0" w:rsidRDefault="001D59B0" w:rsidP="001D59B0">
            <w:pPr>
              <w:rPr>
                <w:rFonts w:hint="eastAsia"/>
                <w:szCs w:val="20"/>
                <w:lang w:val="en-GB"/>
              </w:rPr>
            </w:pP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1"/>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lastRenderedPageBreak/>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aff"/>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aff"/>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aff"/>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aff"/>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f4"/>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9"/>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DA0F571" w14:textId="1A502E4C" w:rsidR="00095BCB" w:rsidRPr="004205BD" w:rsidRDefault="00EA5D31" w:rsidP="0095045D">
            <w:pPr>
              <w:rPr>
                <w:rFonts w:eastAsia="DengXian"/>
                <w:sz w:val="20"/>
                <w:szCs w:val="20"/>
              </w:rPr>
            </w:pPr>
            <w:r w:rsidRPr="004205BD">
              <w:rPr>
                <w:rFonts w:eastAsia="DengXian"/>
                <w:sz w:val="20"/>
                <w:szCs w:val="20"/>
              </w:rPr>
              <w:t>Agree with comments</w:t>
            </w:r>
          </w:p>
        </w:tc>
        <w:tc>
          <w:tcPr>
            <w:tcW w:w="6249" w:type="dxa"/>
            <w:vAlign w:val="center"/>
          </w:tcPr>
          <w:p w14:paraId="12F4B19E" w14:textId="5B9F2871" w:rsidR="00095BCB" w:rsidRPr="004205BD" w:rsidRDefault="00EA5D31" w:rsidP="0095045D">
            <w:pPr>
              <w:rPr>
                <w:rFonts w:eastAsia="DengXian"/>
                <w:sz w:val="20"/>
                <w:szCs w:val="20"/>
                <w:lang w:val="en-GB"/>
              </w:rPr>
            </w:pPr>
            <w:r w:rsidRPr="004205BD">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95045D">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95045D">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5045D">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95045D">
        <w:tc>
          <w:tcPr>
            <w:tcW w:w="1415" w:type="dxa"/>
            <w:vAlign w:val="center"/>
          </w:tcPr>
          <w:p w14:paraId="3DBF5191" w14:textId="2BB47FE7"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4205BD">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95045D">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lastRenderedPageBreak/>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95045D">
        <w:tc>
          <w:tcPr>
            <w:tcW w:w="1415" w:type="dxa"/>
            <w:vAlign w:val="center"/>
          </w:tcPr>
          <w:p w14:paraId="79BDA575" w14:textId="6F74C094" w:rsidR="001A094D" w:rsidRPr="000C43B7" w:rsidRDefault="001A094D" w:rsidP="001A094D">
            <w:pPr>
              <w:jc w:val="center"/>
              <w:rPr>
                <w:szCs w:val="20"/>
                <w:lang w:val="en-GB"/>
              </w:rPr>
            </w:pPr>
            <w:r>
              <w:rPr>
                <w:szCs w:val="20"/>
                <w:lang w:val="en-GB"/>
              </w:rPr>
              <w:t>Huawei, HiSilicon</w:t>
            </w:r>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95045D">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95045D">
        <w:tc>
          <w:tcPr>
            <w:tcW w:w="1415" w:type="dxa"/>
            <w:vAlign w:val="center"/>
          </w:tcPr>
          <w:p w14:paraId="21C9042B" w14:textId="4A06F025" w:rsidR="00A74BA4" w:rsidRDefault="00A74BA4" w:rsidP="00A74BA4">
            <w:pPr>
              <w:jc w:val="center"/>
              <w:rPr>
                <w:rFonts w:hint="eastAsia"/>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rFonts w:hint="eastAsia"/>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rFonts w:hint="eastAsia"/>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A74BA4" w:rsidRPr="000C43B7" w14:paraId="154510CB" w14:textId="77777777" w:rsidTr="0095045D">
        <w:tc>
          <w:tcPr>
            <w:tcW w:w="1415" w:type="dxa"/>
            <w:vAlign w:val="center"/>
          </w:tcPr>
          <w:p w14:paraId="382333F9" w14:textId="77777777" w:rsidR="00A74BA4" w:rsidRDefault="00A74BA4" w:rsidP="00A74BA4">
            <w:pPr>
              <w:jc w:val="center"/>
              <w:rPr>
                <w:rFonts w:hint="eastAsia"/>
                <w:sz w:val="20"/>
                <w:szCs w:val="20"/>
              </w:rPr>
            </w:pPr>
          </w:p>
        </w:tc>
        <w:tc>
          <w:tcPr>
            <w:tcW w:w="1699" w:type="dxa"/>
          </w:tcPr>
          <w:p w14:paraId="398DA41C" w14:textId="77777777" w:rsidR="00A74BA4" w:rsidRDefault="00A74BA4" w:rsidP="00A74BA4">
            <w:pPr>
              <w:rPr>
                <w:rFonts w:hint="eastAsia"/>
                <w:sz w:val="20"/>
                <w:szCs w:val="20"/>
              </w:rPr>
            </w:pPr>
          </w:p>
        </w:tc>
        <w:tc>
          <w:tcPr>
            <w:tcW w:w="6249" w:type="dxa"/>
            <w:vAlign w:val="center"/>
          </w:tcPr>
          <w:p w14:paraId="09DD990C" w14:textId="77777777" w:rsidR="00A74BA4" w:rsidRDefault="00A74BA4" w:rsidP="00A74BA4">
            <w:pPr>
              <w:rPr>
                <w:sz w:val="20"/>
                <w:szCs w:val="20"/>
              </w:rPr>
            </w:pPr>
          </w:p>
        </w:tc>
      </w:tr>
    </w:tbl>
    <w:p w14:paraId="04BB4E96" w14:textId="0E33A223" w:rsidR="00095BCB" w:rsidRPr="009D5F15"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9"/>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731300C7" w14:textId="643875F4" w:rsidR="00095BCB"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B11C023" w14:textId="44AF1F14" w:rsidR="00095BCB" w:rsidRPr="004205BD" w:rsidRDefault="00EA5D31" w:rsidP="0095045D">
            <w:pPr>
              <w:rPr>
                <w:rFonts w:eastAsia="DengXian"/>
                <w:sz w:val="20"/>
                <w:szCs w:val="20"/>
                <w:lang w:val="en-GB"/>
              </w:rPr>
            </w:pPr>
            <w:r w:rsidRPr="004205BD">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95045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95045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95045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95045D">
        <w:tc>
          <w:tcPr>
            <w:tcW w:w="1415" w:type="dxa"/>
            <w:vAlign w:val="center"/>
          </w:tcPr>
          <w:p w14:paraId="1F8CAD33" w14:textId="09C3288C" w:rsidR="001B2E7B" w:rsidRPr="004205BD" w:rsidRDefault="00AC6DD5" w:rsidP="001B2E7B">
            <w:pPr>
              <w:jc w:val="center"/>
              <w:rPr>
                <w:sz w:val="20"/>
                <w:szCs w:val="20"/>
                <w:lang w:val="en-GB"/>
              </w:rPr>
            </w:pPr>
            <w:r w:rsidRPr="004205BD">
              <w:rPr>
                <w:sz w:val="20"/>
                <w:szCs w:val="20"/>
                <w:lang w:val="en-GB"/>
              </w:rPr>
              <w:t>Futurewei</w:t>
            </w:r>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4205B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95045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95045D">
        <w:tc>
          <w:tcPr>
            <w:tcW w:w="1415" w:type="dxa"/>
            <w:vAlign w:val="center"/>
          </w:tcPr>
          <w:p w14:paraId="0E42B88A" w14:textId="7E73C7E2" w:rsidR="001A094D" w:rsidRPr="000C43B7" w:rsidRDefault="001A094D" w:rsidP="001A094D">
            <w:pPr>
              <w:jc w:val="center"/>
              <w:rPr>
                <w:szCs w:val="20"/>
                <w:lang w:val="en-GB"/>
              </w:rPr>
            </w:pPr>
            <w:r>
              <w:rPr>
                <w:szCs w:val="20"/>
                <w:lang w:val="en-GB"/>
              </w:rPr>
              <w:t>Huawei, HiSilicon</w:t>
            </w:r>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95045D">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95045D">
        <w:tc>
          <w:tcPr>
            <w:tcW w:w="1415" w:type="dxa"/>
            <w:vAlign w:val="center"/>
          </w:tcPr>
          <w:p w14:paraId="5B9B2CFE" w14:textId="63352268" w:rsidR="00EB665B" w:rsidRDefault="00EB665B" w:rsidP="00EB665B">
            <w:pPr>
              <w:jc w:val="center"/>
              <w:rPr>
                <w:rFonts w:hint="eastAsia"/>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rFonts w:hint="eastAsia"/>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AD572C" w:rsidRPr="000C43B7" w14:paraId="1D88CAC9" w14:textId="77777777" w:rsidTr="0095045D">
        <w:tc>
          <w:tcPr>
            <w:tcW w:w="1415" w:type="dxa"/>
            <w:vAlign w:val="center"/>
          </w:tcPr>
          <w:p w14:paraId="0F817CAE" w14:textId="77777777" w:rsidR="00AD572C" w:rsidRDefault="00AD572C" w:rsidP="00EB665B">
            <w:pPr>
              <w:jc w:val="center"/>
              <w:rPr>
                <w:rFonts w:hint="eastAsia"/>
                <w:szCs w:val="20"/>
                <w:lang w:val="en-GB"/>
              </w:rPr>
            </w:pPr>
          </w:p>
        </w:tc>
        <w:tc>
          <w:tcPr>
            <w:tcW w:w="1699" w:type="dxa"/>
          </w:tcPr>
          <w:p w14:paraId="7598D9BA" w14:textId="77777777" w:rsidR="00AD572C" w:rsidRDefault="00AD572C" w:rsidP="00EB665B">
            <w:pPr>
              <w:rPr>
                <w:rFonts w:hint="eastAsia"/>
                <w:szCs w:val="20"/>
                <w:lang w:val="en-GB"/>
              </w:rPr>
            </w:pPr>
          </w:p>
        </w:tc>
        <w:tc>
          <w:tcPr>
            <w:tcW w:w="6249" w:type="dxa"/>
            <w:vAlign w:val="center"/>
          </w:tcPr>
          <w:p w14:paraId="03E5AF75" w14:textId="77777777" w:rsidR="00AD572C" w:rsidRDefault="00AD572C" w:rsidP="00EB665B">
            <w:pPr>
              <w:rPr>
                <w:rFonts w:hint="eastAsia"/>
                <w:szCs w:val="20"/>
                <w:lang w:val="en-GB"/>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f4"/>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9"/>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4C36CDF" w14:textId="23B18EC6" w:rsidR="00B24562" w:rsidRPr="004205BD" w:rsidRDefault="00EA5D31" w:rsidP="0095045D">
            <w:pPr>
              <w:rPr>
                <w:rFonts w:eastAsia="DengXian"/>
                <w:sz w:val="20"/>
                <w:szCs w:val="20"/>
                <w:lang w:val="en-GB"/>
              </w:rPr>
            </w:pPr>
            <w:r w:rsidRPr="004205BD">
              <w:rPr>
                <w:rFonts w:eastAsia="DengXian"/>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95045D">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95045D">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 xml:space="preserve">Considering that the duration of the t-Reordering would be configured based on the QoS requirement, delaying the packet delivery to the upper </w:t>
            </w:r>
            <w:r w:rsidRPr="004205BD">
              <w:rPr>
                <w:rFonts w:eastAsia="PMingLiU"/>
                <w:sz w:val="20"/>
                <w:szCs w:val="20"/>
              </w:rPr>
              <w:lastRenderedPageBreak/>
              <w:t>layer is not critical.</w:t>
            </w:r>
          </w:p>
        </w:tc>
      </w:tr>
      <w:tr w:rsidR="0061121B" w:rsidRPr="000C43B7" w14:paraId="3CD24DA5" w14:textId="77777777" w:rsidTr="0095045D">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lastRenderedPageBreak/>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95045D">
        <w:tc>
          <w:tcPr>
            <w:tcW w:w="1415" w:type="dxa"/>
            <w:vAlign w:val="center"/>
          </w:tcPr>
          <w:p w14:paraId="6AF97DF1" w14:textId="675E53EE" w:rsidR="0061121B" w:rsidRPr="004205BD" w:rsidRDefault="006611C6" w:rsidP="0061121B">
            <w:pPr>
              <w:jc w:val="center"/>
              <w:rPr>
                <w:sz w:val="20"/>
                <w:szCs w:val="20"/>
                <w:lang w:val="en-GB"/>
              </w:rPr>
            </w:pPr>
            <w:r w:rsidRPr="004205BD">
              <w:rPr>
                <w:sz w:val="20"/>
                <w:szCs w:val="20"/>
                <w:lang w:val="en-GB"/>
              </w:rPr>
              <w:t>Futurewei</w:t>
            </w:r>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4205BD">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95045D">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95045D">
        <w:tc>
          <w:tcPr>
            <w:tcW w:w="1415" w:type="dxa"/>
            <w:vAlign w:val="center"/>
          </w:tcPr>
          <w:p w14:paraId="0E14D916" w14:textId="4DA05EE8" w:rsidR="001A094D" w:rsidRPr="000C43B7" w:rsidRDefault="001A094D" w:rsidP="001A094D">
            <w:pPr>
              <w:jc w:val="center"/>
              <w:rPr>
                <w:szCs w:val="20"/>
                <w:lang w:val="en-GB"/>
              </w:rPr>
            </w:pPr>
            <w:r>
              <w:rPr>
                <w:szCs w:val="20"/>
                <w:lang w:val="en-GB"/>
              </w:rPr>
              <w:t>Huawei, HiSilicon</w:t>
            </w:r>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95045D">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95045D">
        <w:tc>
          <w:tcPr>
            <w:tcW w:w="1415" w:type="dxa"/>
            <w:vAlign w:val="center"/>
          </w:tcPr>
          <w:p w14:paraId="402DCD1C" w14:textId="12B36F1A" w:rsidR="00AD572C" w:rsidRDefault="00AD572C" w:rsidP="00AD572C">
            <w:pPr>
              <w:jc w:val="center"/>
              <w:rPr>
                <w:rFonts w:hint="eastAsia"/>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rFonts w:hint="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rFonts w:hint="eastAsia"/>
                <w:szCs w:val="20"/>
                <w:lang w:val="en-GB"/>
              </w:rPr>
            </w:pPr>
            <w:r>
              <w:rPr>
                <w:rFonts w:eastAsiaTheme="minorEastAsia"/>
                <w:szCs w:val="20"/>
                <w:lang w:val="en-GB"/>
              </w:rPr>
              <w:t>only for SCG bearer</w:t>
            </w:r>
          </w:p>
        </w:tc>
      </w:tr>
      <w:tr w:rsidR="00AD572C" w:rsidRPr="000C43B7" w14:paraId="2997C102" w14:textId="77777777" w:rsidTr="0095045D">
        <w:tc>
          <w:tcPr>
            <w:tcW w:w="1415" w:type="dxa"/>
            <w:vAlign w:val="center"/>
          </w:tcPr>
          <w:p w14:paraId="02C57A32" w14:textId="77777777" w:rsidR="00AD572C" w:rsidRDefault="00AD572C" w:rsidP="00AD572C">
            <w:pPr>
              <w:jc w:val="center"/>
              <w:rPr>
                <w:rFonts w:hint="eastAsia"/>
                <w:szCs w:val="20"/>
                <w:lang w:val="en-GB"/>
              </w:rPr>
            </w:pPr>
          </w:p>
        </w:tc>
        <w:tc>
          <w:tcPr>
            <w:tcW w:w="1699" w:type="dxa"/>
          </w:tcPr>
          <w:p w14:paraId="6CED898F" w14:textId="77777777" w:rsidR="00AD572C" w:rsidRDefault="00AD572C" w:rsidP="00AD572C">
            <w:pPr>
              <w:rPr>
                <w:rFonts w:hint="eastAsia"/>
                <w:szCs w:val="20"/>
                <w:lang w:val="en-GB"/>
              </w:rPr>
            </w:pPr>
          </w:p>
        </w:tc>
        <w:tc>
          <w:tcPr>
            <w:tcW w:w="6249" w:type="dxa"/>
            <w:vAlign w:val="center"/>
          </w:tcPr>
          <w:p w14:paraId="6FC31208" w14:textId="77777777" w:rsidR="00AD572C" w:rsidRDefault="00AD572C" w:rsidP="00AD572C">
            <w:pPr>
              <w:rPr>
                <w:szCs w:val="20"/>
                <w:lang w:val="en-GB"/>
              </w:rPr>
            </w:pP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9"/>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58F7EBC6" w14:textId="6DC7D7DB" w:rsidR="00B24562"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A1CED63" w14:textId="139447E5" w:rsidR="00B24562" w:rsidRPr="004205BD" w:rsidRDefault="00EA5D31" w:rsidP="0095045D">
            <w:pPr>
              <w:rPr>
                <w:rFonts w:eastAsia="DengXian"/>
                <w:sz w:val="20"/>
                <w:szCs w:val="20"/>
              </w:rPr>
            </w:pPr>
            <w:r w:rsidRPr="004205BD">
              <w:rPr>
                <w:rFonts w:eastAsia="DengXian"/>
                <w:sz w:val="20"/>
                <w:szCs w:val="20"/>
                <w:lang w:val="en-GB"/>
              </w:rPr>
              <w:t xml:space="preserve">No need to impact </w:t>
            </w:r>
            <w:r w:rsidR="00FE2A5C" w:rsidRPr="004205BD">
              <w:rPr>
                <w:rFonts w:eastAsia="DengXian"/>
                <w:sz w:val="20"/>
                <w:szCs w:val="20"/>
                <w:lang w:val="en-GB"/>
              </w:rPr>
              <w:t xml:space="preserve">PDCP legacy behavior. </w:t>
            </w:r>
            <w:r w:rsidR="00FE2A5C" w:rsidRPr="004205BD">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77777777" w:rsidR="00AD572C" w:rsidRPr="004205BD" w:rsidRDefault="00AD572C" w:rsidP="00AD572C">
            <w:pPr>
              <w:jc w:val="center"/>
              <w:rPr>
                <w:sz w:val="20"/>
                <w:szCs w:val="20"/>
              </w:rPr>
            </w:pPr>
          </w:p>
        </w:tc>
        <w:tc>
          <w:tcPr>
            <w:tcW w:w="1699" w:type="dxa"/>
          </w:tcPr>
          <w:p w14:paraId="39FCC4B0" w14:textId="77777777" w:rsidR="00AD572C" w:rsidRPr="004205BD" w:rsidRDefault="00AD572C" w:rsidP="00AD572C">
            <w:pPr>
              <w:rPr>
                <w:sz w:val="20"/>
                <w:szCs w:val="20"/>
              </w:rPr>
            </w:pPr>
          </w:p>
        </w:tc>
        <w:tc>
          <w:tcPr>
            <w:tcW w:w="6249" w:type="dxa"/>
            <w:vAlign w:val="center"/>
          </w:tcPr>
          <w:p w14:paraId="31126C47" w14:textId="77777777" w:rsidR="00AD572C" w:rsidRPr="004205BD" w:rsidRDefault="00AD572C" w:rsidP="00AD572C">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1"/>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9"/>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 xml:space="preserve">SRB3 may be needed for MCG failure recovery. SN-configured measurement reports can sent via MCG i.e. as if SRB3 was not configured, </w:t>
            </w:r>
            <w:r>
              <w:rPr>
                <w:sz w:val="20"/>
                <w:szCs w:val="20"/>
              </w:rPr>
              <w:lastRenderedPageBreak/>
              <w:t>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lastRenderedPageBreak/>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95045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95045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95045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95045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4205B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95045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95045D">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95045D">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95045D">
        <w:tc>
          <w:tcPr>
            <w:tcW w:w="1415" w:type="dxa"/>
            <w:vAlign w:val="center"/>
          </w:tcPr>
          <w:p w14:paraId="432C8970" w14:textId="19A6C425" w:rsidR="00AD572C" w:rsidRDefault="00AD572C" w:rsidP="00AD572C">
            <w:pPr>
              <w:jc w:val="center"/>
              <w:rPr>
                <w:rFonts w:hint="eastAsia"/>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rFonts w:hint="eastAsia"/>
                <w:szCs w:val="20"/>
              </w:rPr>
            </w:pPr>
            <w:r>
              <w:rPr>
                <w:rFonts w:eastAsiaTheme="minorEastAsia"/>
                <w:szCs w:val="20"/>
              </w:rPr>
              <w:t>With this, SN configured measurement report via SRB3 can be avoided while the SCG is deactivated.</w:t>
            </w:r>
          </w:p>
        </w:tc>
      </w:tr>
      <w:tr w:rsidR="00AD572C" w:rsidRPr="009D5F15" w14:paraId="395277E3" w14:textId="77777777" w:rsidTr="0095045D">
        <w:tc>
          <w:tcPr>
            <w:tcW w:w="1415" w:type="dxa"/>
            <w:vAlign w:val="center"/>
          </w:tcPr>
          <w:p w14:paraId="2D534666" w14:textId="77777777" w:rsidR="00AD572C" w:rsidRDefault="00AD572C" w:rsidP="00AD572C">
            <w:pPr>
              <w:jc w:val="center"/>
              <w:rPr>
                <w:rFonts w:hint="eastAsia"/>
                <w:szCs w:val="20"/>
              </w:rPr>
            </w:pPr>
          </w:p>
        </w:tc>
        <w:tc>
          <w:tcPr>
            <w:tcW w:w="1699" w:type="dxa"/>
          </w:tcPr>
          <w:p w14:paraId="6EC08893" w14:textId="77777777" w:rsidR="00AD572C" w:rsidRPr="009D5F15" w:rsidRDefault="00AD572C" w:rsidP="00AD572C">
            <w:pPr>
              <w:rPr>
                <w:szCs w:val="20"/>
              </w:rPr>
            </w:pPr>
          </w:p>
        </w:tc>
        <w:tc>
          <w:tcPr>
            <w:tcW w:w="6249" w:type="dxa"/>
            <w:vAlign w:val="center"/>
          </w:tcPr>
          <w:p w14:paraId="6B446137" w14:textId="77777777" w:rsidR="00AD572C" w:rsidRDefault="00AD572C" w:rsidP="00AD572C">
            <w:pPr>
              <w:rPr>
                <w:rFonts w:hint="eastAsia"/>
                <w:szCs w:val="20"/>
              </w:rPr>
            </w:pP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r w:rsidRPr="000C43B7">
              <w:rPr>
                <w:i/>
              </w:rPr>
              <w:t>masterKeyUpdate</w:t>
            </w:r>
            <w:r w:rsidRPr="000C43B7">
              <w:t xml:space="preserve"> was not received:</w:t>
            </w:r>
          </w:p>
          <w:p w14:paraId="4F204614" w14:textId="77777777" w:rsidR="006C6A82" w:rsidRPr="000C43B7" w:rsidRDefault="006C6A82" w:rsidP="0095045D">
            <w:pPr>
              <w:pStyle w:val="B5"/>
            </w:pPr>
            <w:r w:rsidRPr="000C43B7">
              <w:t>5&gt;</w:t>
            </w:r>
            <w:r w:rsidRPr="000C43B7">
              <w:tab/>
              <w:t>configure the PDCP entity for the source PCell with state variables continuation as specified in TS 38.323 [5];</w:t>
            </w:r>
          </w:p>
          <w:p w14:paraId="242D4E00" w14:textId="77777777" w:rsidR="006C6A82" w:rsidRPr="000C43B7" w:rsidRDefault="006C6A82" w:rsidP="0095045D">
            <w:pPr>
              <w:pStyle w:val="B4"/>
            </w:pPr>
            <w:r w:rsidRPr="000C43B7">
              <w:t>4&gt;</w:t>
            </w:r>
            <w:r w:rsidRPr="000C43B7">
              <w:tab/>
              <w:t>release the PDCP entity for the target PCell;</w:t>
            </w:r>
          </w:p>
          <w:p w14:paraId="79161C94" w14:textId="77777777" w:rsidR="006C6A82" w:rsidRPr="000C43B7" w:rsidRDefault="006C6A82" w:rsidP="0095045D">
            <w:pPr>
              <w:pStyle w:val="B4"/>
            </w:pPr>
            <w:r w:rsidRPr="000C43B7">
              <w:t>4&gt;</w:t>
            </w:r>
            <w:r w:rsidRPr="000C43B7">
              <w:tab/>
              <w:t>release the RLC entity as specified in TS 38.322 [4], clause 5.1.3, and the associated logical channel for the target PCell;</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trigger the PDCP entity for the source PCell to perform SDU discard as specified in TS 38.323 [5];</w:t>
            </w:r>
          </w:p>
          <w:p w14:paraId="794A89DB" w14:textId="77777777" w:rsidR="006C6A82" w:rsidRPr="000C43B7" w:rsidRDefault="006C6A82" w:rsidP="0095045D">
            <w:pPr>
              <w:pStyle w:val="B4"/>
            </w:pPr>
            <w:r w:rsidRPr="000C43B7">
              <w:rPr>
                <w:highlight w:val="yellow"/>
              </w:rPr>
              <w:lastRenderedPageBreak/>
              <w:t>4&gt;</w:t>
            </w:r>
            <w:r w:rsidRPr="000C43B7">
              <w:rPr>
                <w:highlight w:val="yellow"/>
              </w:rPr>
              <w:tab/>
              <w:t>re-establish the RLC entity for the source PCell;</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9"/>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r>
              <w:rPr>
                <w:szCs w:val="20"/>
                <w:lang w:val="en-GB"/>
              </w:rPr>
              <w:t>Futurewei</w:t>
            </w:r>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Huawei, HiSilicon</w:t>
            </w:r>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rFonts w:hint="eastAsia"/>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rFonts w:hint="eastAsia"/>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77777777" w:rsidR="000B753B" w:rsidRDefault="000B753B" w:rsidP="000B753B">
            <w:pPr>
              <w:jc w:val="center"/>
              <w:rPr>
                <w:rFonts w:hint="eastAsia"/>
                <w:szCs w:val="20"/>
                <w:lang w:val="en-GB"/>
              </w:rPr>
            </w:pPr>
            <w:bookmarkStart w:id="7" w:name="_GoBack"/>
            <w:bookmarkEnd w:id="7"/>
          </w:p>
        </w:tc>
        <w:tc>
          <w:tcPr>
            <w:tcW w:w="1699" w:type="dxa"/>
          </w:tcPr>
          <w:p w14:paraId="11D7A674" w14:textId="77777777" w:rsidR="000B753B" w:rsidRDefault="000B753B" w:rsidP="000B753B">
            <w:pPr>
              <w:rPr>
                <w:szCs w:val="20"/>
                <w:lang w:val="en-GB"/>
              </w:rPr>
            </w:pPr>
          </w:p>
        </w:tc>
        <w:tc>
          <w:tcPr>
            <w:tcW w:w="6249" w:type="dxa"/>
            <w:vAlign w:val="center"/>
          </w:tcPr>
          <w:p w14:paraId="191967BD" w14:textId="77777777" w:rsidR="000B753B" w:rsidRPr="000C43B7" w:rsidRDefault="000B753B" w:rsidP="000B753B">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9"/>
        <w:rPr>
          <w:rFonts w:eastAsia="Malgun Gothic"/>
          <w:b/>
          <w:bCs/>
        </w:rPr>
      </w:pPr>
    </w:p>
    <w:p w14:paraId="3DE54289" w14:textId="3C7E0836" w:rsidR="002071EC" w:rsidRDefault="002071EC" w:rsidP="006B4E9D">
      <w:pPr>
        <w:pStyle w:val="a9"/>
        <w:rPr>
          <w:rFonts w:eastAsia="Malgun Gothic"/>
          <w:b/>
          <w:bCs/>
        </w:rPr>
      </w:pPr>
      <w:r>
        <w:rPr>
          <w:rFonts w:eastAsia="Malgun Gothic"/>
          <w:b/>
          <w:bCs/>
        </w:rPr>
        <w:t>TBD</w:t>
      </w:r>
    </w:p>
    <w:p w14:paraId="4A7F2533" w14:textId="77777777" w:rsidR="00B412E2" w:rsidRDefault="00B412E2" w:rsidP="006B4E9D">
      <w:pPr>
        <w:pStyle w:val="a9"/>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C119" w14:textId="77777777" w:rsidR="00881163" w:rsidRDefault="00881163">
      <w:r>
        <w:separator/>
      </w:r>
    </w:p>
  </w:endnote>
  <w:endnote w:type="continuationSeparator" w:id="0">
    <w:p w14:paraId="702C9224" w14:textId="77777777" w:rsidR="00881163" w:rsidRDefault="00881163">
      <w:r>
        <w:continuationSeparator/>
      </w:r>
    </w:p>
  </w:endnote>
  <w:endnote w:type="continuationNotice" w:id="1">
    <w:p w14:paraId="13B278BC" w14:textId="77777777" w:rsidR="00881163" w:rsidRDefault="00881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G Times (WN)">
    <w:altName w:val="Arial"/>
    <w:charset w:val="00"/>
    <w:family w:val="roman"/>
    <w:pitch w:val="default"/>
    <w:sig w:usb0="00000000"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altName w:val="Malgun Gothic Semilight"/>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0896EEA4" w:rsidR="00A375A3" w:rsidRDefault="00A375A3"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0B753B">
      <w:rPr>
        <w:rStyle w:val="af3"/>
      </w:rPr>
      <w:t>10</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0B753B">
      <w:rPr>
        <w:rStyle w:val="af3"/>
      </w:rPr>
      <w:t>11</w:t>
    </w:r>
    <w:r>
      <w:rPr>
        <w:rStyle w:val="af3"/>
      </w:rPr>
      <w:fldChar w:fldCharType="end"/>
    </w:r>
    <w:r>
      <w:rPr>
        <w:rStyle w:val="af3"/>
      </w:rPr>
      <w:tab/>
    </w:r>
  </w:p>
  <w:p w14:paraId="473D9D22" w14:textId="77777777" w:rsidR="00A375A3" w:rsidRDefault="00A375A3"/>
  <w:p w14:paraId="3BB7C2FA" w14:textId="77777777" w:rsidR="00A375A3" w:rsidRDefault="00A375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3868" w14:textId="77777777" w:rsidR="00881163" w:rsidRDefault="00881163">
      <w:r>
        <w:separator/>
      </w:r>
    </w:p>
  </w:footnote>
  <w:footnote w:type="continuationSeparator" w:id="0">
    <w:p w14:paraId="47EA6277" w14:textId="77777777" w:rsidR="00881163" w:rsidRDefault="00881163">
      <w:r>
        <w:continuationSeparator/>
      </w:r>
    </w:p>
  </w:footnote>
  <w:footnote w:type="continuationNotice" w:id="1">
    <w:p w14:paraId="24C92F9B" w14:textId="77777777" w:rsidR="00881163" w:rsidRDefault="00881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A375A3" w:rsidRDefault="00A375A3">
    <w:r>
      <w:t xml:space="preserve">Page </w:t>
    </w:r>
    <w:r>
      <w:fldChar w:fldCharType="begin"/>
    </w:r>
    <w:r>
      <w:instrText>PAGE</w:instrText>
    </w:r>
    <w:r>
      <w:fldChar w:fldCharType="separate"/>
    </w:r>
    <w:r>
      <w:t>4</w:t>
    </w:r>
    <w:r>
      <w:fldChar w:fldCharType="end"/>
    </w:r>
    <w:r>
      <w:br/>
      <w:t>Draft prETS 300 ???: Month YYYY</w:t>
    </w:r>
  </w:p>
  <w:p w14:paraId="0A21AD97" w14:textId="77777777" w:rsidR="00A375A3" w:rsidRDefault="00A375A3"/>
  <w:p w14:paraId="6610F681" w14:textId="77777777" w:rsidR="00A375A3" w:rsidRDefault="00A375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ＭＳ 明朝"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5"/>
  </w:num>
  <w:num w:numId="17">
    <w:abstractNumId w:val="9"/>
  </w:num>
  <w:num w:numId="18">
    <w:abstractNumId w:val="10"/>
  </w:num>
  <w:num w:numId="19">
    <w:abstractNumId w:val="6"/>
  </w:num>
  <w:num w:numId="20">
    <w:abstractNumId w:val="42"/>
  </w:num>
  <w:num w:numId="21">
    <w:abstractNumId w:val="17"/>
  </w:num>
  <w:num w:numId="22">
    <w:abstractNumId w:val="40"/>
  </w:num>
  <w:num w:numId="23">
    <w:abstractNumId w:val="39"/>
  </w:num>
  <w:num w:numId="24">
    <w:abstractNumId w:val="37"/>
  </w:num>
  <w:num w:numId="25">
    <w:abstractNumId w:val="18"/>
  </w:num>
  <w:num w:numId="26">
    <w:abstractNumId w:val="5"/>
  </w:num>
  <w:num w:numId="27">
    <w:abstractNumId w:val="36"/>
  </w:num>
  <w:num w:numId="28">
    <w:abstractNumId w:val="38"/>
  </w:num>
  <w:num w:numId="29">
    <w:abstractNumId w:val="16"/>
  </w:num>
  <w:num w:numId="30">
    <w:abstractNumId w:val="33"/>
  </w:num>
  <w:num w:numId="31">
    <w:abstractNumId w:val="28"/>
  </w:num>
  <w:num w:numId="32">
    <w:abstractNumId w:val="8"/>
  </w:num>
  <w:num w:numId="33">
    <w:abstractNumId w:val="41"/>
  </w:num>
  <w:num w:numId="34">
    <w:abstractNumId w:val="7"/>
  </w:num>
  <w:num w:numId="35">
    <w:abstractNumId w:val="0"/>
  </w:num>
  <w:num w:numId="36">
    <w:abstractNumId w:val="31"/>
  </w:num>
  <w:num w:numId="37">
    <w:abstractNumId w:val="13"/>
  </w:num>
  <w:num w:numId="38">
    <w:abstractNumId w:val="34"/>
  </w:num>
  <w:num w:numId="39">
    <w:abstractNumId w:val="19"/>
  </w:num>
  <w:num w:numId="40">
    <w:abstractNumId w:val="29"/>
  </w:num>
  <w:num w:numId="41">
    <w:abstractNumId w:val="32"/>
  </w:num>
  <w:num w:numId="42">
    <w:abstractNumId w:val="11"/>
  </w:num>
  <w:num w:numId="43">
    <w:abstractNumId w:val="25"/>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6A72"/>
    <w:rsid w:val="00396D01"/>
    <w:rsid w:val="003A2223"/>
    <w:rsid w:val="003A2A0F"/>
    <w:rsid w:val="003A31E8"/>
    <w:rsid w:val="003A45A1"/>
    <w:rsid w:val="003A5B0A"/>
    <w:rsid w:val="003A6BAC"/>
    <w:rsid w:val="003A70A4"/>
    <w:rsid w:val="003A7EF3"/>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B50C1"/>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D01"/>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396D01"/>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96D01"/>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1"/>
    <w:qFormat/>
    <w:rsid w:val="00A95EA8"/>
    <w:pPr>
      <w:numPr>
        <w:numId w:val="3"/>
      </w:numPr>
      <w:tabs>
        <w:tab w:val="left" w:pos="1701"/>
      </w:tabs>
      <w:spacing w:after="120"/>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qFormat/>
    <w:rsid w:val="00A95EA8"/>
    <w:pPr>
      <w:numPr>
        <w:numId w:val="43"/>
      </w:numPr>
      <w:spacing w:after="120"/>
    </w:pPr>
    <w:rPr>
      <w:b/>
    </w:rPr>
  </w:style>
  <w:style w:type="paragraph" w:styleId="afc">
    <w:name w:val="table of figures"/>
    <w:basedOn w:val="a1"/>
    <w:next w:val="a1"/>
    <w:uiPriority w:val="99"/>
    <w:unhideWhenUsed/>
    <w:rsid w:val="00A95EA8"/>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ＭＳ 明朝"/>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eastAsia="ＭＳ 明朝"/>
      <w: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eastAsia="ＭＳ 明朝"/>
      <w:noProof/>
    </w:rPr>
  </w:style>
  <w:style w:type="character" w:customStyle="1" w:styleId="Doc-titleChar">
    <w:name w:val="Doc-title Char"/>
    <w:link w:val="Doc-title"/>
    <w:qFormat/>
    <w:rsid w:val="00C54E69"/>
    <w:rPr>
      <w:rFonts w:ascii="Arial" w:eastAsia="ＭＳ 明朝" w:hAnsi="Arial"/>
      <w:noProof/>
      <w:szCs w:val="24"/>
    </w:rPr>
  </w:style>
  <w:style w:type="paragraph" w:customStyle="1" w:styleId="Doc-comment">
    <w:name w:val="Doc-comment"/>
    <w:basedOn w:val="a1"/>
    <w:next w:val="Doc-text2"/>
    <w:qFormat/>
    <w:rsid w:val="00C54E69"/>
    <w:pPr>
      <w:tabs>
        <w:tab w:val="left" w:pos="1622"/>
      </w:tabs>
      <w:ind w:left="1622" w:hanging="363"/>
    </w:pPr>
    <w:rPr>
      <w:rFonts w:eastAsia="ＭＳ 明朝"/>
      <w:i/>
    </w:rPr>
  </w:style>
  <w:style w:type="paragraph" w:customStyle="1" w:styleId="Comments">
    <w:name w:val="Comments"/>
    <w:basedOn w:val="a1"/>
    <w:link w:val="CommentsChar"/>
    <w:qFormat/>
    <w:rsid w:val="00C54E69"/>
    <w:pPr>
      <w:spacing w:before="40"/>
    </w:pPr>
    <w:rPr>
      <w:rFonts w:eastAsia="ＭＳ 明朝"/>
      <w:i/>
      <w:noProof/>
      <w:sz w:val="18"/>
    </w:rPr>
  </w:style>
  <w:style w:type="character" w:customStyle="1" w:styleId="CommentsChar">
    <w:name w:val="Comments Char"/>
    <w:link w:val="Comments"/>
    <w:qFormat/>
    <w:rsid w:val="00C54E69"/>
    <w:rPr>
      <w:rFonts w:ascii="Arial" w:eastAsia="ＭＳ 明朝"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spacing w:after="80"/>
      <w:ind w:left="567"/>
    </w:p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pPr>
    <w:rPr>
      <w:rFonts w:eastAsia="ＭＳ 明朝"/>
      <w:b/>
    </w:rPr>
  </w:style>
  <w:style w:type="paragraph" w:customStyle="1" w:styleId="BoldComments">
    <w:name w:val="Bold Comments"/>
    <w:basedOn w:val="a1"/>
    <w:link w:val="BoldCommentsChar"/>
    <w:qFormat/>
    <w:rsid w:val="009D6135"/>
    <w:pPr>
      <w:spacing w:before="240" w:after="60"/>
      <w:outlineLvl w:val="8"/>
    </w:pPr>
    <w:rPr>
      <w:rFonts w:eastAsia="ＭＳ 明朝"/>
      <w:b/>
    </w:rPr>
  </w:style>
  <w:style w:type="character" w:customStyle="1" w:styleId="BoldCommentsChar">
    <w:name w:val="Bold Comments Char"/>
    <w:link w:val="BoldComments"/>
    <w:rsid w:val="009D6135"/>
    <w:rPr>
      <w:rFonts w:ascii="Arial" w:eastAsia="ＭＳ 明朝"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ＭＳ 明朝" w:hAnsi="Times New Roman"/>
      <w:lang w:eastAsia="en-US"/>
    </w:rPr>
  </w:style>
  <w:style w:type="paragraph" w:styleId="aff7">
    <w:name w:val="Subtitle"/>
    <w:basedOn w:val="a1"/>
    <w:next w:val="a1"/>
    <w:link w:val="aff8"/>
    <w:qFormat/>
    <w:rsid w:val="00575C36"/>
    <w:pPr>
      <w:spacing w:after="60"/>
      <w:jc w:val="center"/>
      <w:outlineLvl w:val="1"/>
    </w:pPr>
  </w:style>
  <w:style w:type="character" w:customStyle="1" w:styleId="aff8">
    <w:name w:val="副題 (文字)"/>
    <w:basedOn w:val="a2"/>
    <w:link w:val="aff7"/>
    <w:rsid w:val="00575C36"/>
    <w:rPr>
      <w:rFonts w:asciiTheme="minorHAnsi" w:hAnsiTheme="minorHAnsi" w:cstheme="minorBidi"/>
      <w:kern w:val="2"/>
      <w:sz w:val="24"/>
      <w:szCs w:val="24"/>
      <w:lang w:val="en-US" w:eastAsia="ko-KR"/>
    </w:rPr>
  </w:style>
  <w:style w:type="paragraph" w:styleId="aff9">
    <w:name w:val="Title"/>
    <w:basedOn w:val="a1"/>
    <w:next w:val="a1"/>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表題 (文字)"/>
    <w:basedOn w:val="a2"/>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 w:type="character" w:customStyle="1" w:styleId="B3Char">
    <w:name w:val="B3 Char"/>
    <w:rsid w:val="00C3419A"/>
    <w:rPr>
      <w:rFonts w:eastAsia="ＭＳ 明朝"/>
      <w:lang w:val="en-GB" w:eastAsia="en-US" w:bidi="ar-SA"/>
    </w:rPr>
  </w:style>
  <w:style w:type="character" w:customStyle="1" w:styleId="13">
    <w:name w:val="未处理的提及1"/>
    <w:basedOn w:val="a2"/>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6.xml><?xml version="1.0" encoding="utf-8"?>
<ds:datastoreItem xmlns:ds="http://schemas.openxmlformats.org/officeDocument/2006/customXml" ds:itemID="{40C6178E-DF6C-43A9-A43F-14C22CFC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4603</Words>
  <Characters>26243</Characters>
  <Application>Microsoft Office Word</Application>
  <DocSecurity>0</DocSecurity>
  <Lines>218</Lines>
  <Paragraphs>61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30785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NEC</cp:lastModifiedBy>
  <cp:revision>11</cp:revision>
  <cp:lastPrinted>2008-01-31T07:09:00Z</cp:lastPrinted>
  <dcterms:created xsi:type="dcterms:W3CDTF">2021-11-07T23:19:00Z</dcterms:created>
  <dcterms:modified xsi:type="dcterms:W3CDTF">2021-11-08T01:52:00Z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