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w:t>
      </w:r>
      <w:proofErr w:type="gramStart"/>
      <w:r w:rsidR="00373930" w:rsidRPr="000C43B7">
        <w:t>][</w:t>
      </w:r>
      <w:proofErr w:type="gramEnd"/>
      <w:r w:rsidR="00373930" w:rsidRPr="000C43B7">
        <w:t>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Heading1"/>
      </w:pPr>
      <w:r>
        <w:t>1</w:t>
      </w:r>
      <w:r>
        <w:tab/>
      </w:r>
      <w:r w:rsidR="00E90E49" w:rsidRPr="00CE0424">
        <w:t>Introduction</w:t>
      </w:r>
    </w:p>
    <w:p w14:paraId="0EEDE408" w14:textId="2E559581" w:rsidR="00477768" w:rsidRPr="000C43B7" w:rsidRDefault="006B4E9D" w:rsidP="00CE0424">
      <w:pPr>
        <w:pStyle w:val="BodyText"/>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Hyperlink"/>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Hyperlink"/>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Heading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w:t>
      </w:r>
      <w:proofErr w:type="spellStart"/>
      <w:r w:rsidRPr="002E2FDB">
        <w:rPr>
          <w:rFonts w:eastAsia="MS Mincho"/>
          <w:b/>
          <w:lang w:val="x-none" w:eastAsia="x-none"/>
        </w:rPr>
        <w:t>Conf</w:t>
      </w:r>
      <w:proofErr w:type="spellEnd"/>
      <w:r w:rsidRPr="002E2FDB">
        <w:rPr>
          <w:rFonts w:eastAsia="MS Mincho"/>
          <w:b/>
          <w:lang w:val="x-none" w:eastAsia="x-none"/>
        </w:rPr>
        <w:t xml:space="preserve">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1A094D"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Huawei, HiSilicon</w:t>
      </w:r>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1A094D"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TableGrid"/>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2"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6516EF"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1A094D" w:rsidP="0095045D">
            <w:pPr>
              <w:pStyle w:val="TAC"/>
              <w:rPr>
                <w:lang w:val="fi-FI" w:eastAsia="ko-KR"/>
              </w:rPr>
            </w:pPr>
            <w:hyperlink r:id="rId17" w:history="1">
              <w:r w:rsidR="000C43B7" w:rsidRPr="00774AB8">
                <w:rPr>
                  <w:rStyle w:val="Hyperlink"/>
                  <w:lang w:val="fi-FI" w:eastAsia="ko-KR"/>
                </w:rPr>
                <w:t>Jarkko.t.koskela@nokia.com</w:t>
              </w:r>
            </w:hyperlink>
          </w:p>
        </w:tc>
      </w:tr>
      <w:tr w:rsidR="002071EC" w:rsidRPr="006516EF"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95045D">
        <w:tc>
          <w:tcPr>
            <w:tcW w:w="3778"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2"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95045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95045D">
        <w:tc>
          <w:tcPr>
            <w:tcW w:w="3778"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2" w:type="dxa"/>
          </w:tcPr>
          <w:p w14:paraId="5E68A3A6" w14:textId="0481C38C" w:rsidR="005C6241" w:rsidRPr="000C43B7" w:rsidRDefault="001A094D" w:rsidP="005C6241">
            <w:pPr>
              <w:pStyle w:val="TAC"/>
              <w:rPr>
                <w:rFonts w:eastAsia="等线"/>
                <w:lang w:val="fi-FI" w:eastAsia="zh-CN"/>
              </w:rPr>
            </w:pPr>
            <w:proofErr w:type="spellStart"/>
            <w:r>
              <w:rPr>
                <w:lang w:val="en-GB" w:eastAsia="ko-KR"/>
              </w:rPr>
              <w:t>david.lecompte</w:t>
            </w:r>
            <w:proofErr w:type="spellEnd"/>
            <w:r w:rsidRPr="00B41AB7">
              <w:rPr>
                <w:rFonts w:eastAsia="等线"/>
                <w:lang w:val="fi-FI" w:eastAsia="zh-CN"/>
              </w:rPr>
              <w:t>@</w:t>
            </w:r>
            <w:r>
              <w:rPr>
                <w:rFonts w:eastAsia="等线"/>
                <w:lang w:val="fi-FI" w:eastAsia="zh-CN"/>
              </w:rPr>
              <w:t>com</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Heading1"/>
        <w:ind w:left="0" w:firstLine="0"/>
      </w:pPr>
      <w:r>
        <w:t>3</w:t>
      </w:r>
      <w:r w:rsidR="00230D18">
        <w:tab/>
      </w:r>
      <w:r w:rsidR="004000E8" w:rsidRPr="00CE0424">
        <w:t>Discussion</w:t>
      </w:r>
      <w:bookmarkEnd w:id="0"/>
    </w:p>
    <w:p w14:paraId="28993631" w14:textId="1B0D83F2" w:rsidR="0002678A" w:rsidRPr="0002678A" w:rsidRDefault="0002678A" w:rsidP="0002678A">
      <w:pPr>
        <w:pStyle w:val="Heading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lang w:eastAsia="ja-JP"/>
        </w:rPr>
      </w:pPr>
      <w:r w:rsidRPr="00466367">
        <w:rPr>
          <w:rFonts w:ascii="Times New Roman" w:hAnsi="Times New Roman"/>
          <w:sz w:val="18"/>
          <w:lang w:eastAsia="ja-JP"/>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rPr>
        <w:t>1&gt;</w:t>
      </w:r>
      <w:r w:rsidRPr="00466367">
        <w:rPr>
          <w:rFonts w:ascii="Times New Roman" w:hAnsi="Times New Roman"/>
          <w:sz w:val="18"/>
          <w:lang w:eastAsia="ja-JP"/>
        </w:rPr>
        <w:tab/>
        <w:t xml:space="preserve">initialize </w:t>
      </w:r>
      <w:proofErr w:type="spellStart"/>
      <w:r w:rsidRPr="00466367">
        <w:rPr>
          <w:rFonts w:ascii="Times New Roman" w:hAnsi="Times New Roman"/>
          <w:i/>
          <w:sz w:val="18"/>
          <w:lang w:eastAsia="ja-JP"/>
        </w:rPr>
        <w:t>Bj</w:t>
      </w:r>
      <w:proofErr w:type="spellEnd"/>
      <w:r w:rsidRPr="00466367">
        <w:rPr>
          <w:rFonts w:ascii="Times New Roman" w:hAnsi="Times New Roman"/>
          <w:sz w:val="18"/>
          <w:lang w:eastAsia="ja-JP"/>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proofErr w:type="spellStart"/>
      <w:r w:rsidRPr="00466367">
        <w:rPr>
          <w:rFonts w:ascii="Times New Roman" w:hAnsi="Times New Roman"/>
          <w:i/>
          <w:sz w:val="18"/>
          <w:lang w:eastAsia="fr-FR"/>
        </w:rPr>
        <w:t>SBj</w:t>
      </w:r>
      <w:proofErr w:type="spellEnd"/>
      <w:r w:rsidRPr="00466367">
        <w:rPr>
          <w:rFonts w:ascii="Times New Roman" w:hAnsi="Times New Roman"/>
          <w:sz w:val="18"/>
          <w:lang w:eastAsia="fr-FR"/>
        </w:rPr>
        <w:t xml:space="preserve"> for each logical channel to zero if </w:t>
      </w:r>
      <w:proofErr w:type="spellStart"/>
      <w:r w:rsidRPr="00466367">
        <w:rPr>
          <w:rFonts w:ascii="Times New Roman" w:hAnsi="Times New Roman"/>
          <w:sz w:val="18"/>
          <w:lang w:eastAsia="fr-FR"/>
        </w:rPr>
        <w:t>Sidelink</w:t>
      </w:r>
      <w:proofErr w:type="spellEnd"/>
      <w:r w:rsidRPr="00466367">
        <w:rPr>
          <w:rFonts w:ascii="Times New Roman" w:hAnsi="Times New Roman"/>
          <w:sz w:val="18"/>
          <w:lang w:eastAsia="fr-FR"/>
        </w:rPr>
        <w:t xml:space="preserve"> resource allocation mode 1 is configured by RRC;</w:t>
      </w:r>
    </w:p>
    <w:p w14:paraId="5D6C65D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running) all timers;</w:t>
      </w:r>
    </w:p>
    <w:p w14:paraId="228C4D4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highlight w:val="cyan"/>
          <w:lang w:eastAsia="ja-JP"/>
        </w:rPr>
        <w:t>1&gt;</w:t>
      </w:r>
      <w:r w:rsidRPr="00466367">
        <w:rPr>
          <w:rFonts w:ascii="Times New Roman" w:hAnsi="Times New Roman"/>
          <w:sz w:val="18"/>
          <w:highlight w:val="cyan"/>
          <w:lang w:eastAsia="ja-JP"/>
        </w:rPr>
        <w:tab/>
        <w:t xml:space="preserve">consider all </w:t>
      </w:r>
      <w:proofErr w:type="spellStart"/>
      <w:r w:rsidRPr="00466367">
        <w:rPr>
          <w:rFonts w:ascii="Times New Roman" w:hAnsi="Times New Roman"/>
          <w:i/>
          <w:sz w:val="18"/>
          <w:highlight w:val="cyan"/>
          <w:lang w:eastAsia="ja-JP"/>
        </w:rPr>
        <w:t>timeAlignmentTimer</w:t>
      </w:r>
      <w:r w:rsidRPr="00466367">
        <w:rPr>
          <w:rFonts w:ascii="Times New Roman" w:hAnsi="Times New Roman"/>
          <w:sz w:val="18"/>
          <w:highlight w:val="cyan"/>
          <w:lang w:eastAsia="ja-JP"/>
        </w:rPr>
        <w:t>s</w:t>
      </w:r>
      <w:proofErr w:type="spellEnd"/>
      <w:r w:rsidRPr="00466367">
        <w:rPr>
          <w:rFonts w:ascii="Times New Roman" w:hAnsi="Times New Roman"/>
          <w:sz w:val="18"/>
          <w:highlight w:val="cyan"/>
          <w:lang w:eastAsia="ja-JP"/>
        </w:rPr>
        <w:t xml:space="preserve"> as expired and perform the corresponding actions in clause 5.2;</w:t>
      </w:r>
    </w:p>
    <w:p w14:paraId="7B7CE0D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sets the NDIs for all HARQ process IDs to the value 0 for monitoring PDCCH in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resource allocation mode 1;</w:t>
      </w:r>
    </w:p>
    <w:p w14:paraId="00F570B6"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any, ongoing Random Access procedure;</w:t>
      </w:r>
    </w:p>
    <w:p w14:paraId="62F1B74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Msg3 buffer;</w:t>
      </w:r>
    </w:p>
    <w:p w14:paraId="463EC46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MSGA buffer;</w:t>
      </w:r>
    </w:p>
    <w:p w14:paraId="7101169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lastRenderedPageBreak/>
        <w:t>1&gt;</w:t>
      </w:r>
      <w:r w:rsidRPr="00466367">
        <w:rPr>
          <w:rFonts w:ascii="Times New Roman" w:hAnsi="Times New Roman"/>
          <w:sz w:val="18"/>
          <w:lang w:eastAsia="ja-JP"/>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consistent LBT failure;</w:t>
      </w:r>
    </w:p>
    <w:p w14:paraId="7C70900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BFR;</w:t>
      </w:r>
    </w:p>
    <w:p w14:paraId="0553554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Buffer Status Reporting procedure;</w:t>
      </w:r>
    </w:p>
    <w:p w14:paraId="68FB9015"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Pre-emptive Buffer Status Reporting</w:t>
      </w:r>
      <w:r w:rsidRPr="00466367">
        <w:rPr>
          <w:rFonts w:ascii="Times New Roman" w:hAnsi="Times New Roman"/>
          <w:sz w:val="18"/>
          <w:lang w:eastAsia="ja-JP"/>
        </w:rPr>
        <w:t xml:space="preserve"> procedure;</w:t>
      </w:r>
    </w:p>
    <w:p w14:paraId="15D3692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Configured uplink grant confirmation</w:t>
      </w:r>
      <w:r w:rsidRPr="00466367">
        <w:rPr>
          <w:rFonts w:ascii="Times New Roman" w:hAnsi="Times New Roman"/>
          <w:sz w:val="18"/>
          <w:lang w:eastAsia="ja-JP"/>
        </w:rPr>
        <w:t>;</w:t>
      </w:r>
    </w:p>
    <w:p w14:paraId="5D496A97"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 xml:space="preserve">configured </w:t>
      </w:r>
      <w:proofErr w:type="spellStart"/>
      <w:r w:rsidRPr="00466367">
        <w:rPr>
          <w:rFonts w:ascii="Times New Roman" w:hAnsi="Times New Roman"/>
          <w:sz w:val="18"/>
        </w:rPr>
        <w:t>sidelink</w:t>
      </w:r>
      <w:proofErr w:type="spellEnd"/>
      <w:r w:rsidRPr="00466367">
        <w:rPr>
          <w:rFonts w:ascii="Times New Roman" w:hAnsi="Times New Roman"/>
          <w:sz w:val="18"/>
        </w:rPr>
        <w:t xml:space="preserve"> grant confirmation</w:t>
      </w:r>
      <w:r w:rsidRPr="00466367">
        <w:rPr>
          <w:rFonts w:ascii="Times New Roman" w:hAnsi="Times New Roman"/>
          <w:sz w:val="18"/>
          <w:lang w:eastAsia="ja-JP"/>
        </w:rPr>
        <w:t>;</w:t>
      </w:r>
    </w:p>
    <w:p w14:paraId="648AFE7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Desired Guard Symbol query</w:t>
      </w:r>
      <w:r w:rsidRPr="00466367">
        <w:rPr>
          <w:rFonts w:ascii="Times New Roman" w:hAnsi="Times New Roman"/>
          <w:sz w:val="18"/>
          <w:lang w:eastAsia="ja-JP"/>
        </w:rPr>
        <w:t>;</w:t>
      </w:r>
    </w:p>
    <w:p w14:paraId="4352073B"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the soft buffers for all DL HARQ processes;</w:t>
      </w:r>
    </w:p>
    <w:p w14:paraId="3CEC4C02"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lang w:eastAsia="ja-JP"/>
        </w:rPr>
        <w:t>1&gt;</w:t>
      </w:r>
      <w:r w:rsidRPr="00466367">
        <w:rPr>
          <w:rFonts w:ascii="Times New Roman" w:hAnsi="Times New Roman"/>
          <w:sz w:val="18"/>
          <w:lang w:eastAsia="ja-JP"/>
        </w:rPr>
        <w:tab/>
        <w:t>release, if any, Temporary C-RNTI</w:t>
      </w:r>
      <w:r w:rsidRPr="00466367">
        <w:rPr>
          <w:rFonts w:ascii="Times New Roman" w:hAnsi="Times New Roman"/>
          <w:sz w:val="18"/>
        </w:rPr>
        <w:t>;</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lastRenderedPageBreak/>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w:t>
      </w:r>
      <w:proofErr w:type="gramStart"/>
      <w:r w:rsidRPr="000C43B7">
        <w:rPr>
          <w:rFonts w:eastAsia="Malgun Gothic"/>
          <w:b/>
        </w:rPr>
        <w:t>or</w:t>
      </w:r>
      <w:proofErr w:type="gramEnd"/>
      <w:r w:rsidRPr="000C43B7">
        <w:rPr>
          <w:rFonts w:eastAsia="Malgun Gothic"/>
          <w:b/>
        </w:rPr>
        <w:t xml:space="preserve"> do you have any other suggestion?</w:t>
      </w:r>
    </w:p>
    <w:tbl>
      <w:tblPr>
        <w:tblStyle w:val="TableGrid"/>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BodyText"/>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BodyText"/>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w:t>
            </w:r>
            <w:proofErr w:type="spellStart"/>
            <w:r w:rsidRPr="004205BD">
              <w:rPr>
                <w:rFonts w:eastAsia="等线"/>
                <w:sz w:val="20"/>
                <w:szCs w:val="20"/>
                <w:lang w:val="en-GB"/>
              </w:rPr>
              <w:t>behavior</w:t>
            </w:r>
            <w:proofErr w:type="spellEnd"/>
            <w:r w:rsidRPr="004205BD">
              <w:rPr>
                <w:rFonts w:eastAsia="等线"/>
                <w:sz w:val="20"/>
                <w:szCs w:val="20"/>
                <w:lang w:val="en-GB"/>
              </w:rPr>
              <w:t xml:space="preserve">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So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 xml:space="preserve">If MAC reset, the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is to stop all MAC timer including TAT timer.</w:t>
            </w:r>
          </w:p>
          <w:p w14:paraId="5D62DE01" w14:textId="77777777" w:rsidR="00476BF7" w:rsidRPr="004205BD" w:rsidRDefault="00476BF7" w:rsidP="004E3250">
            <w:pPr>
              <w:rPr>
                <w:rFonts w:eastAsia="等线"/>
                <w:sz w:val="20"/>
                <w:szCs w:val="20"/>
                <w:lang w:val="en-GB"/>
              </w:rPr>
            </w:pPr>
            <w:r w:rsidRPr="004205BD">
              <w:rPr>
                <w:rFonts w:eastAsia="等线"/>
                <w:sz w:val="20"/>
                <w:szCs w:val="20"/>
                <w:lang w:val="en-GB"/>
              </w:rPr>
              <w:t xml:space="preserve">So I think we should not change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4205B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8E7052">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8E7052">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4205B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8E7052">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8E7052">
        <w:tc>
          <w:tcPr>
            <w:tcW w:w="1415" w:type="dxa"/>
            <w:vAlign w:val="center"/>
          </w:tcPr>
          <w:p w14:paraId="65766B7A" w14:textId="632AAD83" w:rsidR="001A094D" w:rsidRPr="004205BD" w:rsidRDefault="001A094D" w:rsidP="001A094D">
            <w:pPr>
              <w:jc w:val="center"/>
              <w:rPr>
                <w:rFonts w:hint="eastAsia"/>
                <w:sz w:val="20"/>
                <w:szCs w:val="20"/>
              </w:rPr>
            </w:pPr>
            <w:r>
              <w:rPr>
                <w:szCs w:val="20"/>
                <w:lang w:val="en-GB"/>
              </w:rPr>
              <w:lastRenderedPageBreak/>
              <w:t>Huawei, HiSilicon</w:t>
            </w:r>
          </w:p>
        </w:tc>
        <w:tc>
          <w:tcPr>
            <w:tcW w:w="1699" w:type="dxa"/>
          </w:tcPr>
          <w:p w14:paraId="0B0622BB" w14:textId="774F5493" w:rsidR="001A094D" w:rsidRPr="004205BD" w:rsidRDefault="001A094D" w:rsidP="001A094D">
            <w:pPr>
              <w:jc w:val="center"/>
              <w:rPr>
                <w:rFonts w:eastAsia="Malgun Gothic" w:hint="eastAsia"/>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hint="eastAsia"/>
                <w:sz w:val="20"/>
                <w:szCs w:val="20"/>
              </w:rPr>
            </w:pPr>
          </w:p>
        </w:tc>
      </w:tr>
      <w:tr w:rsidR="001A094D" w:rsidRPr="000C43B7" w14:paraId="37B5E491" w14:textId="77777777" w:rsidTr="008E7052">
        <w:tc>
          <w:tcPr>
            <w:tcW w:w="1415" w:type="dxa"/>
            <w:vAlign w:val="center"/>
          </w:tcPr>
          <w:p w14:paraId="6AA72805" w14:textId="77777777" w:rsidR="001A094D" w:rsidRPr="000C43B7" w:rsidRDefault="001A094D" w:rsidP="001A094D">
            <w:pPr>
              <w:jc w:val="center"/>
              <w:rPr>
                <w:szCs w:val="20"/>
                <w:lang w:val="en-GB"/>
              </w:rPr>
            </w:pPr>
          </w:p>
        </w:tc>
        <w:tc>
          <w:tcPr>
            <w:tcW w:w="1699" w:type="dxa"/>
          </w:tcPr>
          <w:p w14:paraId="29B7477F" w14:textId="77777777" w:rsidR="001A094D" w:rsidRPr="000C43B7" w:rsidRDefault="001A094D" w:rsidP="001A094D">
            <w:pPr>
              <w:rPr>
                <w:szCs w:val="20"/>
                <w:lang w:val="en-GB"/>
              </w:rPr>
            </w:pPr>
          </w:p>
        </w:tc>
        <w:tc>
          <w:tcPr>
            <w:tcW w:w="6249" w:type="dxa"/>
            <w:vAlign w:val="center"/>
          </w:tcPr>
          <w:p w14:paraId="773E9A64" w14:textId="77777777" w:rsidR="001A094D" w:rsidRPr="000C43B7" w:rsidRDefault="001A094D" w:rsidP="001A094D">
            <w:pPr>
              <w:rPr>
                <w:szCs w:val="20"/>
                <w:lang w:val="en-GB"/>
              </w:rPr>
            </w:pPr>
          </w:p>
        </w:tc>
      </w:tr>
      <w:tr w:rsidR="001A094D" w:rsidRPr="000C43B7" w14:paraId="5E058893" w14:textId="77777777" w:rsidTr="008E7052">
        <w:tc>
          <w:tcPr>
            <w:tcW w:w="1415" w:type="dxa"/>
            <w:vAlign w:val="center"/>
          </w:tcPr>
          <w:p w14:paraId="4AA92252" w14:textId="77777777" w:rsidR="001A094D" w:rsidRPr="000C43B7" w:rsidRDefault="001A094D" w:rsidP="001A094D">
            <w:pPr>
              <w:jc w:val="center"/>
              <w:rPr>
                <w:szCs w:val="20"/>
                <w:lang w:val="en-GB"/>
              </w:rPr>
            </w:pPr>
          </w:p>
        </w:tc>
        <w:tc>
          <w:tcPr>
            <w:tcW w:w="1699" w:type="dxa"/>
          </w:tcPr>
          <w:p w14:paraId="55968E90" w14:textId="77777777" w:rsidR="001A094D" w:rsidRPr="000C43B7" w:rsidRDefault="001A094D" w:rsidP="001A094D">
            <w:pPr>
              <w:rPr>
                <w:szCs w:val="20"/>
                <w:lang w:val="en-GB"/>
              </w:rPr>
            </w:pPr>
          </w:p>
        </w:tc>
        <w:tc>
          <w:tcPr>
            <w:tcW w:w="6249" w:type="dxa"/>
            <w:vAlign w:val="center"/>
          </w:tcPr>
          <w:p w14:paraId="0BE7FDF0" w14:textId="77777777" w:rsidR="001A094D" w:rsidRPr="000C43B7" w:rsidRDefault="001A094D" w:rsidP="001A094D">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TableGrid"/>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BodyText"/>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BodyText"/>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rFonts w:ascii="Times New Roman" w:hAnsi="Times New Roman"/>
                <w:sz w:val="20"/>
                <w:szCs w:val="20"/>
                <w:lang w:val="en-GB" w:eastAsia="ja-JP"/>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lang w:eastAsia="zh-CN"/>
              </w:rPr>
            </w:pPr>
            <w:r w:rsidRPr="004205BD">
              <w:rPr>
                <w:rFonts w:asciiTheme="minorHAnsi" w:eastAsia="PMingLiU" w:hAnsiTheme="minorHAnsi"/>
                <w:sz w:val="20"/>
                <w:szCs w:val="20"/>
                <w:lang w:eastAsia="zh-CN"/>
              </w:rPr>
              <w:t>2&gt;</w:t>
            </w:r>
            <w:r w:rsidRPr="004205BD">
              <w:rPr>
                <w:rFonts w:asciiTheme="minorHAnsi" w:eastAsia="PMingLiU" w:hAnsiTheme="minorHAnsi"/>
                <w:sz w:val="20"/>
                <w:szCs w:val="20"/>
                <w:lang w:eastAsia="zh-CN"/>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7A1BCE">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7A1BCE">
        <w:tc>
          <w:tcPr>
            <w:tcW w:w="1555" w:type="dxa"/>
            <w:vAlign w:val="center"/>
          </w:tcPr>
          <w:p w14:paraId="3E6D2C85" w14:textId="20B1B2C8" w:rsidR="00733E69" w:rsidRPr="004205BD" w:rsidRDefault="005C6241" w:rsidP="00733E69">
            <w:pPr>
              <w:jc w:val="center"/>
              <w:rPr>
                <w:sz w:val="20"/>
                <w:szCs w:val="20"/>
              </w:rPr>
            </w:pPr>
            <w:r w:rsidRPr="004205BD">
              <w:rPr>
                <w:sz w:val="20"/>
                <w:szCs w:val="20"/>
              </w:rPr>
              <w:lastRenderedPageBreak/>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7A1BCE">
        <w:tc>
          <w:tcPr>
            <w:tcW w:w="1555" w:type="dxa"/>
            <w:vAlign w:val="center"/>
          </w:tcPr>
          <w:p w14:paraId="17E5B5F3" w14:textId="77777777" w:rsidR="00733E69" w:rsidRPr="001B0EB6" w:rsidRDefault="00733E69" w:rsidP="00733E69">
            <w:pPr>
              <w:jc w:val="center"/>
              <w:rPr>
                <w:szCs w:val="20"/>
              </w:rPr>
            </w:pPr>
          </w:p>
        </w:tc>
        <w:tc>
          <w:tcPr>
            <w:tcW w:w="7796" w:type="dxa"/>
            <w:vAlign w:val="center"/>
          </w:tcPr>
          <w:p w14:paraId="2F56353B" w14:textId="77777777" w:rsidR="00733E69" w:rsidRPr="001B0EB6" w:rsidRDefault="00733E69" w:rsidP="00733E69">
            <w:pPr>
              <w:rPr>
                <w:szCs w:val="20"/>
              </w:rPr>
            </w:pPr>
          </w:p>
        </w:tc>
      </w:tr>
      <w:tr w:rsidR="00733E69" w14:paraId="6AF1DC3C" w14:textId="77777777" w:rsidTr="007A1BCE">
        <w:tc>
          <w:tcPr>
            <w:tcW w:w="1555" w:type="dxa"/>
            <w:vAlign w:val="center"/>
          </w:tcPr>
          <w:p w14:paraId="0121265F" w14:textId="77777777" w:rsidR="00733E69" w:rsidRPr="001B0EB6" w:rsidRDefault="00733E69" w:rsidP="00733E69">
            <w:pPr>
              <w:jc w:val="center"/>
              <w:rPr>
                <w:szCs w:val="20"/>
              </w:rPr>
            </w:pPr>
          </w:p>
        </w:tc>
        <w:tc>
          <w:tcPr>
            <w:tcW w:w="7796" w:type="dxa"/>
            <w:vAlign w:val="center"/>
          </w:tcPr>
          <w:p w14:paraId="27290001" w14:textId="77777777" w:rsidR="00733E69" w:rsidRPr="001B0EB6" w:rsidRDefault="00733E69" w:rsidP="00733E69">
            <w:pPr>
              <w:rPr>
                <w:szCs w:val="20"/>
              </w:rPr>
            </w:pPr>
          </w:p>
        </w:tc>
      </w:tr>
      <w:tr w:rsidR="00733E69" w14:paraId="3D7467D1" w14:textId="77777777" w:rsidTr="007A1BCE">
        <w:tc>
          <w:tcPr>
            <w:tcW w:w="1555" w:type="dxa"/>
            <w:vAlign w:val="center"/>
          </w:tcPr>
          <w:p w14:paraId="5B9ADAA3" w14:textId="77777777" w:rsidR="00733E69" w:rsidRPr="001B0EB6" w:rsidRDefault="00733E69" w:rsidP="00733E69">
            <w:pPr>
              <w:jc w:val="center"/>
              <w:rPr>
                <w:szCs w:val="20"/>
              </w:rPr>
            </w:pPr>
          </w:p>
        </w:tc>
        <w:tc>
          <w:tcPr>
            <w:tcW w:w="7796" w:type="dxa"/>
            <w:vAlign w:val="center"/>
          </w:tcPr>
          <w:p w14:paraId="68DB3B07" w14:textId="77777777" w:rsidR="00733E69" w:rsidRPr="001B0EB6" w:rsidRDefault="00733E69" w:rsidP="00733E69">
            <w:pPr>
              <w:rPr>
                <w:szCs w:val="20"/>
              </w:rPr>
            </w:pPr>
          </w:p>
        </w:tc>
      </w:tr>
      <w:tr w:rsidR="00733E69" w14:paraId="0677667B" w14:textId="77777777" w:rsidTr="007A1BCE">
        <w:tc>
          <w:tcPr>
            <w:tcW w:w="1555" w:type="dxa"/>
            <w:vAlign w:val="center"/>
          </w:tcPr>
          <w:p w14:paraId="35BF8276" w14:textId="77777777" w:rsidR="00733E69" w:rsidRPr="001B0EB6" w:rsidRDefault="00733E69" w:rsidP="00733E69">
            <w:pPr>
              <w:jc w:val="center"/>
              <w:rPr>
                <w:szCs w:val="20"/>
              </w:rPr>
            </w:pPr>
          </w:p>
        </w:tc>
        <w:tc>
          <w:tcPr>
            <w:tcW w:w="7796" w:type="dxa"/>
            <w:vAlign w:val="center"/>
          </w:tcPr>
          <w:p w14:paraId="0F428866" w14:textId="77777777" w:rsidR="00733E69" w:rsidRPr="001B0EB6" w:rsidRDefault="00733E69" w:rsidP="00733E69">
            <w:pPr>
              <w:rPr>
                <w:szCs w:val="20"/>
              </w:rPr>
            </w:pPr>
          </w:p>
        </w:tc>
      </w:tr>
      <w:tr w:rsidR="00733E69" w14:paraId="3295F979" w14:textId="77777777" w:rsidTr="007A1BCE">
        <w:tc>
          <w:tcPr>
            <w:tcW w:w="1555" w:type="dxa"/>
            <w:vAlign w:val="center"/>
          </w:tcPr>
          <w:p w14:paraId="2DA343B8" w14:textId="77777777" w:rsidR="00733E69" w:rsidRPr="001B0EB6" w:rsidRDefault="00733E69" w:rsidP="00733E69">
            <w:pPr>
              <w:jc w:val="center"/>
              <w:rPr>
                <w:szCs w:val="20"/>
              </w:rPr>
            </w:pPr>
          </w:p>
        </w:tc>
        <w:tc>
          <w:tcPr>
            <w:tcW w:w="7796" w:type="dxa"/>
            <w:vAlign w:val="center"/>
          </w:tcPr>
          <w:p w14:paraId="4EE49787" w14:textId="77777777" w:rsidR="00733E69" w:rsidRPr="001B0EB6" w:rsidRDefault="00733E69" w:rsidP="00733E69">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Heading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Heading3"/>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BodyText"/>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w:t>
            </w:r>
            <w:proofErr w:type="spellStart"/>
            <w:r w:rsidR="00D231AB" w:rsidRPr="004205BD">
              <w:rPr>
                <w:rFonts w:eastAsia="等线"/>
                <w:sz w:val="20"/>
                <w:szCs w:val="20"/>
                <w:lang w:val="en-GB"/>
              </w:rPr>
              <w:t>SCells</w:t>
            </w:r>
            <w:proofErr w:type="spellEnd"/>
            <w:r w:rsidR="00D231AB" w:rsidRPr="004205BD">
              <w:rPr>
                <w:rFonts w:eastAsia="等线"/>
                <w:sz w:val="20"/>
                <w:szCs w:val="20"/>
                <w:lang w:val="en-GB"/>
              </w:rPr>
              <w:t xml:space="preserve"> will be deactivated state during SCG state. </w:t>
            </w:r>
            <w:r w:rsidR="00D231AB" w:rsidRPr="004205BD">
              <w:rPr>
                <w:rFonts w:eastAsia="等线"/>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4205B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lastRenderedPageBreak/>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95045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95045D">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4205B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95045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95045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95045D">
        <w:tc>
          <w:tcPr>
            <w:tcW w:w="1415" w:type="dxa"/>
            <w:vAlign w:val="center"/>
          </w:tcPr>
          <w:p w14:paraId="44D97312" w14:textId="77777777" w:rsidR="001A094D" w:rsidRPr="000C43B7" w:rsidRDefault="001A094D" w:rsidP="001A094D">
            <w:pPr>
              <w:jc w:val="center"/>
              <w:rPr>
                <w:szCs w:val="20"/>
                <w:lang w:val="en-GB"/>
              </w:rPr>
            </w:pPr>
          </w:p>
        </w:tc>
        <w:tc>
          <w:tcPr>
            <w:tcW w:w="1699" w:type="dxa"/>
          </w:tcPr>
          <w:p w14:paraId="65206296" w14:textId="77777777" w:rsidR="001A094D" w:rsidRPr="000C43B7" w:rsidRDefault="001A094D" w:rsidP="001A094D">
            <w:pPr>
              <w:rPr>
                <w:szCs w:val="20"/>
                <w:lang w:val="en-GB"/>
              </w:rPr>
            </w:pPr>
          </w:p>
        </w:tc>
        <w:tc>
          <w:tcPr>
            <w:tcW w:w="6249" w:type="dxa"/>
            <w:vAlign w:val="center"/>
          </w:tcPr>
          <w:p w14:paraId="267307A9" w14:textId="77777777" w:rsidR="001A094D" w:rsidRPr="000C43B7" w:rsidRDefault="001A094D" w:rsidP="001A094D">
            <w:pPr>
              <w:rPr>
                <w:szCs w:val="20"/>
                <w:lang w:val="en-GB"/>
              </w:rPr>
            </w:pP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Heading3"/>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w:t>
      </w:r>
      <w:r w:rsidR="00B24562" w:rsidRPr="000C43B7">
        <w:rPr>
          <w:rFonts w:eastAsia="Malgun Gothic"/>
          <w:i/>
        </w:rPr>
        <w:lastRenderedPageBreak/>
        <w:t>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ListParagraph"/>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ListParagraph"/>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ListParagraph"/>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ListParagraph"/>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5045D">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5045D">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lastRenderedPageBreak/>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4205BD">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95045D">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95045D">
        <w:tc>
          <w:tcPr>
            <w:tcW w:w="1415" w:type="dxa"/>
            <w:vAlign w:val="center"/>
          </w:tcPr>
          <w:p w14:paraId="79BDA575" w14:textId="6F74C094" w:rsidR="001A094D" w:rsidRPr="000C43B7" w:rsidRDefault="001A094D" w:rsidP="001A094D">
            <w:pPr>
              <w:jc w:val="center"/>
              <w:rPr>
                <w:szCs w:val="20"/>
                <w:lang w:val="en-GB"/>
              </w:rPr>
            </w:pPr>
            <w:r>
              <w:rPr>
                <w:szCs w:val="20"/>
                <w:lang w:val="en-GB"/>
              </w:rPr>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1A094D" w:rsidRPr="000C43B7" w14:paraId="16CC121D" w14:textId="77777777" w:rsidTr="0095045D">
        <w:tc>
          <w:tcPr>
            <w:tcW w:w="1415" w:type="dxa"/>
            <w:vAlign w:val="center"/>
          </w:tcPr>
          <w:p w14:paraId="5F4C09D7" w14:textId="77777777" w:rsidR="001A094D" w:rsidRPr="000C43B7" w:rsidRDefault="001A094D" w:rsidP="001A094D">
            <w:pPr>
              <w:jc w:val="center"/>
              <w:rPr>
                <w:szCs w:val="20"/>
                <w:lang w:val="en-GB"/>
              </w:rPr>
            </w:pPr>
          </w:p>
        </w:tc>
        <w:tc>
          <w:tcPr>
            <w:tcW w:w="1699" w:type="dxa"/>
          </w:tcPr>
          <w:p w14:paraId="0322652F" w14:textId="77777777" w:rsidR="001A094D" w:rsidRPr="000C43B7" w:rsidRDefault="001A094D" w:rsidP="001A094D">
            <w:pPr>
              <w:rPr>
                <w:szCs w:val="20"/>
                <w:lang w:val="en-GB"/>
              </w:rPr>
            </w:pPr>
          </w:p>
        </w:tc>
        <w:tc>
          <w:tcPr>
            <w:tcW w:w="6249" w:type="dxa"/>
            <w:vAlign w:val="center"/>
          </w:tcPr>
          <w:p w14:paraId="59907B03" w14:textId="77777777" w:rsidR="001A094D" w:rsidRPr="000C43B7" w:rsidRDefault="001A094D" w:rsidP="001A094D">
            <w:pPr>
              <w:rPr>
                <w:szCs w:val="20"/>
                <w:lang w:val="en-GB"/>
              </w:rPr>
            </w:pP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BodyText"/>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95045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95045D">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205B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95045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lastRenderedPageBreak/>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95045D">
        <w:tc>
          <w:tcPr>
            <w:tcW w:w="1415" w:type="dxa"/>
            <w:vAlign w:val="center"/>
          </w:tcPr>
          <w:p w14:paraId="0E42B88A" w14:textId="7E73C7E2" w:rsidR="001A094D" w:rsidRPr="000C43B7" w:rsidRDefault="001A094D" w:rsidP="001A094D">
            <w:pPr>
              <w:jc w:val="center"/>
              <w:rPr>
                <w:szCs w:val="20"/>
                <w:lang w:val="en-GB"/>
              </w:rPr>
            </w:pPr>
            <w:r>
              <w:rPr>
                <w:szCs w:val="20"/>
                <w:lang w:val="en-GB"/>
              </w:rPr>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95045D">
        <w:tc>
          <w:tcPr>
            <w:tcW w:w="1415" w:type="dxa"/>
            <w:vAlign w:val="center"/>
          </w:tcPr>
          <w:p w14:paraId="179C815D" w14:textId="77777777" w:rsidR="001A094D" w:rsidRPr="000C43B7" w:rsidRDefault="001A094D" w:rsidP="001A094D">
            <w:pPr>
              <w:jc w:val="center"/>
              <w:rPr>
                <w:szCs w:val="20"/>
                <w:lang w:val="en-GB"/>
              </w:rPr>
            </w:pPr>
          </w:p>
        </w:tc>
        <w:tc>
          <w:tcPr>
            <w:tcW w:w="1699" w:type="dxa"/>
          </w:tcPr>
          <w:p w14:paraId="6A1B95B0" w14:textId="77777777" w:rsidR="001A094D" w:rsidRPr="000C43B7" w:rsidRDefault="001A094D" w:rsidP="001A094D">
            <w:pPr>
              <w:rPr>
                <w:szCs w:val="20"/>
                <w:lang w:val="en-GB"/>
              </w:rPr>
            </w:pPr>
          </w:p>
        </w:tc>
        <w:tc>
          <w:tcPr>
            <w:tcW w:w="6249" w:type="dxa"/>
            <w:vAlign w:val="center"/>
          </w:tcPr>
          <w:p w14:paraId="3F4A7706" w14:textId="77777777" w:rsidR="001A094D" w:rsidRPr="000C43B7" w:rsidRDefault="001A094D" w:rsidP="001A094D">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BodyText"/>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95045D">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95045D">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4205BD">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95045D">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95045D">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95045D">
        <w:tc>
          <w:tcPr>
            <w:tcW w:w="1415" w:type="dxa"/>
            <w:vAlign w:val="center"/>
          </w:tcPr>
          <w:p w14:paraId="108F91C3" w14:textId="77777777" w:rsidR="001A094D" w:rsidRPr="000C43B7" w:rsidRDefault="001A094D" w:rsidP="001A094D">
            <w:pPr>
              <w:jc w:val="center"/>
              <w:rPr>
                <w:szCs w:val="20"/>
                <w:lang w:val="en-GB"/>
              </w:rPr>
            </w:pPr>
          </w:p>
        </w:tc>
        <w:tc>
          <w:tcPr>
            <w:tcW w:w="1699" w:type="dxa"/>
          </w:tcPr>
          <w:p w14:paraId="6ED7AB72" w14:textId="77777777" w:rsidR="001A094D" w:rsidRPr="000C43B7" w:rsidRDefault="001A094D" w:rsidP="001A094D">
            <w:pPr>
              <w:rPr>
                <w:szCs w:val="20"/>
                <w:lang w:val="en-GB"/>
              </w:rPr>
            </w:pPr>
          </w:p>
        </w:tc>
        <w:tc>
          <w:tcPr>
            <w:tcW w:w="6249" w:type="dxa"/>
            <w:vAlign w:val="center"/>
          </w:tcPr>
          <w:p w14:paraId="62D92ACD" w14:textId="77777777" w:rsidR="001A094D" w:rsidRPr="000C43B7" w:rsidRDefault="001A094D" w:rsidP="001A094D">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BodyText"/>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w:t>
            </w:r>
            <w:proofErr w:type="spellStart"/>
            <w:r w:rsidR="00FE2A5C" w:rsidRPr="004205BD">
              <w:rPr>
                <w:rFonts w:eastAsia="等线"/>
                <w:sz w:val="20"/>
                <w:szCs w:val="20"/>
                <w:lang w:val="en-GB"/>
              </w:rPr>
              <w:t>behavior</w:t>
            </w:r>
            <w:proofErr w:type="spellEnd"/>
            <w:r w:rsidR="00FE2A5C" w:rsidRPr="004205BD">
              <w:rPr>
                <w:rFonts w:eastAsia="等线"/>
                <w:sz w:val="20"/>
                <w:szCs w:val="20"/>
                <w:lang w:val="en-GB"/>
              </w:rPr>
              <w:t xml:space="preserve">.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lastRenderedPageBreak/>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77777777" w:rsidR="004205BD" w:rsidRPr="004205BD" w:rsidRDefault="004205BD" w:rsidP="004205BD">
            <w:pPr>
              <w:jc w:val="center"/>
              <w:rPr>
                <w:sz w:val="20"/>
                <w:szCs w:val="20"/>
              </w:rPr>
            </w:pPr>
          </w:p>
        </w:tc>
        <w:tc>
          <w:tcPr>
            <w:tcW w:w="1699" w:type="dxa"/>
          </w:tcPr>
          <w:p w14:paraId="6F716F72" w14:textId="77777777" w:rsidR="004205BD" w:rsidRPr="004205BD" w:rsidRDefault="004205BD" w:rsidP="004205BD">
            <w:pPr>
              <w:rPr>
                <w:sz w:val="20"/>
                <w:szCs w:val="20"/>
              </w:rPr>
            </w:pPr>
          </w:p>
        </w:tc>
        <w:tc>
          <w:tcPr>
            <w:tcW w:w="6249" w:type="dxa"/>
            <w:vAlign w:val="center"/>
          </w:tcPr>
          <w:p w14:paraId="6DCD5A74" w14:textId="77777777" w:rsidR="004205BD" w:rsidRPr="004205BD" w:rsidRDefault="004205BD" w:rsidP="004205BD">
            <w:pPr>
              <w:rPr>
                <w:sz w:val="20"/>
                <w:szCs w:val="20"/>
              </w:rPr>
            </w:pPr>
          </w:p>
        </w:tc>
      </w:tr>
      <w:tr w:rsidR="004205BD" w:rsidRPr="009D5F15" w14:paraId="2215BAAA" w14:textId="77777777" w:rsidTr="0095045D">
        <w:tc>
          <w:tcPr>
            <w:tcW w:w="1415" w:type="dxa"/>
            <w:vAlign w:val="center"/>
          </w:tcPr>
          <w:p w14:paraId="6C43E968" w14:textId="77777777" w:rsidR="004205BD" w:rsidRPr="004205BD" w:rsidRDefault="004205BD" w:rsidP="004205BD">
            <w:pPr>
              <w:jc w:val="center"/>
              <w:rPr>
                <w:sz w:val="20"/>
                <w:szCs w:val="20"/>
              </w:rPr>
            </w:pPr>
          </w:p>
        </w:tc>
        <w:tc>
          <w:tcPr>
            <w:tcW w:w="1699" w:type="dxa"/>
          </w:tcPr>
          <w:p w14:paraId="045E3418" w14:textId="77777777" w:rsidR="004205BD" w:rsidRPr="004205BD" w:rsidRDefault="004205BD" w:rsidP="004205BD">
            <w:pPr>
              <w:rPr>
                <w:sz w:val="20"/>
                <w:szCs w:val="20"/>
              </w:rPr>
            </w:pPr>
          </w:p>
        </w:tc>
        <w:tc>
          <w:tcPr>
            <w:tcW w:w="6249" w:type="dxa"/>
            <w:vAlign w:val="center"/>
          </w:tcPr>
          <w:p w14:paraId="2D013331" w14:textId="77777777" w:rsidR="004205BD" w:rsidRPr="004205BD" w:rsidRDefault="004205BD" w:rsidP="004205BD">
            <w:pPr>
              <w:rPr>
                <w:sz w:val="20"/>
                <w:szCs w:val="20"/>
              </w:rPr>
            </w:pPr>
          </w:p>
        </w:tc>
      </w:tr>
      <w:tr w:rsidR="004205BD" w:rsidRPr="009D5F15" w14:paraId="2AD0BF8E" w14:textId="77777777" w:rsidTr="0095045D">
        <w:tc>
          <w:tcPr>
            <w:tcW w:w="1415" w:type="dxa"/>
            <w:vAlign w:val="center"/>
          </w:tcPr>
          <w:p w14:paraId="36A6D9C2" w14:textId="77777777" w:rsidR="004205BD" w:rsidRPr="004205BD" w:rsidRDefault="004205BD" w:rsidP="004205BD">
            <w:pPr>
              <w:jc w:val="center"/>
              <w:rPr>
                <w:sz w:val="20"/>
                <w:szCs w:val="20"/>
              </w:rPr>
            </w:pPr>
          </w:p>
        </w:tc>
        <w:tc>
          <w:tcPr>
            <w:tcW w:w="1699" w:type="dxa"/>
          </w:tcPr>
          <w:p w14:paraId="39FCC4B0" w14:textId="77777777" w:rsidR="004205BD" w:rsidRPr="004205BD" w:rsidRDefault="004205BD" w:rsidP="004205BD">
            <w:pPr>
              <w:rPr>
                <w:sz w:val="20"/>
                <w:szCs w:val="20"/>
              </w:rPr>
            </w:pPr>
          </w:p>
        </w:tc>
        <w:tc>
          <w:tcPr>
            <w:tcW w:w="6249" w:type="dxa"/>
            <w:vAlign w:val="center"/>
          </w:tcPr>
          <w:p w14:paraId="31126C47" w14:textId="77777777" w:rsidR="004205BD" w:rsidRPr="004205BD" w:rsidRDefault="004205BD" w:rsidP="004205BD">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Heading3"/>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BodyText"/>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lastRenderedPageBreak/>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95045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4205B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95045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95045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95045D">
        <w:tc>
          <w:tcPr>
            <w:tcW w:w="1415" w:type="dxa"/>
            <w:vAlign w:val="center"/>
          </w:tcPr>
          <w:p w14:paraId="5F3F5D6A" w14:textId="77777777" w:rsidR="001A094D" w:rsidRPr="009D5F15" w:rsidRDefault="001A094D" w:rsidP="001A094D">
            <w:pPr>
              <w:jc w:val="center"/>
              <w:rPr>
                <w:szCs w:val="20"/>
              </w:rPr>
            </w:pP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77777777" w:rsidR="001A094D" w:rsidRPr="009D5F15" w:rsidRDefault="001A094D" w:rsidP="001A094D">
            <w:pPr>
              <w:rPr>
                <w:szCs w:val="20"/>
              </w:rPr>
            </w:pP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lastRenderedPageBreak/>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TableGrid"/>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BodyText"/>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BodyText"/>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BodyText"/>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bookmarkStart w:id="7" w:name="_GoBack"/>
            <w:bookmarkEnd w:id="7"/>
          </w:p>
        </w:tc>
      </w:tr>
      <w:tr w:rsidR="00531ED4" w:rsidRPr="000C43B7" w14:paraId="585C1E74" w14:textId="77777777" w:rsidTr="0095045D">
        <w:tc>
          <w:tcPr>
            <w:tcW w:w="1415" w:type="dxa"/>
            <w:vAlign w:val="center"/>
          </w:tcPr>
          <w:p w14:paraId="55881895" w14:textId="324C038B" w:rsidR="00531ED4" w:rsidRPr="000C43B7" w:rsidRDefault="00531ED4" w:rsidP="00531ED4">
            <w:pPr>
              <w:jc w:val="center"/>
              <w:rPr>
                <w:szCs w:val="20"/>
                <w:lang w:val="en-GB"/>
              </w:rPr>
            </w:pPr>
          </w:p>
        </w:tc>
        <w:tc>
          <w:tcPr>
            <w:tcW w:w="1699" w:type="dxa"/>
          </w:tcPr>
          <w:p w14:paraId="6123EE49" w14:textId="77777777" w:rsidR="00531ED4" w:rsidRPr="000C43B7" w:rsidRDefault="00531ED4" w:rsidP="00531ED4">
            <w:pPr>
              <w:rPr>
                <w:szCs w:val="20"/>
                <w:lang w:val="en-GB"/>
              </w:rPr>
            </w:pPr>
          </w:p>
        </w:tc>
        <w:tc>
          <w:tcPr>
            <w:tcW w:w="6249" w:type="dxa"/>
            <w:vAlign w:val="center"/>
          </w:tcPr>
          <w:p w14:paraId="3A793E69" w14:textId="77777777" w:rsidR="00531ED4" w:rsidRPr="000C43B7" w:rsidRDefault="00531ED4" w:rsidP="00531ED4">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Heading1"/>
      </w:pPr>
      <w:r w:rsidRPr="00CE0424">
        <w:lastRenderedPageBreak/>
        <w:t>Conclusion</w:t>
      </w:r>
    </w:p>
    <w:p w14:paraId="0A81B10C" w14:textId="188EEB4A" w:rsidR="002071EC" w:rsidRDefault="002071EC" w:rsidP="006B4E9D">
      <w:pPr>
        <w:pStyle w:val="BodyText"/>
        <w:rPr>
          <w:rFonts w:eastAsia="Malgun Gothic"/>
          <w:b/>
          <w:bCs/>
        </w:rPr>
      </w:pPr>
    </w:p>
    <w:p w14:paraId="3DE54289" w14:textId="3C7E0836" w:rsidR="002071EC" w:rsidRDefault="002071EC" w:rsidP="006B4E9D">
      <w:pPr>
        <w:pStyle w:val="BodyText"/>
        <w:rPr>
          <w:rFonts w:eastAsia="Malgun Gothic"/>
          <w:b/>
          <w:bCs/>
        </w:rPr>
      </w:pPr>
      <w:r>
        <w:rPr>
          <w:rFonts w:eastAsia="Malgun Gothic"/>
          <w:b/>
          <w:bCs/>
        </w:rPr>
        <w:t>TBD</w:t>
      </w:r>
    </w:p>
    <w:p w14:paraId="4A7F2533" w14:textId="77777777" w:rsidR="00B412E2" w:rsidRDefault="00B412E2" w:rsidP="006B4E9D">
      <w:pPr>
        <w:pStyle w:val="BodyText"/>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AFA34" w14:textId="77777777" w:rsidR="00960E3C" w:rsidRDefault="00960E3C">
      <w:r>
        <w:separator/>
      </w:r>
    </w:p>
  </w:endnote>
  <w:endnote w:type="continuationSeparator" w:id="0">
    <w:p w14:paraId="43CB4CE2" w14:textId="77777777" w:rsidR="00960E3C" w:rsidRDefault="00960E3C">
      <w:r>
        <w:continuationSeparator/>
      </w:r>
    </w:p>
  </w:endnote>
  <w:endnote w:type="continuationNotice" w:id="1">
    <w:p w14:paraId="71EB40C0" w14:textId="77777777" w:rsidR="00960E3C" w:rsidRDefault="0096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0BA9D323" w:rsidR="001A094D" w:rsidRDefault="001A094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B50C1">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B50C1">
      <w:rPr>
        <w:rStyle w:val="PageNumber"/>
      </w:rPr>
      <w:t>15</w:t>
    </w:r>
    <w:r>
      <w:rPr>
        <w:rStyle w:val="PageNumber"/>
      </w:rPr>
      <w:fldChar w:fldCharType="end"/>
    </w:r>
    <w:r>
      <w:rPr>
        <w:rStyle w:val="PageNumber"/>
      </w:rPr>
      <w:tab/>
    </w:r>
  </w:p>
  <w:p w14:paraId="473D9D22" w14:textId="77777777" w:rsidR="001A094D" w:rsidRDefault="001A094D"/>
  <w:p w14:paraId="3BB7C2FA" w14:textId="77777777" w:rsidR="001A094D" w:rsidRDefault="001A09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CD466" w14:textId="77777777" w:rsidR="00960E3C" w:rsidRDefault="00960E3C">
      <w:r>
        <w:separator/>
      </w:r>
    </w:p>
  </w:footnote>
  <w:footnote w:type="continuationSeparator" w:id="0">
    <w:p w14:paraId="03E02CFD" w14:textId="77777777" w:rsidR="00960E3C" w:rsidRDefault="00960E3C">
      <w:r>
        <w:continuationSeparator/>
      </w:r>
    </w:p>
  </w:footnote>
  <w:footnote w:type="continuationNotice" w:id="1">
    <w:p w14:paraId="5DF24C27" w14:textId="77777777" w:rsidR="00960E3C" w:rsidRDefault="00960E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A094D" w:rsidRDefault="001A094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0A21AD97" w14:textId="77777777" w:rsidR="001A094D" w:rsidRDefault="001A094D"/>
  <w:p w14:paraId="6610F681" w14:textId="77777777" w:rsidR="001A094D" w:rsidRDefault="001A09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5D"/>
    <w:pPr>
      <w:spacing w:after="160" w:line="259" w:lineRule="auto"/>
    </w:pPr>
    <w:rPr>
      <w:rFonts w:asciiTheme="minorHAnsi" w:hAnsiTheme="minorHAnsi" w:cstheme="minorBidi"/>
      <w:sz w:val="22"/>
      <w:szCs w:val="22"/>
      <w:lang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7F26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65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Normal"/>
    <w:qFormat/>
    <w:rsid w:val="00A95EA8"/>
    <w:pPr>
      <w:numPr>
        <w:numId w:val="3"/>
      </w:numPr>
      <w:tabs>
        <w:tab w:val="left" w:pos="1701"/>
      </w:tabs>
      <w:spacing w:after="120"/>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Normal"/>
    <w:qFormat/>
    <w:rsid w:val="00A95EA8"/>
    <w:pPr>
      <w:numPr>
        <w:numId w:val="43"/>
      </w:numPr>
      <w:spacing w:after="120"/>
    </w:pPr>
    <w:rPr>
      <w:b/>
    </w:rPr>
  </w:style>
  <w:style w:type="paragraph" w:styleId="TableofFigures">
    <w:name w:val="table of figures"/>
    <w:basedOn w:val="Normal"/>
    <w:next w:val="Normal"/>
    <w:uiPriority w:val="99"/>
    <w:unhideWhenUsed/>
    <w:rsid w:val="00A95EA8"/>
    <w:pPr>
      <w:spacing w:after="0"/>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eastAsia="MS Mincho"/>
      <w: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eastAsia="MS Mincho"/>
      <w:i/>
    </w:rPr>
  </w:style>
  <w:style w:type="paragraph" w:customStyle="1" w:styleId="Comments">
    <w:name w:val="Comments"/>
    <w:basedOn w:val="Normal"/>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Normal"/>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DefaultParagraphFont"/>
    <w:uiPriority w:val="99"/>
    <w:semiHidden/>
    <w:unhideWhenUsed/>
    <w:rsid w:val="00400693"/>
    <w:rPr>
      <w:color w:val="605E5C"/>
      <w:shd w:val="clear" w:color="auto" w:fill="E1DFDD"/>
    </w:rPr>
  </w:style>
  <w:style w:type="paragraph" w:customStyle="1" w:styleId="ReviewText">
    <w:name w:val="ReviewText"/>
    <w:basedOn w:val="Normal"/>
    <w:link w:val="ReviewTextChar"/>
    <w:qFormat/>
    <w:rsid w:val="00780EF4"/>
    <w:pPr>
      <w:spacing w:after="80"/>
      <w:ind w:left="567"/>
    </w:pPr>
  </w:style>
  <w:style w:type="character" w:customStyle="1" w:styleId="ReviewTextChar">
    <w:name w:val="ReviewText Char"/>
    <w:basedOn w:val="DefaultParagraphFont"/>
    <w:link w:val="ReviewText"/>
    <w:rsid w:val="00780EF4"/>
    <w:rPr>
      <w:rFonts w:ascii="Arial" w:eastAsia="Times New Roman" w:hAnsi="Arial"/>
      <w:lang w:eastAsia="zh-CN"/>
    </w:rPr>
  </w:style>
  <w:style w:type="paragraph" w:customStyle="1" w:styleId="Agreement">
    <w:name w:val="Agreement"/>
    <w:basedOn w:val="Normal"/>
    <w:next w:val="Normal"/>
    <w:uiPriority w:val="99"/>
    <w:qFormat/>
    <w:rsid w:val="002A4B8C"/>
    <w:pPr>
      <w:numPr>
        <w:numId w:val="33"/>
      </w:numPr>
      <w:spacing w:before="60"/>
    </w:pPr>
    <w:rPr>
      <w:rFonts w:eastAsia="MS Mincho"/>
      <w:b/>
    </w:rPr>
  </w:style>
  <w:style w:type="paragraph" w:customStyle="1" w:styleId="BoldComments">
    <w:name w:val="Bold Comments"/>
    <w:basedOn w:val="Normal"/>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rsid w:val="00575C36"/>
    <w:pPr>
      <w:spacing w:after="60"/>
      <w:jc w:val="center"/>
      <w:outlineLvl w:val="1"/>
    </w:pPr>
  </w:style>
  <w:style w:type="character" w:customStyle="1" w:styleId="SubtitleChar">
    <w:name w:val="Subtitle Char"/>
    <w:basedOn w:val="DefaultParagraphFont"/>
    <w:link w:val="Subtitle"/>
    <w:rsid w:val="00575C36"/>
    <w:rPr>
      <w:rFonts w:asciiTheme="minorHAnsi" w:hAnsiTheme="minorHAnsi" w:cstheme="minorBidi"/>
      <w:kern w:val="2"/>
      <w:sz w:val="24"/>
      <w:szCs w:val="24"/>
      <w:lang w:val="en-US" w:eastAsia="ko-KR"/>
    </w:rPr>
  </w:style>
  <w:style w:type="paragraph" w:styleId="Title">
    <w:name w:val="Title"/>
    <w:basedOn w:val="Normal"/>
    <w:next w:val="Normal"/>
    <w:link w:val="TitleChar"/>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DefaultParagraphFont"/>
    <w:rsid w:val="008A549A"/>
    <w:rPr>
      <w:lang w:eastAsia="en-US"/>
    </w:rPr>
  </w:style>
  <w:style w:type="character" w:customStyle="1" w:styleId="B3Char">
    <w:name w:val="B3 Char"/>
    <w:rsid w:val="00C3419A"/>
    <w:rPr>
      <w:rFonts w:eastAsia="MS Mincho"/>
      <w:lang w:val="en-GB" w:eastAsia="en-US" w:bidi="ar-SA"/>
    </w:rPr>
  </w:style>
  <w:style w:type="character" w:customStyle="1" w:styleId="1">
    <w:name w:val="未处理的提及1"/>
    <w:basedOn w:val="DefaultParagraphFont"/>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5.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04F7F0-09D7-47E1-8513-721549F1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4581</Words>
  <Characters>23457</Characters>
  <Application>Microsoft Office Word</Application>
  <DocSecurity>0</DocSecurity>
  <Lines>633</Lines>
  <Paragraphs>292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27746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Huawei, HiSilicon</cp:lastModifiedBy>
  <cp:revision>3</cp:revision>
  <cp:lastPrinted>2008-01-31T07:09:00Z</cp:lastPrinted>
  <dcterms:created xsi:type="dcterms:W3CDTF">2021-11-07T21:42:00Z</dcterms:created>
  <dcterms:modified xsi:type="dcterms:W3CDTF">2021-11-07T21:58:00Z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ies>
</file>