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Arial" w:hAnsi="Arial" w:eastAsia="宋体" w:cs="Times New Roman"/>
          <w:b/>
          <w:strike w:val="0"/>
          <w:dstrike w:val="0"/>
          <w:kern w:val="2"/>
          <w:sz w:val="24"/>
          <w:szCs w:val="21"/>
          <w:highlight w:val="none"/>
          <w:lang w:val="en-US" w:eastAsia="zh-CN" w:bidi="ar-SA"/>
        </w:rPr>
      </w:pPr>
      <w:bookmarkStart w:id="0" w:name="_Toc18403966"/>
      <w:bookmarkStart w:id="1" w:name="_Toc18413600"/>
      <w:bookmarkStart w:id="2" w:name="_Toc18404533"/>
      <w:r>
        <w:rPr>
          <w:rFonts w:ascii="Times New Roman" w:hAnsi="Times New Roman"/>
          <w:b/>
          <w:strike w:val="0"/>
          <w:dstrike w:val="0"/>
          <w:sz w:val="24"/>
          <w:highlight w:val="none"/>
        </w:rPr>
        <w:t>3GPP TSG-RAN WG2 Meeting #</w:t>
      </w:r>
      <w:r>
        <w:rPr>
          <w:rFonts w:ascii="Times New Roman" w:hAnsi="Times New Roman"/>
          <w:b/>
          <w:strike w:val="0"/>
          <w:dstrike w:val="0"/>
          <w:sz w:val="24"/>
          <w:highlight w:val="none"/>
          <w:lang w:eastAsia="zh-CN"/>
        </w:rPr>
        <w:t>1</w:t>
      </w:r>
      <w:r>
        <w:rPr>
          <w:rFonts w:hint="eastAsia" w:ascii="Times New Roman" w:hAnsi="Times New Roman"/>
          <w:b/>
          <w:strike w:val="0"/>
          <w:dstrike w:val="0"/>
          <w:sz w:val="24"/>
          <w:highlight w:val="none"/>
          <w:lang w:val="en-US" w:eastAsia="zh-CN"/>
        </w:rPr>
        <w:t>1</w:t>
      </w:r>
      <w:r>
        <w:rPr>
          <w:rFonts w:hint="default" w:ascii="Times New Roman" w:hAnsi="Times New Roman"/>
          <w:b/>
          <w:strike w:val="0"/>
          <w:dstrike w:val="0"/>
          <w:sz w:val="24"/>
          <w:highlight w:val="none"/>
          <w:lang w:val="en-US" w:eastAsia="zh-CN"/>
        </w:rPr>
        <w:t>6</w:t>
      </w:r>
      <w:r>
        <w:rPr>
          <w:rFonts w:hint="eastAsia" w:ascii="Times New Roman" w:hAnsi="Times New Roman"/>
          <w:b/>
          <w:strike w:val="0"/>
          <w:dstrike w:val="0"/>
          <w:sz w:val="24"/>
          <w:highlight w:val="none"/>
          <w:lang w:val="en-US" w:eastAsia="zh-CN"/>
        </w:rPr>
        <w:t>-e</w:t>
      </w:r>
      <w:r>
        <w:rPr>
          <w:rFonts w:ascii="Times New Roman" w:hAnsi="Times New Roman"/>
          <w:b/>
          <w:i/>
          <w:strike w:val="0"/>
          <w:dstrike w:val="0"/>
          <w:sz w:val="24"/>
          <w:highlight w:val="none"/>
        </w:rPr>
        <w:t xml:space="preserve"> </w:t>
      </w:r>
      <w:r>
        <w:rPr>
          <w:rFonts w:ascii="Times New Roman" w:hAnsi="Times New Roman"/>
          <w:b/>
          <w:i/>
          <w:strike w:val="0"/>
          <w:dstrike w:val="0"/>
          <w:sz w:val="24"/>
          <w:highlight w:val="none"/>
          <w:lang w:val="en-US" w:eastAsia="zh-CN"/>
        </w:rPr>
        <w:t xml:space="preserve">                       </w:t>
      </w:r>
      <w:r>
        <w:rPr>
          <w:rFonts w:hint="eastAsia" w:ascii="Arial" w:hAnsi="Arial" w:eastAsia="宋体" w:cs="Times New Roman"/>
          <w:b/>
          <w:strike w:val="0"/>
          <w:dstrike w:val="0"/>
          <w:kern w:val="2"/>
          <w:sz w:val="24"/>
          <w:szCs w:val="21"/>
          <w:highlight w:val="none"/>
          <w:lang w:val="en-US" w:eastAsia="zh-CN" w:bidi="ar-SA"/>
        </w:rPr>
        <w:t xml:space="preserve"> </w:t>
      </w:r>
      <w:r>
        <w:rPr>
          <w:rFonts w:hint="eastAsia" w:ascii="Arial" w:hAnsi="Arial" w:eastAsia="宋体" w:cs="Times New Roman"/>
          <w:b/>
          <w:strike w:val="0"/>
          <w:dstrike w:val="0"/>
          <w:kern w:val="2"/>
          <w:sz w:val="24"/>
          <w:szCs w:val="21"/>
          <w:highlight w:val="none"/>
          <w:lang w:val="zh-CN" w:eastAsia="zh-CN" w:bidi="ar-SA"/>
        </w:rPr>
        <w:t>R2-2110990</w:t>
      </w:r>
    </w:p>
    <w:p>
      <w:pPr>
        <w:pStyle w:val="286"/>
        <w:rPr>
          <w:rFonts w:cs="Arial"/>
          <w:bCs/>
          <w:strike w:val="0"/>
          <w:kern w:val="0"/>
          <w:sz w:val="28"/>
          <w:szCs w:val="28"/>
          <w:highlight w:val="none"/>
        </w:rPr>
      </w:pPr>
      <w:r>
        <w:rPr>
          <w:strike w:val="0"/>
          <w:dstrike w:val="0"/>
          <w:highlight w:val="none"/>
        </w:rPr>
        <w:t xml:space="preserve">Electronic meeting, </w:t>
      </w:r>
      <w:r>
        <w:rPr>
          <w:rFonts w:hint="default"/>
          <w:strike w:val="0"/>
          <w:dstrike w:val="0"/>
          <w:highlight w:val="none"/>
          <w:lang w:val="en-US"/>
        </w:rPr>
        <w:t>1</w:t>
      </w:r>
      <w:r>
        <w:rPr>
          <w:rFonts w:hint="eastAsia"/>
          <w:strike w:val="0"/>
          <w:dstrike w:val="0"/>
          <w:highlight w:val="none"/>
          <w:lang w:val="en-US" w:eastAsia="zh-CN"/>
        </w:rPr>
        <w:t xml:space="preserve"> </w:t>
      </w:r>
      <w:r>
        <w:rPr>
          <w:rFonts w:hint="default"/>
          <w:strike w:val="0"/>
          <w:dstrike w:val="0"/>
          <w:highlight w:val="none"/>
          <w:lang w:val="en-US" w:eastAsia="zh-CN"/>
        </w:rPr>
        <w:t>Nov</w:t>
      </w:r>
      <w:r>
        <w:rPr>
          <w:strike w:val="0"/>
          <w:dstrike w:val="0"/>
          <w:highlight w:val="none"/>
        </w:rPr>
        <w:t xml:space="preserve"> – </w:t>
      </w:r>
      <w:r>
        <w:rPr>
          <w:rFonts w:hint="default"/>
          <w:strike w:val="0"/>
          <w:dstrike w:val="0"/>
          <w:highlight w:val="none"/>
          <w:lang w:val="en-US"/>
        </w:rPr>
        <w:t>12</w:t>
      </w:r>
      <w:r>
        <w:rPr>
          <w:strike w:val="0"/>
          <w:dstrike w:val="0"/>
          <w:highlight w:val="none"/>
        </w:rPr>
        <w:t xml:space="preserve"> </w:t>
      </w:r>
      <w:r>
        <w:rPr>
          <w:rFonts w:hint="default"/>
          <w:strike w:val="0"/>
          <w:dstrike w:val="0"/>
          <w:highlight w:val="none"/>
          <w:lang w:val="en-US"/>
        </w:rPr>
        <w:t>Nov</w:t>
      </w:r>
      <w:r>
        <w:rPr>
          <w:rFonts w:hint="eastAsia" w:eastAsia="宋体"/>
          <w:strike w:val="0"/>
          <w:dstrike w:val="0"/>
          <w:highlight w:val="none"/>
          <w:lang w:val="en-US" w:eastAsia="zh-CN"/>
        </w:rPr>
        <w:t xml:space="preserve"> </w:t>
      </w:r>
      <w:r>
        <w:rPr>
          <w:strike w:val="0"/>
          <w:dstrike w:val="0"/>
          <w:highlight w:val="none"/>
        </w:rPr>
        <w:t>202</w:t>
      </w:r>
      <w:r>
        <w:rPr>
          <w:rFonts w:hint="eastAsia"/>
          <w:strike w:val="0"/>
          <w:dstrike w:val="0"/>
          <w:highlight w:val="none"/>
          <w:lang w:val="en-US" w:eastAsia="zh-CN"/>
        </w:rPr>
        <w:t>1</w:t>
      </w:r>
      <w:r>
        <w:rPr>
          <w:rFonts w:cs="Arial"/>
          <w:bCs/>
          <w:strike w:val="0"/>
          <w:kern w:val="0"/>
          <w:sz w:val="28"/>
          <w:szCs w:val="28"/>
          <w:highlight w:val="none"/>
        </w:rPr>
        <w:tab/>
      </w:r>
      <w:r>
        <w:rPr>
          <w:rFonts w:cs="Arial"/>
          <w:bCs/>
          <w:strike w:val="0"/>
          <w:kern w:val="0"/>
          <w:sz w:val="28"/>
          <w:szCs w:val="28"/>
          <w:highlight w:val="none"/>
        </w:rPr>
        <w:t xml:space="preserve">      </w:t>
      </w:r>
      <w:r>
        <w:rPr>
          <w:rFonts w:cs="Arial"/>
          <w:bCs/>
          <w:strike w:val="0"/>
          <w:color w:val="D9D9D9" w:themeColor="background1" w:themeShade="D9"/>
          <w:kern w:val="0"/>
          <w:sz w:val="20"/>
          <w:szCs w:val="28"/>
          <w:highlight w:val="none"/>
        </w:rPr>
        <w:t xml:space="preserve">   </w:t>
      </w:r>
    </w:p>
    <w:p>
      <w:pPr>
        <w:overflowPunct w:val="0"/>
        <w:autoSpaceDE w:val="0"/>
        <w:autoSpaceDN w:val="0"/>
        <w:adjustRightInd w:val="0"/>
        <w:snapToGrid w:val="0"/>
        <w:spacing w:before="240"/>
        <w:jc w:val="left"/>
        <w:textAlignment w:val="baseline"/>
        <w:rPr>
          <w:b/>
          <w:sz w:val="24"/>
          <w:highlight w:val="none"/>
        </w:rPr>
      </w:pPr>
      <w:r>
        <w:rPr>
          <w:b/>
          <w:sz w:val="24"/>
          <w:highlight w:val="none"/>
        </w:rPr>
        <w:t xml:space="preserve">Source: </w:t>
      </w:r>
      <w:r>
        <w:rPr>
          <w:b/>
          <w:sz w:val="24"/>
          <w:highlight w:val="none"/>
        </w:rPr>
        <w:tab/>
      </w:r>
      <w:r>
        <w:rPr>
          <w:b/>
          <w:sz w:val="24"/>
          <w:highlight w:val="none"/>
        </w:rPr>
        <w:tab/>
      </w:r>
      <w:r>
        <w:rPr>
          <w:b/>
          <w:sz w:val="24"/>
          <w:highlight w:val="none"/>
        </w:rPr>
        <w:tab/>
      </w:r>
      <w:bookmarkStart w:id="3" w:name="OLE_LINK6"/>
      <w:r>
        <w:rPr>
          <w:b/>
          <w:sz w:val="24"/>
          <w:highlight w:val="none"/>
        </w:rPr>
        <w:t>ZTE Corporation, Sanechips</w:t>
      </w:r>
      <w:bookmarkEnd w:id="3"/>
    </w:p>
    <w:p>
      <w:pPr>
        <w:overflowPunct w:val="0"/>
        <w:autoSpaceDE w:val="0"/>
        <w:autoSpaceDN w:val="0"/>
        <w:adjustRightInd w:val="0"/>
        <w:snapToGrid w:val="0"/>
        <w:ind w:left="2100" w:hanging="2100"/>
        <w:jc w:val="left"/>
        <w:textAlignment w:val="baseline"/>
        <w:rPr>
          <w:rFonts w:hint="default"/>
          <w:b/>
          <w:sz w:val="24"/>
          <w:highlight w:val="none"/>
          <w:lang w:val="en-US"/>
        </w:rPr>
      </w:pPr>
      <w:r>
        <w:rPr>
          <w:b/>
          <w:sz w:val="24"/>
          <w:highlight w:val="none"/>
        </w:rPr>
        <w:t xml:space="preserve">Title: </w:t>
      </w:r>
      <w:r>
        <w:rPr>
          <w:b/>
          <w:sz w:val="24"/>
          <w:highlight w:val="none"/>
        </w:rPr>
        <w:tab/>
      </w:r>
      <w:bookmarkStart w:id="4" w:name="OLE_LINK5"/>
      <w:bookmarkStart w:id="5" w:name="OLE_LINK2"/>
      <w:r>
        <w:rPr>
          <w:rFonts w:hint="eastAsia"/>
          <w:b/>
          <w:sz w:val="24"/>
          <w:highlight w:val="none"/>
          <w:lang w:val="en-US" w:eastAsia="zh-CN"/>
        </w:rPr>
        <w:t>Discussion on</w:t>
      </w:r>
      <w:bookmarkEnd w:id="4"/>
      <w:bookmarkEnd w:id="5"/>
      <w:r>
        <w:rPr>
          <w:rFonts w:hint="eastAsia"/>
          <w:b/>
          <w:sz w:val="24"/>
          <w:highlight w:val="none"/>
          <w:lang w:val="en-US" w:eastAsia="zh-CN"/>
        </w:rPr>
        <w:t xml:space="preserve"> </w:t>
      </w:r>
      <w:r>
        <w:rPr>
          <w:rFonts w:hint="default"/>
          <w:b/>
          <w:sz w:val="24"/>
          <w:highlight w:val="none"/>
          <w:lang w:val="en-US" w:eastAsia="zh-CN"/>
        </w:rPr>
        <w:t>buffer for NR QoE start and stop</w:t>
      </w:r>
      <w:r>
        <w:rPr>
          <w:rFonts w:hint="eastAsia"/>
          <w:b/>
          <w:sz w:val="24"/>
          <w:highlight w:val="none"/>
          <w:lang w:val="en-US" w:eastAsia="zh-CN"/>
        </w:rPr>
        <w:t xml:space="preserve"> </w:t>
      </w:r>
    </w:p>
    <w:p>
      <w:pPr>
        <w:overflowPunct w:val="0"/>
        <w:autoSpaceDE w:val="0"/>
        <w:autoSpaceDN w:val="0"/>
        <w:adjustRightInd w:val="0"/>
        <w:snapToGrid w:val="0"/>
        <w:jc w:val="left"/>
        <w:textAlignment w:val="baseline"/>
        <w:rPr>
          <w:rFonts w:hint="default" w:eastAsiaTheme="minorEastAsia"/>
          <w:b/>
          <w:sz w:val="24"/>
          <w:highlight w:val="none"/>
          <w:lang w:val="en-US" w:eastAsia="zh-CN"/>
        </w:rPr>
      </w:pPr>
      <w:r>
        <w:rPr>
          <w:b/>
          <w:sz w:val="24"/>
          <w:highlight w:val="none"/>
        </w:rPr>
        <w:t>Agenda item:</w:t>
      </w:r>
      <w:r>
        <w:rPr>
          <w:b/>
          <w:sz w:val="24"/>
          <w:highlight w:val="none"/>
        </w:rPr>
        <w:tab/>
      </w:r>
      <w:bookmarkStart w:id="6" w:name="Source"/>
      <w:bookmarkEnd w:id="6"/>
      <w:r>
        <w:rPr>
          <w:rFonts w:hint="eastAsia"/>
          <w:b/>
          <w:sz w:val="24"/>
          <w:highlight w:val="none"/>
          <w:lang w:val="en-US" w:eastAsia="zh-CN"/>
        </w:rPr>
        <w:tab/>
      </w:r>
      <w:r>
        <w:rPr>
          <w:rFonts w:hint="eastAsia"/>
          <w:b/>
          <w:strike w:val="0"/>
          <w:dstrike w:val="0"/>
          <w:sz w:val="24"/>
          <w:highlight w:val="none"/>
          <w:lang w:val="en-US" w:eastAsia="zh-CN"/>
        </w:rPr>
        <w:t>8.14.2.2</w:t>
      </w:r>
    </w:p>
    <w:p>
      <w:pPr>
        <w:overflowPunct w:val="0"/>
        <w:autoSpaceDE w:val="0"/>
        <w:autoSpaceDN w:val="0"/>
        <w:adjustRightInd w:val="0"/>
        <w:snapToGrid w:val="0"/>
        <w:jc w:val="left"/>
        <w:textAlignment w:val="baseline"/>
        <w:rPr>
          <w:b/>
          <w:sz w:val="24"/>
          <w:highlight w:val="none"/>
        </w:rPr>
      </w:pPr>
      <w:r>
        <w:rPr>
          <w:b/>
          <w:sz w:val="24"/>
          <w:highlight w:val="none"/>
        </w:rPr>
        <w:t>Document for:</w:t>
      </w:r>
      <w:bookmarkStart w:id="7" w:name="DocumentFor"/>
      <w:bookmarkEnd w:id="7"/>
      <w:r>
        <w:rPr>
          <w:rFonts w:hint="eastAsia"/>
          <w:b/>
          <w:sz w:val="24"/>
          <w:highlight w:val="none"/>
        </w:rPr>
        <w:t xml:space="preserve"> </w:t>
      </w:r>
      <w:r>
        <w:rPr>
          <w:b/>
          <w:sz w:val="24"/>
          <w:highlight w:val="none"/>
        </w:rPr>
        <w:tab/>
      </w:r>
      <w:r>
        <w:rPr>
          <w:b/>
          <w:sz w:val="24"/>
          <w:highlight w:val="none"/>
        </w:rPr>
        <w:t>Discussion</w:t>
      </w:r>
      <w:r>
        <w:rPr>
          <w:rFonts w:hint="eastAsia"/>
          <w:b/>
          <w:sz w:val="24"/>
          <w:highlight w:val="none"/>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eastAsia" w:eastAsia="宋体" w:cs="Arial"/>
          <w:color w:val="000000"/>
          <w:sz w:val="21"/>
          <w:lang w:val="en-US" w:eastAsia="zh-CN"/>
        </w:rPr>
      </w:pPr>
      <w:r>
        <w:rPr>
          <w:rFonts w:cs="Arial"/>
          <w:b w:val="0"/>
          <w:bCs w:val="0"/>
          <w:kern w:val="0"/>
          <w:sz w:val="32"/>
          <w:szCs w:val="36"/>
        </w:rPr>
        <w:t>Introduction</w:t>
      </w:r>
      <w:bookmarkEnd w:id="0"/>
      <w:bookmarkEnd w:id="1"/>
      <w:bookmarkEnd w:id="2"/>
    </w:p>
    <w:p>
      <w:pPr>
        <w:rPr>
          <w:rFonts w:hint="eastAsia" w:eastAsia="宋体" w:cs="Arial"/>
          <w:sz w:val="21"/>
          <w:szCs w:val="21"/>
          <w:lang w:val="en-US" w:eastAsia="zh-CN"/>
        </w:rPr>
      </w:pPr>
      <w:r>
        <w:rPr>
          <w:rFonts w:hint="eastAsia" w:eastAsia="宋体" w:cs="Arial"/>
          <w:sz w:val="21"/>
          <w:szCs w:val="21"/>
          <w:lang w:val="en-US" w:eastAsia="zh-CN"/>
        </w:rPr>
        <w:t xml:space="preserve">The agreement companies made </w:t>
      </w:r>
      <w:r>
        <w:rPr>
          <w:rFonts w:hint="eastAsia" w:eastAsia="宋体" w:cs="Arial"/>
          <w:sz w:val="21"/>
          <w:szCs w:val="21"/>
          <w:highlight w:val="none"/>
          <w:lang w:val="en-US" w:eastAsia="zh-CN"/>
        </w:rPr>
        <w:t>in RAN2#11</w:t>
      </w:r>
      <w:r>
        <w:rPr>
          <w:rFonts w:hint="default" w:eastAsia="宋体" w:cs="Arial"/>
          <w:sz w:val="21"/>
          <w:szCs w:val="21"/>
          <w:highlight w:val="none"/>
          <w:lang w:val="en-US" w:eastAsia="zh-CN"/>
        </w:rPr>
        <w:t>4</w:t>
      </w:r>
      <w:bookmarkStart w:id="16" w:name="_GoBack"/>
      <w:bookmarkEnd w:id="16"/>
      <w:r>
        <w:rPr>
          <w:rFonts w:hint="eastAsia" w:eastAsia="宋体" w:cs="Arial"/>
          <w:sz w:val="21"/>
          <w:szCs w:val="21"/>
          <w:highlight w:val="none"/>
          <w:lang w:val="en-US" w:eastAsia="zh-CN"/>
        </w:rPr>
        <w:t xml:space="preserve">e [1] on </w:t>
      </w:r>
      <w:r>
        <w:rPr>
          <w:rFonts w:hint="eastAsia" w:eastAsia="宋体" w:cs="Arial"/>
          <w:sz w:val="21"/>
          <w:szCs w:val="21"/>
          <w:lang w:val="en-US" w:eastAsia="zh-CN"/>
        </w:rPr>
        <w:t xml:space="preserve">the NR QoE </w:t>
      </w:r>
      <w:r>
        <w:rPr>
          <w:rFonts w:hint="default" w:eastAsia="宋体" w:cs="Arial"/>
          <w:sz w:val="21"/>
          <w:szCs w:val="21"/>
          <w:lang w:val="en-US" w:eastAsia="zh-CN"/>
        </w:rPr>
        <w:t>start and stop section</w:t>
      </w:r>
      <w:r>
        <w:rPr>
          <w:rFonts w:hint="eastAsia" w:eastAsia="宋体" w:cs="Arial"/>
          <w:sz w:val="21"/>
          <w:szCs w:val="21"/>
          <w:lang w:val="en-US" w:eastAsia="zh-CN"/>
        </w:rPr>
        <w:t xml:space="preserve"> is shown below:</w:t>
      </w:r>
    </w:p>
    <w:p>
      <w:pPr>
        <w:pBdr>
          <w:top w:val="single" w:color="auto" w:sz="4" w:space="0"/>
          <w:left w:val="single" w:color="auto" w:sz="4" w:space="0"/>
          <w:bottom w:val="single" w:color="auto" w:sz="4" w:space="0"/>
          <w:right w:val="single" w:color="auto" w:sz="4" w:space="0"/>
        </w:pBdr>
        <w:rPr>
          <w:rFonts w:hint="default" w:eastAsia="宋体" w:cs="Arial"/>
          <w:sz w:val="21"/>
          <w:szCs w:val="21"/>
          <w:lang w:val="en-US" w:eastAsia="zh-CN"/>
        </w:rPr>
      </w:pPr>
      <w:r>
        <w:rPr>
          <w:rFonts w:hint="default" w:eastAsia="宋体" w:cs="Arial"/>
          <w:sz w:val="21"/>
          <w:szCs w:val="21"/>
          <w:lang w:val="en-US" w:eastAsia="zh-CN"/>
        </w:rPr>
        <w:t>At reception of QoE release, the UE shall discard any unsent QoE reports corresponding to the released QoE configuration.</w:t>
      </w:r>
    </w:p>
    <w:p>
      <w:pPr>
        <w:pBdr>
          <w:top w:val="single" w:color="auto" w:sz="4" w:space="0"/>
          <w:left w:val="single" w:color="auto" w:sz="4" w:space="0"/>
          <w:bottom w:val="single" w:color="auto" w:sz="4" w:space="0"/>
          <w:right w:val="single" w:color="auto" w:sz="4" w:space="0"/>
        </w:pBdr>
        <w:rPr>
          <w:rFonts w:hint="default" w:eastAsia="宋体" w:cs="Arial"/>
          <w:sz w:val="21"/>
          <w:szCs w:val="21"/>
          <w:lang w:val="en-US" w:eastAsia="zh-CN"/>
        </w:rPr>
      </w:pPr>
      <w:r>
        <w:rPr>
          <w:rFonts w:hint="default" w:eastAsia="宋体" w:cs="Arial"/>
          <w:sz w:val="21"/>
          <w:szCs w:val="21"/>
          <w:lang w:val="en-US" w:eastAsia="zh-CN"/>
        </w:rPr>
        <w:t xml:space="preserve">FFS whether pause resume will affect all configurations or whether pause resume can act selectively per configuration. </w:t>
      </w:r>
    </w:p>
    <w:p>
      <w:pPr>
        <w:pBdr>
          <w:top w:val="single" w:color="auto" w:sz="4" w:space="0"/>
          <w:left w:val="single" w:color="auto" w:sz="4" w:space="0"/>
          <w:bottom w:val="single" w:color="auto" w:sz="4" w:space="0"/>
          <w:right w:val="single" w:color="auto" w:sz="4" w:space="0"/>
        </w:pBdr>
        <w:rPr>
          <w:rFonts w:hint="default" w:eastAsia="宋体" w:cs="Arial"/>
          <w:sz w:val="21"/>
          <w:szCs w:val="21"/>
          <w:lang w:val="en-US" w:eastAsia="zh-CN"/>
        </w:rPr>
      </w:pPr>
      <w:r>
        <w:rPr>
          <w:rFonts w:hint="default" w:eastAsia="宋体" w:cs="Arial"/>
          <w:sz w:val="21"/>
          <w:szCs w:val="21"/>
          <w:lang w:val="en-US" w:eastAsia="zh-CN"/>
        </w:rPr>
        <w:t>On whether to store reports in the AS or the application layer at Pause, Send LS to SA4/SA5/SA3 to inform them about the options and their pros/cons (if possible) and ask them for feedback. RAN2 will continue work on this topic based on the feedback received.</w:t>
      </w:r>
    </w:p>
    <w:p>
      <w:pPr>
        <w:pStyle w:val="53"/>
        <w:spacing w:before="75" w:beforeAutospacing="0" w:after="75" w:afterAutospacing="0" w:line="315" w:lineRule="atLeast"/>
        <w:rPr>
          <w:rFonts w:hint="default" w:eastAsia="宋体" w:cs="Arial"/>
          <w:color w:val="000000"/>
          <w:sz w:val="21"/>
          <w:u w:val="single"/>
          <w:lang w:val="en-US" w:eastAsia="zh-CN"/>
        </w:rPr>
      </w:pPr>
      <w:r>
        <w:rPr>
          <w:rFonts w:hint="default" w:eastAsia="宋体" w:cs="Arial"/>
          <w:color w:val="000000"/>
          <w:sz w:val="21"/>
          <w:u w:val="single"/>
          <w:lang w:val="en-US" w:eastAsia="zh-CN"/>
        </w:rPr>
        <w:t>The intention of this contribution is to share our views on the pause/resume QoE reporting based on the agreements and received LS if companies still want to keep developing this function in Rel-17.</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default" w:cs="Arial"/>
          <w:b w:val="0"/>
          <w:bCs w:val="0"/>
          <w:kern w:val="0"/>
          <w:sz w:val="32"/>
          <w:szCs w:val="36"/>
          <w:lang w:val="en-US" w:eastAsia="zh-CN"/>
        </w:rPr>
        <w:t>Discussion on buffer handling</w:t>
      </w:r>
    </w:p>
    <w:p>
      <w:pPr>
        <w:rPr>
          <w:rFonts w:hint="default"/>
          <w:lang w:val="en-US" w:eastAsia="zh-CN"/>
        </w:rPr>
      </w:pPr>
      <w:r>
        <w:rPr>
          <w:rFonts w:hint="default"/>
          <w:lang w:val="en-US" w:eastAsia="zh-CN"/>
        </w:rPr>
        <w:t>A Query LS(R2-2106775) on buffer for paused QoE has been sent after RAN2#114e. RAN2 asks SA3/4/5 to provide their feedback about the options shown below:</w:t>
      </w:r>
    </w:p>
    <w:p>
      <w:pPr>
        <w:numPr>
          <w:ilvl w:val="0"/>
          <w:numId w:val="6"/>
        </w:numPr>
        <w:ind w:firstLine="420" w:firstLineChars="0"/>
        <w:rPr>
          <w:rFonts w:hint="default"/>
          <w:lang w:val="en-US" w:eastAsia="zh-CN"/>
        </w:rPr>
      </w:pPr>
      <w:r>
        <w:rPr>
          <w:rFonts w:hint="default"/>
          <w:lang w:val="en-US" w:eastAsia="zh-CN"/>
        </w:rPr>
        <w:t>App layer handles the buffer.</w:t>
      </w:r>
    </w:p>
    <w:p>
      <w:pPr>
        <w:numPr>
          <w:ilvl w:val="0"/>
          <w:numId w:val="6"/>
        </w:numPr>
        <w:ind w:firstLine="420" w:firstLineChars="0"/>
        <w:rPr>
          <w:rFonts w:hint="default"/>
          <w:lang w:val="en-US" w:eastAsia="zh-CN"/>
        </w:rPr>
      </w:pPr>
      <w:r>
        <w:rPr>
          <w:rFonts w:hint="default"/>
          <w:lang w:val="en-US" w:eastAsia="zh-CN"/>
        </w:rPr>
        <w:t>AS layer handles the buffer.</w:t>
      </w:r>
    </w:p>
    <w:p>
      <w:pPr>
        <w:numPr>
          <w:ilvl w:val="0"/>
          <w:numId w:val="6"/>
        </w:numPr>
        <w:ind w:firstLine="420" w:firstLineChars="0"/>
        <w:rPr>
          <w:rFonts w:hint="default"/>
          <w:lang w:val="en-US" w:eastAsia="zh-CN"/>
        </w:rPr>
      </w:pPr>
      <w:r>
        <w:rPr>
          <w:rFonts w:hint="default"/>
          <w:lang w:val="en-US" w:eastAsia="zh-CN"/>
        </w:rPr>
        <w:t>Drop all reports during paused period.</w:t>
      </w:r>
    </w:p>
    <w:p>
      <w:pPr>
        <w:numPr>
          <w:ilvl w:val="0"/>
          <w:numId w:val="0"/>
        </w:numPr>
        <w:rPr>
          <w:rFonts w:hint="default"/>
          <w:lang w:val="en-US" w:eastAsia="zh-CN"/>
        </w:rPr>
      </w:pPr>
      <w:r>
        <w:rPr>
          <w:rFonts w:hint="default"/>
          <w:lang w:val="en-US" w:eastAsia="zh-CN"/>
        </w:rPr>
        <w:t>Before RAN2#116e, both SA4 and SA5 send the response LS to RAN2. The following content is shown in SA5’s LS(S5-214519):</w:t>
      </w:r>
    </w:p>
    <w:p>
      <w:pPr>
        <w:numPr>
          <w:ilvl w:val="0"/>
          <w:numId w:val="0"/>
        </w:numPr>
        <w:jc w:val="center"/>
        <w:rPr>
          <w:rFonts w:hint="default"/>
          <w:lang w:val="en-US" w:eastAsia="zh-CN"/>
        </w:rPr>
      </w:pPr>
      <w:bookmarkStart w:id="8" w:name="OLE_LINK7"/>
      <w:r>
        <w:rPr>
          <w:rFonts w:hint="default"/>
          <w:lang w:val="en-US" w:eastAsia="zh-CN"/>
        </w:rPr>
        <w:t>----------------------Content of S5-214519 ------------------------</w:t>
      </w:r>
    </w:p>
    <w:bookmarkEnd w:id="8"/>
    <w:p>
      <w:pPr>
        <w:numPr>
          <w:ilvl w:val="0"/>
          <w:numId w:val="0"/>
        </w:numPr>
        <w:rPr>
          <w:rFonts w:hint="default"/>
          <w:i/>
          <w:iCs/>
          <w:lang w:val="en-US" w:eastAsia="zh-CN"/>
        </w:rPr>
      </w:pPr>
      <w:r>
        <w:rPr>
          <w:rFonts w:hint="default"/>
          <w:i/>
          <w:iCs/>
          <w:lang w:val="en-US" w:eastAsia="zh-CN"/>
        </w:rPr>
        <w:t>SA5 think that QoE reports are useful for the operators and therefore where possible the QoE reports shouldn’t be discarded during a pause, which eliminates option 3. From SA5 perspective either of option 1 and Option 2 are equivalent. Therefore we leave the choice to RAN groups and SA4  to decide while noting some benefits of using option 1  (e.g. larger memory in the application layer).</w:t>
      </w:r>
    </w:p>
    <w:p>
      <w:pPr>
        <w:numPr>
          <w:ilvl w:val="0"/>
          <w:numId w:val="0"/>
        </w:numPr>
        <w:rPr>
          <w:rFonts w:hint="default"/>
          <w:i/>
          <w:iCs/>
          <w:lang w:val="en-US" w:eastAsia="zh-CN"/>
        </w:rPr>
      </w:pPr>
      <w:r>
        <w:rPr>
          <w:rFonts w:hint="default"/>
          <w:i/>
          <w:iCs/>
          <w:lang w:val="en-US" w:eastAsia="zh-CN"/>
        </w:rPr>
        <w:t>In general, SA5 will wait for further RAN2 and SA4 progress and then see if some updates to SA5 specifications are needed or not.</w:t>
      </w:r>
    </w:p>
    <w:p>
      <w:pPr>
        <w:numPr>
          <w:ilvl w:val="0"/>
          <w:numId w:val="0"/>
        </w:numPr>
        <w:jc w:val="center"/>
        <w:rPr>
          <w:rFonts w:hint="default"/>
          <w:lang w:val="en-US" w:eastAsia="zh-CN"/>
        </w:rPr>
      </w:pPr>
      <w:r>
        <w:rPr>
          <w:rFonts w:hint="default"/>
          <w:lang w:val="en-US" w:eastAsia="zh-CN"/>
        </w:rPr>
        <w:t>----------------------Content of S5-214519 ------------------------</w:t>
      </w:r>
    </w:p>
    <w:p>
      <w:pPr>
        <w:numPr>
          <w:ilvl w:val="0"/>
          <w:numId w:val="0"/>
        </w:numPr>
        <w:rPr>
          <w:rFonts w:hint="default"/>
          <w:lang w:val="en-US" w:eastAsia="zh-CN"/>
        </w:rPr>
      </w:pPr>
      <w:r>
        <w:rPr>
          <w:rFonts w:hint="default"/>
          <w:lang w:val="en-US" w:eastAsia="zh-CN"/>
        </w:rPr>
        <w:t>Based on our understanding, SA5 rejects option3 and believes that option1(app layer buffer) is slightly better than option2(AS layer buffer) in the memory size consideration. RAN groups and SA4 can make the final decision on either option1 or option2.</w:t>
      </w:r>
    </w:p>
    <w:p>
      <w:pPr>
        <w:numPr>
          <w:ilvl w:val="0"/>
          <w:numId w:val="0"/>
        </w:numPr>
        <w:rPr>
          <w:rFonts w:hint="default"/>
          <w:b/>
          <w:bCs/>
          <w:lang w:val="en-US" w:eastAsia="zh-CN"/>
        </w:rPr>
      </w:pPr>
      <w:r>
        <w:rPr>
          <w:rFonts w:hint="default"/>
          <w:b/>
          <w:bCs/>
          <w:lang w:val="en-US" w:eastAsia="zh-CN"/>
        </w:rPr>
        <w:t>Observation 1: It is obvious that app layer can handle larger size buffer than AS layer.</w:t>
      </w:r>
    </w:p>
    <w:p>
      <w:pPr>
        <w:numPr>
          <w:ilvl w:val="0"/>
          <w:numId w:val="0"/>
        </w:numPr>
        <w:rPr>
          <w:rFonts w:hint="default"/>
          <w:lang w:val="en-US" w:eastAsia="zh-CN"/>
        </w:rPr>
      </w:pPr>
      <w:r>
        <w:rPr>
          <w:rFonts w:hint="default"/>
          <w:lang w:val="en-US" w:eastAsia="zh-CN"/>
        </w:rPr>
        <w:t xml:space="preserve">Besides, SA4 also sends LS(S4-211290) to RAN2 on the QoE buffer issue and shows its concern that the QoE related application may no longer be run due to the poor service quality. And SA4 is able to address this in the future release. </w:t>
      </w:r>
    </w:p>
    <w:p>
      <w:pPr>
        <w:numPr>
          <w:ilvl w:val="0"/>
          <w:numId w:val="0"/>
        </w:numPr>
        <w:rPr>
          <w:rFonts w:hint="default"/>
          <w:b/>
          <w:bCs/>
          <w:lang w:val="en-US" w:eastAsia="zh-CN"/>
        </w:rPr>
      </w:pPr>
      <w:r>
        <w:rPr>
          <w:rFonts w:hint="default"/>
          <w:b/>
          <w:bCs/>
          <w:lang w:val="en-US" w:eastAsia="zh-CN"/>
        </w:rPr>
        <w:t>Observation 2: The application which is relevant to QoE measurement and reporting may not keep running during QoE paused period because of the poor network service.</w:t>
      </w:r>
    </w:p>
    <w:p>
      <w:pPr>
        <w:numPr>
          <w:ilvl w:val="0"/>
          <w:numId w:val="0"/>
        </w:numPr>
        <w:rPr>
          <w:rFonts w:hint="default"/>
          <w:lang w:val="en-US" w:eastAsia="zh-CN"/>
        </w:rPr>
      </w:pPr>
      <w:r>
        <w:rPr>
          <w:rFonts w:hint="default"/>
          <w:lang w:val="en-US" w:eastAsia="zh-CN"/>
        </w:rPr>
        <w:t>In addition, SA4 also sends an LS(S4-211234) to SA5 and CC RAN2.The content is shown below:</w:t>
      </w:r>
    </w:p>
    <w:p>
      <w:pPr>
        <w:numPr>
          <w:ilvl w:val="0"/>
          <w:numId w:val="0"/>
        </w:numPr>
        <w:jc w:val="center"/>
        <w:rPr>
          <w:rFonts w:hint="default"/>
          <w:lang w:val="en-US" w:eastAsia="zh-CN"/>
        </w:rPr>
      </w:pPr>
      <w:r>
        <w:rPr>
          <w:rFonts w:hint="default"/>
          <w:lang w:val="en-US" w:eastAsia="zh-CN"/>
        </w:rPr>
        <w:t>----------------------Content of S5-214519 ------------------------</w:t>
      </w:r>
    </w:p>
    <w:p>
      <w:pPr>
        <w:rPr>
          <w:rFonts w:hint="default"/>
          <w:i/>
          <w:iCs/>
          <w:lang w:val="en-US" w:eastAsia="zh-CN"/>
        </w:rPr>
      </w:pPr>
      <w:r>
        <w:rPr>
          <w:rFonts w:ascii="Arial" w:hAnsi="Arial" w:cs="Arial"/>
          <w:bCs/>
          <w:i/>
          <w:iCs/>
        </w:rPr>
        <w:t xml:space="preserve">TS 28.404 and TS 28.405 seem to roughly represent stage 1/2 and stage 3 documents, respectively, on QoE measurement collection. We are unclear on the apparent misalignment between the requirement in TS 28.404, clause 5.4.6 on UE support for temporary stop and start, and the corresponding specification of UE behavior in TS 28.405, clause 4.2.4. Specifically, TS 28.404 indicates that the </w:t>
      </w:r>
      <w:r>
        <w:rPr>
          <w:rFonts w:ascii="Arial" w:hAnsi="Arial" w:cs="Arial"/>
          <w:bCs/>
          <w:i/>
          <w:iCs/>
          <w:highlight w:val="green"/>
        </w:rPr>
        <w:t>UE must continue ongoing recording and storage of QoE data measurements during the entirety of the temporary stop</w:t>
      </w:r>
      <w:r>
        <w:rPr>
          <w:rFonts w:ascii="Arial" w:hAnsi="Arial" w:cs="Arial"/>
          <w:bCs/>
          <w:i/>
          <w:iCs/>
        </w:rPr>
        <w:t xml:space="preserve">. On the other hand, TS 28.405 indicates that the </w:t>
      </w:r>
      <w:r>
        <w:rPr>
          <w:rFonts w:ascii="Arial" w:hAnsi="Arial" w:cs="Arial"/>
          <w:bCs/>
          <w:i/>
          <w:iCs/>
          <w:highlight w:val="green"/>
        </w:rPr>
        <w:t xml:space="preserve">UE </w:t>
      </w:r>
      <w:bookmarkStart w:id="9" w:name="OLE_LINK8"/>
      <w:r>
        <w:rPr>
          <w:rFonts w:ascii="Arial" w:hAnsi="Arial" w:cs="Arial"/>
          <w:bCs/>
          <w:i/>
          <w:iCs/>
          <w:highlight w:val="green"/>
        </w:rPr>
        <w:t>should halt further recording upon the application layer measurements (e.g., QoE measurements) having filled the report container.</w:t>
      </w:r>
      <w:bookmarkEnd w:id="9"/>
    </w:p>
    <w:p>
      <w:pPr>
        <w:numPr>
          <w:ilvl w:val="0"/>
          <w:numId w:val="0"/>
        </w:numPr>
        <w:jc w:val="center"/>
        <w:rPr>
          <w:rFonts w:hint="default"/>
          <w:lang w:val="en-US" w:eastAsia="zh-CN"/>
        </w:rPr>
      </w:pPr>
      <w:r>
        <w:rPr>
          <w:rFonts w:hint="default"/>
          <w:lang w:val="en-US" w:eastAsia="zh-CN"/>
        </w:rPr>
        <w:t>----------------------Content of S5-214519 ------------------------</w:t>
      </w:r>
    </w:p>
    <w:p>
      <w:pPr>
        <w:numPr>
          <w:ilvl w:val="0"/>
          <w:numId w:val="0"/>
        </w:numPr>
        <w:rPr>
          <w:rFonts w:hint="default"/>
          <w:lang w:val="en-US" w:eastAsia="zh-CN"/>
        </w:rPr>
      </w:pPr>
      <w:r>
        <w:rPr>
          <w:rFonts w:hint="default"/>
          <w:lang w:val="en-US" w:eastAsia="zh-CN"/>
        </w:rPr>
        <w:t xml:space="preserve">In above green highlighted part, it is clear that different UE behaviors have been explained in the latest TS28.404 and TS28.405. Based on description in TS28.405, UE should halt further recording upon the application layer measurements (e.g., QoE measurements) having filled the report container. SA4 asks SA5 to further clarify the conflict between these two specifications. </w:t>
      </w:r>
    </w:p>
    <w:p>
      <w:pPr>
        <w:numPr>
          <w:ilvl w:val="0"/>
          <w:numId w:val="0"/>
        </w:numPr>
        <w:rPr>
          <w:rFonts w:hint="default"/>
          <w:lang w:val="en-US" w:eastAsia="zh-CN"/>
        </w:rPr>
      </w:pPr>
      <w:r>
        <w:rPr>
          <w:rFonts w:hint="default"/>
          <w:lang w:val="en-US" w:eastAsia="zh-CN"/>
        </w:rPr>
        <w:t>Based on our understanding, it is not appropriate to discuss the QoE buffer issue before SA5 further explain the conflict which is found by SA4.</w:t>
      </w:r>
    </w:p>
    <w:p>
      <w:pPr>
        <w:numPr>
          <w:ilvl w:val="0"/>
          <w:numId w:val="0"/>
        </w:numPr>
        <w:rPr>
          <w:rFonts w:hint="default"/>
          <w:b/>
          <w:bCs/>
          <w:lang w:val="en-US" w:eastAsia="zh-CN"/>
        </w:rPr>
      </w:pPr>
      <w:r>
        <w:rPr>
          <w:rFonts w:hint="default"/>
          <w:b/>
          <w:bCs/>
          <w:lang w:val="en-US" w:eastAsia="zh-CN"/>
        </w:rPr>
        <w:t>Proposal 1: RAN2 shall postpone the discussion on QoE buffer until SA5 clarify the conflict between TS28.404 and TS28.405.</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default" w:cs="Arial"/>
          <w:b w:val="0"/>
          <w:bCs w:val="0"/>
          <w:kern w:val="0"/>
          <w:sz w:val="32"/>
          <w:szCs w:val="36"/>
          <w:lang w:val="en-US" w:eastAsia="zh-CN"/>
        </w:rPr>
        <w:t>One procedure for signalling and management based QoE</w:t>
      </w:r>
    </w:p>
    <w:p>
      <w:pPr>
        <w:numPr>
          <w:ilvl w:val="0"/>
          <w:numId w:val="0"/>
        </w:numPr>
        <w:rPr>
          <w:rFonts w:hint="default" w:eastAsia="宋体"/>
          <w:lang w:val="en-US" w:eastAsia="zh-CN"/>
        </w:rPr>
      </w:pPr>
      <w:r>
        <w:rPr>
          <w:rFonts w:hint="eastAsia" w:eastAsia="宋体"/>
          <w:highlight w:val="none"/>
          <w:lang w:val="en-US" w:eastAsia="zh-CN"/>
        </w:rPr>
        <w:t>In RAN#91e, co</w:t>
      </w:r>
      <w:r>
        <w:rPr>
          <w:rFonts w:hint="eastAsia" w:eastAsia="宋体"/>
          <w:lang w:val="en-US" w:eastAsia="zh-CN"/>
        </w:rPr>
        <w:t>mpanies agreed to achieve the pause/resume NR QoE reporting due to RAN overload in Rel-17. And the pause/resume can be implemented to all QoE reporting or reporting per QoE configurations in a UE. Detail procedures should be discussed in RAN2. It is clear that both signalling based QoE and management based QoE are going to be supported in NR. From the content of QoE measurement report perspective, there is no different between signalling based QoE and management based QoE. Hence, both signalling based QoE and management based QoE should support the pause/resume QoE reporting function and share the same procedure.</w:t>
      </w:r>
    </w:p>
    <w:p>
      <w:pPr>
        <w:numPr>
          <w:ilvl w:val="0"/>
          <w:numId w:val="0"/>
        </w:numPr>
        <w:rPr>
          <w:rFonts w:hint="default" w:eastAsia="宋体" w:cs="Arial"/>
          <w:color w:val="000000"/>
          <w:sz w:val="21"/>
          <w:lang w:val="en-US" w:eastAsia="zh-CN"/>
        </w:rPr>
      </w:pPr>
      <w:r>
        <w:rPr>
          <w:rFonts w:hint="eastAsia" w:eastAsia="宋体"/>
          <w:b/>
          <w:bCs/>
          <w:lang w:val="en-US" w:eastAsia="zh-CN"/>
        </w:rPr>
        <w:t xml:space="preserve">Proposal </w:t>
      </w:r>
      <w:r>
        <w:rPr>
          <w:rFonts w:hint="default" w:eastAsia="宋体"/>
          <w:b/>
          <w:bCs/>
          <w:lang w:val="en-US" w:eastAsia="zh-CN"/>
        </w:rPr>
        <w:t>2</w:t>
      </w:r>
      <w:r>
        <w:rPr>
          <w:rFonts w:hint="eastAsia" w:eastAsia="宋体"/>
          <w:b/>
          <w:bCs/>
          <w:lang w:val="en-US" w:eastAsia="zh-CN"/>
        </w:rPr>
        <w:t>: RAN2 shall consider to implement one procedure to pause/resume QoE reporting for both signalling based and management based QoE reporting.</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default" w:cs="Arial"/>
          <w:b w:val="0"/>
          <w:bCs w:val="0"/>
          <w:kern w:val="0"/>
          <w:sz w:val="32"/>
          <w:szCs w:val="36"/>
          <w:lang w:val="en-US" w:eastAsia="zh-CN"/>
        </w:rPr>
        <w:t>Partial pause/resume QoE reporting</w:t>
      </w:r>
    </w:p>
    <w:p>
      <w:pPr>
        <w:numPr>
          <w:ilvl w:val="0"/>
          <w:numId w:val="0"/>
        </w:numPr>
        <w:ind w:leftChars="0"/>
        <w:rPr>
          <w:rFonts w:hint="default"/>
          <w:lang w:val="en-US" w:eastAsia="zh-CN"/>
        </w:rPr>
      </w:pPr>
      <w:r>
        <w:rPr>
          <w:rFonts w:hint="default"/>
          <w:highlight w:val="none"/>
          <w:lang w:val="en-US" w:eastAsia="zh-CN"/>
        </w:rPr>
        <w:t xml:space="preserve">In RAN2#114e, companies have different views on whether NG-RAN side can pause partial </w:t>
      </w:r>
      <w:r>
        <w:rPr>
          <w:rFonts w:hint="default"/>
          <w:lang w:val="en-US" w:eastAsia="zh-CN"/>
        </w:rPr>
        <w:t xml:space="preserve">QoE reporting. Based on our understanding, if the NG-RAN can pause/resume partial QoE reporting, the same mechanism/procedure can be used to pause/resume all QoE reporting in a UE. In other words, </w:t>
      </w:r>
      <w:bookmarkStart w:id="10" w:name="OLE_LINK1"/>
      <w:r>
        <w:rPr>
          <w:rFonts w:hint="default"/>
          <w:lang w:val="en-US" w:eastAsia="zh-CN"/>
        </w:rPr>
        <w:t>pause/resume all QoE reporting is a critical situation of pause/resume partial QoE reporting.</w:t>
      </w:r>
      <w:bookmarkEnd w:id="10"/>
    </w:p>
    <w:p>
      <w:pPr>
        <w:numPr>
          <w:ilvl w:val="0"/>
          <w:numId w:val="0"/>
        </w:numPr>
        <w:ind w:leftChars="0"/>
        <w:rPr>
          <w:rFonts w:hint="default"/>
          <w:b/>
          <w:bCs/>
          <w:lang w:val="en-US" w:eastAsia="zh-CN"/>
        </w:rPr>
      </w:pPr>
      <w:r>
        <w:rPr>
          <w:rFonts w:hint="default"/>
          <w:b/>
          <w:bCs/>
          <w:lang w:val="en-US" w:eastAsia="zh-CN"/>
        </w:rPr>
        <w:t>Observation 3: Pause/resume all QoE reporting is a critical situation of pause/resume partial QoE reporting.</w:t>
      </w:r>
    </w:p>
    <w:p>
      <w:pPr>
        <w:numPr>
          <w:ilvl w:val="0"/>
          <w:numId w:val="0"/>
        </w:numPr>
        <w:ind w:leftChars="0"/>
        <w:rPr>
          <w:rFonts w:hint="default"/>
          <w:b/>
          <w:bCs/>
          <w:lang w:val="en-US" w:eastAsia="zh-CN"/>
        </w:rPr>
      </w:pPr>
    </w:p>
    <w:p>
      <w:pPr>
        <w:numPr>
          <w:ilvl w:val="0"/>
          <w:numId w:val="0"/>
        </w:numPr>
        <w:ind w:leftChars="0"/>
        <w:rPr>
          <w:rFonts w:hint="default"/>
          <w:b/>
          <w:bCs/>
          <w:lang w:val="en-US" w:eastAsia="zh-CN"/>
        </w:rPr>
      </w:pPr>
      <w:r>
        <w:rPr>
          <w:rFonts w:hint="default"/>
          <w:b/>
          <w:bCs/>
          <w:lang w:val="en-US" w:eastAsia="zh-CN"/>
        </w:rPr>
        <w:t>Table1. Temporary stop and restart of QoE information reporting during RAN overload</w:t>
      </w:r>
    </w:p>
    <w:tbl>
      <w:tblPr>
        <w:tblStyle w:val="5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6649"/>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631" w:type="dxa"/>
            <w:noWrap w:val="0"/>
            <w:vAlign w:val="center"/>
          </w:tcPr>
          <w:p>
            <w:pPr>
              <w:pStyle w:val="287"/>
              <w:rPr>
                <w:sz w:val="20"/>
                <w:lang w:bidi="ar-KW"/>
              </w:rPr>
            </w:pPr>
            <w:r>
              <w:rPr>
                <w:sz w:val="20"/>
                <w:lang w:bidi="ar-KW"/>
              </w:rPr>
              <w:t>Use case stage</w:t>
            </w:r>
          </w:p>
        </w:tc>
        <w:tc>
          <w:tcPr>
            <w:tcW w:w="6649" w:type="dxa"/>
            <w:noWrap w:val="0"/>
            <w:vAlign w:val="center"/>
          </w:tcPr>
          <w:p>
            <w:pPr>
              <w:pStyle w:val="287"/>
              <w:rPr>
                <w:sz w:val="20"/>
                <w:lang w:bidi="ar-KW"/>
              </w:rPr>
            </w:pPr>
            <w:r>
              <w:rPr>
                <w:sz w:val="20"/>
                <w:lang w:bidi="ar-KW"/>
              </w:rPr>
              <w:t>Evolution/Specification</w:t>
            </w:r>
          </w:p>
        </w:tc>
        <w:tc>
          <w:tcPr>
            <w:tcW w:w="1359" w:type="dxa"/>
            <w:noWrap w:val="0"/>
            <w:vAlign w:val="center"/>
          </w:tcPr>
          <w:p>
            <w:pPr>
              <w:pStyle w:val="287"/>
              <w:rPr>
                <w:sz w:val="20"/>
                <w:lang w:bidi="ar-KW"/>
              </w:rPr>
            </w:pPr>
            <w:r>
              <w:rPr>
                <w:sz w:val="20"/>
                <w:lang w:bidi="ar-KW"/>
              </w:rPr>
              <w:t>&lt;&lt;Uses&gt;&gt;</w:t>
            </w:r>
            <w:r>
              <w:rPr>
                <w:sz w:val="20"/>
                <w:lang w:bidi="ar-KW"/>
              </w:rPr>
              <w:br w:type="textWrapping"/>
            </w:r>
            <w:r>
              <w:rPr>
                <w:sz w:val="20"/>
                <w:lang w:bidi="ar-KW"/>
              </w:rPr>
              <w:t>Related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31" w:type="dxa"/>
            <w:noWrap w:val="0"/>
            <w:vAlign w:val="top"/>
          </w:tcPr>
          <w:p>
            <w:pPr>
              <w:pStyle w:val="288"/>
              <w:rPr>
                <w:sz w:val="20"/>
              </w:rPr>
            </w:pPr>
            <w:r>
              <w:rPr>
                <w:sz w:val="20"/>
              </w:rPr>
              <w:t>Goal</w:t>
            </w:r>
          </w:p>
        </w:tc>
        <w:tc>
          <w:tcPr>
            <w:tcW w:w="6649" w:type="dxa"/>
            <w:noWrap w:val="0"/>
            <w:vAlign w:val="top"/>
          </w:tcPr>
          <w:p>
            <w:pPr>
              <w:pStyle w:val="288"/>
              <w:rPr>
                <w:sz w:val="20"/>
              </w:rPr>
            </w:pPr>
            <w:r>
              <w:rPr>
                <w:sz w:val="20"/>
                <w:highlight w:val="green"/>
              </w:rPr>
              <w:t>At RAN overload RAN may stop or delay the QoE information reporting from the UEs that has started it.</w:t>
            </w:r>
          </w:p>
        </w:tc>
        <w:tc>
          <w:tcPr>
            <w:tcW w:w="1359" w:type="dxa"/>
            <w:noWrap w:val="0"/>
            <w:vAlign w:val="top"/>
          </w:tcPr>
          <w:p>
            <w:pPr>
              <w:pStyle w:val="288"/>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31" w:type="dxa"/>
            <w:noWrap w:val="0"/>
            <w:vAlign w:val="top"/>
          </w:tcPr>
          <w:p>
            <w:pPr>
              <w:pStyle w:val="288"/>
              <w:rPr>
                <w:sz w:val="20"/>
              </w:rPr>
            </w:pPr>
            <w:r>
              <w:rPr>
                <w:sz w:val="20"/>
              </w:rPr>
              <w:t>Actors and roles</w:t>
            </w:r>
          </w:p>
        </w:tc>
        <w:tc>
          <w:tcPr>
            <w:tcW w:w="6649" w:type="dxa"/>
            <w:noWrap w:val="0"/>
            <w:vAlign w:val="top"/>
          </w:tcPr>
          <w:p>
            <w:pPr>
              <w:pStyle w:val="288"/>
              <w:rPr>
                <w:sz w:val="20"/>
              </w:rPr>
            </w:pPr>
            <w:r>
              <w:rPr>
                <w:sz w:val="20"/>
              </w:rPr>
              <w:t>The RAN node which is the requester of delaying the QoE information reporting.</w:t>
            </w:r>
          </w:p>
        </w:tc>
        <w:tc>
          <w:tcPr>
            <w:tcW w:w="1359" w:type="dxa"/>
            <w:noWrap w:val="0"/>
            <w:vAlign w:val="top"/>
          </w:tcPr>
          <w:p>
            <w:pPr>
              <w:pStyle w:val="288"/>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31" w:type="dxa"/>
            <w:noWrap w:val="0"/>
            <w:vAlign w:val="top"/>
          </w:tcPr>
          <w:p>
            <w:pPr>
              <w:pStyle w:val="288"/>
              <w:rPr>
                <w:sz w:val="20"/>
              </w:rPr>
            </w:pPr>
            <w:r>
              <w:rPr>
                <w:sz w:val="20"/>
              </w:rPr>
              <w:t>Telecom resources</w:t>
            </w:r>
          </w:p>
        </w:tc>
        <w:tc>
          <w:tcPr>
            <w:tcW w:w="6649" w:type="dxa"/>
            <w:noWrap w:val="0"/>
            <w:vAlign w:val="top"/>
          </w:tcPr>
          <w:p>
            <w:pPr>
              <w:pStyle w:val="288"/>
              <w:rPr>
                <w:sz w:val="20"/>
              </w:rPr>
            </w:pPr>
            <w:r>
              <w:rPr>
                <w:sz w:val="20"/>
              </w:rPr>
              <w:t>The RAN node and the UE.</w:t>
            </w:r>
          </w:p>
        </w:tc>
        <w:tc>
          <w:tcPr>
            <w:tcW w:w="1359" w:type="dxa"/>
            <w:noWrap w:val="0"/>
            <w:vAlign w:val="top"/>
          </w:tcPr>
          <w:p>
            <w:pPr>
              <w:pStyle w:val="288"/>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31" w:type="dxa"/>
            <w:noWrap w:val="0"/>
            <w:vAlign w:val="top"/>
          </w:tcPr>
          <w:p>
            <w:pPr>
              <w:pStyle w:val="288"/>
              <w:rPr>
                <w:sz w:val="20"/>
              </w:rPr>
            </w:pPr>
            <w:r>
              <w:rPr>
                <w:sz w:val="20"/>
              </w:rPr>
              <w:t>Assumptions</w:t>
            </w:r>
          </w:p>
        </w:tc>
        <w:tc>
          <w:tcPr>
            <w:tcW w:w="6649" w:type="dxa"/>
            <w:noWrap w:val="0"/>
            <w:vAlign w:val="top"/>
          </w:tcPr>
          <w:p>
            <w:pPr>
              <w:pStyle w:val="288"/>
              <w:rPr>
                <w:sz w:val="20"/>
              </w:rPr>
            </w:pPr>
            <w:r>
              <w:rPr>
                <w:sz w:val="20"/>
              </w:rPr>
              <w:t>-</w:t>
            </w:r>
          </w:p>
        </w:tc>
        <w:tc>
          <w:tcPr>
            <w:tcW w:w="1359" w:type="dxa"/>
            <w:noWrap w:val="0"/>
            <w:vAlign w:val="top"/>
          </w:tcPr>
          <w:p>
            <w:pPr>
              <w:pStyle w:val="288"/>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31" w:type="dxa"/>
            <w:noWrap w:val="0"/>
            <w:vAlign w:val="top"/>
          </w:tcPr>
          <w:p>
            <w:pPr>
              <w:pStyle w:val="288"/>
              <w:rPr>
                <w:sz w:val="20"/>
              </w:rPr>
            </w:pPr>
            <w:r>
              <w:rPr>
                <w:sz w:val="20"/>
              </w:rPr>
              <w:t>Pre-conditions</w:t>
            </w:r>
          </w:p>
        </w:tc>
        <w:tc>
          <w:tcPr>
            <w:tcW w:w="6649" w:type="dxa"/>
            <w:noWrap w:val="0"/>
            <w:vAlign w:val="top"/>
          </w:tcPr>
          <w:p>
            <w:pPr>
              <w:pStyle w:val="288"/>
              <w:rPr>
                <w:sz w:val="20"/>
              </w:rPr>
            </w:pPr>
            <w:r>
              <w:rPr>
                <w:sz w:val="20"/>
              </w:rPr>
              <w:t>Selected UEs have started QoE information collection.</w:t>
            </w:r>
          </w:p>
        </w:tc>
        <w:tc>
          <w:tcPr>
            <w:tcW w:w="1359" w:type="dxa"/>
            <w:noWrap w:val="0"/>
            <w:vAlign w:val="top"/>
          </w:tcPr>
          <w:p>
            <w:pPr>
              <w:pStyle w:val="288"/>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31" w:type="dxa"/>
            <w:noWrap w:val="0"/>
            <w:vAlign w:val="top"/>
          </w:tcPr>
          <w:p>
            <w:pPr>
              <w:pStyle w:val="288"/>
              <w:rPr>
                <w:sz w:val="20"/>
              </w:rPr>
            </w:pPr>
            <w:r>
              <w:rPr>
                <w:sz w:val="20"/>
              </w:rPr>
              <w:t xml:space="preserve">Begins when </w:t>
            </w:r>
          </w:p>
        </w:tc>
        <w:tc>
          <w:tcPr>
            <w:tcW w:w="6649" w:type="dxa"/>
            <w:noWrap w:val="0"/>
            <w:vAlign w:val="top"/>
          </w:tcPr>
          <w:p>
            <w:pPr>
              <w:pStyle w:val="288"/>
              <w:rPr>
                <w:sz w:val="20"/>
              </w:rPr>
            </w:pPr>
            <w:r>
              <w:rPr>
                <w:sz w:val="20"/>
              </w:rPr>
              <w:t>The RAN node detects that it is overloaded.</w:t>
            </w:r>
          </w:p>
        </w:tc>
        <w:tc>
          <w:tcPr>
            <w:tcW w:w="1359" w:type="dxa"/>
            <w:noWrap w:val="0"/>
            <w:vAlign w:val="top"/>
          </w:tcPr>
          <w:p>
            <w:pPr>
              <w:pStyle w:val="288"/>
              <w:rPr>
                <w:sz w:val="20"/>
              </w:rPr>
            </w:pPr>
          </w:p>
        </w:tc>
      </w:tr>
    </w:tbl>
    <w:p>
      <w:pPr>
        <w:numPr>
          <w:ilvl w:val="0"/>
          <w:numId w:val="0"/>
        </w:numPr>
        <w:ind w:leftChars="0"/>
        <w:rPr>
          <w:rFonts w:hint="default"/>
          <w:b/>
          <w:bCs/>
          <w:lang w:val="en-US" w:eastAsia="zh-CN"/>
        </w:rPr>
      </w:pPr>
    </w:p>
    <w:p>
      <w:pPr>
        <w:numPr>
          <w:ilvl w:val="0"/>
          <w:numId w:val="0"/>
        </w:numPr>
        <w:ind w:leftChars="0"/>
        <w:rPr>
          <w:rFonts w:hint="default"/>
          <w:lang w:val="en-US" w:eastAsia="zh-CN"/>
        </w:rPr>
      </w:pPr>
      <w:r>
        <w:rPr>
          <w:rFonts w:hint="default"/>
          <w:lang w:val="en-US" w:eastAsia="zh-CN"/>
        </w:rPr>
        <w:t>As the content i</w:t>
      </w:r>
      <w:r>
        <w:rPr>
          <w:rFonts w:hint="default"/>
          <w:highlight w:val="none"/>
          <w:lang w:val="en-US" w:eastAsia="zh-CN"/>
        </w:rPr>
        <w:t>n TS 28.404 shown ab</w:t>
      </w:r>
      <w:r>
        <w:rPr>
          <w:rFonts w:hint="default"/>
          <w:lang w:val="en-US" w:eastAsia="zh-CN"/>
        </w:rPr>
        <w:t>ove, the reason why we need the pause/resume QoE reporting function is to relief the RAN overload situation</w:t>
      </w:r>
      <w:r>
        <w:rPr>
          <w:rFonts w:hint="eastAsia"/>
          <w:lang w:val="en-US" w:eastAsia="zh-CN"/>
        </w:rPr>
        <w:t xml:space="preserve"> if needed</w:t>
      </w:r>
      <w:r>
        <w:rPr>
          <w:rFonts w:hint="default"/>
          <w:lang w:val="en-US" w:eastAsia="zh-CN"/>
        </w:rPr>
        <w:t xml:space="preserve">. It is clear that the </w:t>
      </w:r>
      <w:r>
        <w:rPr>
          <w:rFonts w:hint="eastAsia"/>
          <w:lang w:val="en-US" w:eastAsia="zh-CN"/>
        </w:rPr>
        <w:t xml:space="preserve">degree of </w:t>
      </w:r>
      <w:r>
        <w:rPr>
          <w:rFonts w:hint="default"/>
          <w:lang w:val="en-US" w:eastAsia="zh-CN"/>
        </w:rPr>
        <w:t xml:space="preserve">RAN overload </w:t>
      </w:r>
      <w:r>
        <w:rPr>
          <w:rFonts w:hint="eastAsia"/>
          <w:lang w:val="en-US" w:eastAsia="zh-CN"/>
        </w:rPr>
        <w:t xml:space="preserve">may be various in different cases. Hence, pause/resume all QoE reporting may not be an appropriate selection in all cases. </w:t>
      </w:r>
      <w:r>
        <w:rPr>
          <w:rFonts w:hint="default"/>
          <w:lang w:val="en-US" w:eastAsia="zh-CN"/>
        </w:rPr>
        <w:t xml:space="preserve">From our point of view, the capability of partial pause/resume QoE reporting can let NG-RAN node have more flexible process to handle different RAN overload situations. </w:t>
      </w:r>
    </w:p>
    <w:p>
      <w:pPr>
        <w:numPr>
          <w:ilvl w:val="0"/>
          <w:numId w:val="0"/>
        </w:numPr>
        <w:ind w:leftChars="0"/>
        <w:rPr>
          <w:rFonts w:hint="default"/>
          <w:lang w:val="en-US" w:eastAsia="zh-CN"/>
        </w:rPr>
      </w:pPr>
      <w:r>
        <w:rPr>
          <w:rFonts w:hint="default"/>
          <w:lang w:val="en-US" w:eastAsia="zh-CN"/>
        </w:rPr>
        <w:t>For example, NG-RAN node can pause all QoE reporting when a severe RAN overload occurs. In addition, if NG-RAN node foresees the RAN overload will happen, it can partially pause some QoE reporting to avoid the potential RAN overload. Or if the RAN overload is not heavy, the RAN node can also pause the management based QoE reporting to treat the overload condition.</w:t>
      </w:r>
    </w:p>
    <w:p>
      <w:pPr>
        <w:numPr>
          <w:ilvl w:val="0"/>
          <w:numId w:val="0"/>
        </w:numPr>
        <w:ind w:leftChars="0"/>
        <w:rPr>
          <w:rFonts w:hint="default"/>
          <w:lang w:val="en-US" w:eastAsia="zh-CN"/>
        </w:rPr>
      </w:pPr>
      <w:r>
        <w:rPr>
          <w:rFonts w:hint="default"/>
          <w:lang w:val="en-US" w:eastAsia="zh-CN"/>
        </w:rPr>
        <w:t>From the procedure prospective, RAN2 does not need to introduce a complex procedure to support pause/resume partial QoE reporting function. Hence, It is proposed that RAN2 shall support pause/resume partial QoE reporting. Details can be FFS.</w:t>
      </w:r>
    </w:p>
    <w:p>
      <w:pPr>
        <w:numPr>
          <w:ilvl w:val="0"/>
          <w:numId w:val="0"/>
        </w:numPr>
        <w:rPr>
          <w:rFonts w:hint="default"/>
          <w:lang w:val="en-US" w:eastAsia="zh-CN"/>
        </w:rPr>
      </w:pPr>
      <w:r>
        <w:rPr>
          <w:rFonts w:hint="default"/>
          <w:b/>
          <w:bCs/>
          <w:lang w:val="en-US" w:eastAsia="zh-CN"/>
        </w:rPr>
        <w:t xml:space="preserve">Proposal 3: </w:t>
      </w:r>
      <w:r>
        <w:rPr>
          <w:rFonts w:hint="eastAsia"/>
          <w:b/>
          <w:bCs/>
          <w:lang w:val="en-US" w:eastAsia="zh-CN"/>
        </w:rPr>
        <w:t>I</w:t>
      </w:r>
      <w:r>
        <w:rPr>
          <w:rFonts w:hint="default"/>
          <w:b/>
          <w:bCs/>
          <w:lang w:val="en-US" w:eastAsia="zh-CN"/>
        </w:rPr>
        <w:t>t is proposed that RAN2 shall support pause/resume partial QoE reporting. Details can be FFS.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bidi w:val="0"/>
        <w:rPr>
          <w:rFonts w:hint="eastAsia"/>
          <w:highlight w:val="none"/>
          <w:lang w:val="en-US" w:eastAsia="zh-CN"/>
        </w:rPr>
      </w:pPr>
      <w:r>
        <w:rPr>
          <w:rFonts w:hint="eastAsia"/>
          <w:highlight w:val="none"/>
          <w:lang w:val="en-US" w:eastAsia="zh-CN"/>
        </w:rPr>
        <w:t>Based on the discussions above, we have the following proposal</w:t>
      </w:r>
      <w:r>
        <w:rPr>
          <w:rFonts w:hint="default"/>
          <w:highlight w:val="none"/>
          <w:lang w:val="en-US" w:eastAsia="zh-CN"/>
        </w:rPr>
        <w:t>s</w:t>
      </w:r>
      <w:r>
        <w:rPr>
          <w:rFonts w:hint="eastAsia"/>
          <w:highlight w:val="none"/>
          <w:lang w:val="en-US" w:eastAsia="zh-CN"/>
        </w:rPr>
        <w:t>.</w:t>
      </w:r>
    </w:p>
    <w:p>
      <w:pPr>
        <w:numPr>
          <w:ilvl w:val="0"/>
          <w:numId w:val="0"/>
        </w:numPr>
        <w:rPr>
          <w:rFonts w:hint="default"/>
          <w:b/>
          <w:bCs/>
          <w:lang w:val="en-US" w:eastAsia="zh-CN"/>
        </w:rPr>
      </w:pPr>
      <w:bookmarkStart w:id="11" w:name="_Toc18413612"/>
      <w:bookmarkStart w:id="12" w:name="_Toc18403976"/>
      <w:bookmarkStart w:id="13" w:name="_Toc18404543"/>
      <w:bookmarkStart w:id="14" w:name="OLE_LINK4"/>
      <w:r>
        <w:rPr>
          <w:rFonts w:hint="default"/>
          <w:b/>
          <w:bCs/>
          <w:lang w:val="en-US" w:eastAsia="zh-CN"/>
        </w:rPr>
        <w:t>Observation 1: It is obvious that app layer can handle larger size buffer than AS layer.</w:t>
      </w:r>
    </w:p>
    <w:p>
      <w:pPr>
        <w:numPr>
          <w:ilvl w:val="0"/>
          <w:numId w:val="0"/>
        </w:numPr>
        <w:rPr>
          <w:rFonts w:hint="default"/>
          <w:b/>
          <w:bCs/>
          <w:lang w:val="en-US" w:eastAsia="zh-CN"/>
        </w:rPr>
      </w:pPr>
      <w:r>
        <w:rPr>
          <w:rFonts w:hint="default"/>
          <w:b/>
          <w:bCs/>
          <w:lang w:val="en-US" w:eastAsia="zh-CN"/>
        </w:rPr>
        <w:t>Observation 2: The application which is relevant to QoE measurement and reporting may not keep running during QoE paused period because of the poor network service.</w:t>
      </w:r>
    </w:p>
    <w:p>
      <w:pPr>
        <w:numPr>
          <w:ilvl w:val="0"/>
          <w:numId w:val="0"/>
        </w:numPr>
        <w:rPr>
          <w:rFonts w:hint="default"/>
          <w:b/>
          <w:bCs/>
          <w:lang w:val="en-US" w:eastAsia="zh-CN"/>
        </w:rPr>
      </w:pPr>
      <w:r>
        <w:rPr>
          <w:rFonts w:hint="default"/>
          <w:b/>
          <w:bCs/>
          <w:lang w:val="en-US" w:eastAsia="zh-CN"/>
        </w:rPr>
        <w:t>Proposal 1: RAN2 shall postpone the discussion on QoE buffer until SA5 clarify the conflict between TS28.404 and TS28.405.</w:t>
      </w:r>
    </w:p>
    <w:p>
      <w:pPr>
        <w:numPr>
          <w:ilvl w:val="0"/>
          <w:numId w:val="0"/>
        </w:numPr>
        <w:rPr>
          <w:rFonts w:hint="default"/>
          <w:b/>
          <w:bCs/>
          <w:lang w:val="en-US" w:eastAsia="zh-CN"/>
        </w:rPr>
      </w:pPr>
      <w:r>
        <w:rPr>
          <w:rFonts w:hint="default"/>
          <w:b/>
          <w:bCs/>
          <w:lang w:val="en-US" w:eastAsia="zh-CN"/>
        </w:rPr>
        <w:t>Proposal 2: RAN2 shall consider to implement one procedure to pause/resume QoE reporting for both signalling based and management based QoE reporting.</w:t>
      </w:r>
    </w:p>
    <w:p>
      <w:pPr>
        <w:numPr>
          <w:ilvl w:val="0"/>
          <w:numId w:val="0"/>
        </w:numPr>
        <w:rPr>
          <w:rFonts w:hint="default"/>
          <w:b/>
          <w:bCs/>
          <w:lang w:val="en-US" w:eastAsia="zh-CN"/>
        </w:rPr>
      </w:pPr>
      <w:r>
        <w:rPr>
          <w:rFonts w:hint="default"/>
          <w:b/>
          <w:bCs/>
          <w:lang w:val="en-US" w:eastAsia="zh-CN"/>
        </w:rPr>
        <w:t>Observation 3: Pause/resume all QoE reporting is a critical situation of pause/resume partial QoE reporting.</w:t>
      </w:r>
    </w:p>
    <w:p>
      <w:pPr>
        <w:numPr>
          <w:ilvl w:val="0"/>
          <w:numId w:val="0"/>
        </w:numPr>
        <w:rPr>
          <w:rFonts w:hint="default"/>
          <w:b/>
          <w:bCs/>
          <w:lang w:val="en-US" w:eastAsia="zh-CN"/>
        </w:rPr>
      </w:pPr>
      <w:r>
        <w:rPr>
          <w:rFonts w:hint="default"/>
          <w:b/>
          <w:bCs/>
          <w:lang w:val="en-US" w:eastAsia="zh-CN"/>
        </w:rPr>
        <w:t>Proposal 3: It is proposed that RAN2 shall support pause/resume partial QoE reporting. Details can be FFS.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11"/>
      <w:bookmarkEnd w:id="12"/>
      <w:bookmarkEnd w:id="13"/>
    </w:p>
    <w:p>
      <w:pPr>
        <w:numPr>
          <w:ilvl w:val="0"/>
          <w:numId w:val="7"/>
        </w:numPr>
        <w:spacing w:line="240" w:lineRule="auto"/>
        <w:rPr>
          <w:rFonts w:cs="Arial"/>
          <w:color w:val="000000"/>
          <w:sz w:val="21"/>
          <w:szCs w:val="21"/>
          <w:highlight w:val="none"/>
        </w:rPr>
      </w:pPr>
      <w:bookmarkStart w:id="15" w:name="OLE_LINK3"/>
      <w:r>
        <w:rPr>
          <w:rFonts w:hint="eastAsia" w:eastAsia="宋体" w:cs="Arial"/>
          <w:sz w:val="21"/>
          <w:szCs w:val="21"/>
          <w:highlight w:val="none"/>
          <w:lang w:val="en-US" w:eastAsia="zh-CN"/>
        </w:rPr>
        <w:t>Chairman note for RAN2-11</w:t>
      </w:r>
      <w:r>
        <w:rPr>
          <w:rFonts w:hint="default" w:eastAsia="宋体" w:cs="Arial"/>
          <w:sz w:val="21"/>
          <w:szCs w:val="21"/>
          <w:highlight w:val="none"/>
          <w:lang w:val="en-US" w:eastAsia="zh-CN"/>
        </w:rPr>
        <w:t>5</w:t>
      </w:r>
      <w:r>
        <w:rPr>
          <w:rFonts w:hint="eastAsia" w:eastAsia="宋体" w:cs="Arial"/>
          <w:sz w:val="21"/>
          <w:szCs w:val="21"/>
          <w:highlight w:val="none"/>
          <w:lang w:val="en-US" w:eastAsia="zh-CN"/>
        </w:rPr>
        <w:t>-e.</w:t>
      </w:r>
      <w:bookmarkEnd w:id="14"/>
      <w:bookmarkEnd w:id="15"/>
    </w:p>
    <w:p>
      <w:pPr>
        <w:numPr>
          <w:ilvl w:val="0"/>
          <w:numId w:val="7"/>
        </w:numPr>
        <w:spacing w:line="240" w:lineRule="auto"/>
        <w:rPr>
          <w:rFonts w:cs="Arial"/>
          <w:color w:val="000000"/>
          <w:sz w:val="21"/>
          <w:szCs w:val="21"/>
          <w:highlight w:val="none"/>
        </w:rPr>
      </w:pPr>
      <w:r>
        <w:rPr>
          <w:rFonts w:hint="default"/>
          <w:highlight w:val="none"/>
          <w:lang w:val="en-US" w:eastAsia="zh-CN"/>
        </w:rPr>
        <w:t>R2-2106775, LS on QoE report handling at QoE pause.</w:t>
      </w:r>
    </w:p>
    <w:p>
      <w:pPr>
        <w:numPr>
          <w:ilvl w:val="0"/>
          <w:numId w:val="7"/>
        </w:numPr>
        <w:spacing w:line="240" w:lineRule="auto"/>
        <w:rPr>
          <w:rFonts w:cs="Arial"/>
          <w:color w:val="000000"/>
          <w:sz w:val="21"/>
          <w:szCs w:val="21"/>
          <w:highlight w:val="none"/>
        </w:rPr>
      </w:pPr>
      <w:r>
        <w:rPr>
          <w:rFonts w:hint="default"/>
          <w:highlight w:val="none"/>
          <w:lang w:val="en-US" w:eastAsia="zh-CN"/>
        </w:rPr>
        <w:t>S5-214519, Reply LS on QoE report handling at QoE pause.</w:t>
      </w:r>
    </w:p>
    <w:p>
      <w:pPr>
        <w:numPr>
          <w:ilvl w:val="0"/>
          <w:numId w:val="7"/>
        </w:numPr>
        <w:spacing w:line="240" w:lineRule="auto"/>
        <w:rPr>
          <w:rFonts w:cs="Arial"/>
          <w:color w:val="000000"/>
          <w:sz w:val="21"/>
          <w:szCs w:val="21"/>
          <w:highlight w:val="none"/>
        </w:rPr>
      </w:pPr>
      <w:r>
        <w:rPr>
          <w:rFonts w:hint="eastAsia" w:cs="Arial"/>
          <w:color w:val="000000"/>
          <w:sz w:val="21"/>
          <w:szCs w:val="21"/>
          <w:highlight w:val="none"/>
        </w:rPr>
        <w:t>S4-211290</w:t>
      </w:r>
      <w:r>
        <w:rPr>
          <w:rFonts w:hint="default" w:cs="Arial"/>
          <w:color w:val="000000"/>
          <w:sz w:val="21"/>
          <w:szCs w:val="21"/>
          <w:highlight w:val="none"/>
          <w:lang w:val="en-US"/>
        </w:rPr>
        <w:t>, LS Reply on QoE report handling at QoE pause.</w:t>
      </w:r>
    </w:p>
    <w:p>
      <w:pPr>
        <w:numPr>
          <w:ilvl w:val="0"/>
          <w:numId w:val="7"/>
        </w:numPr>
        <w:spacing w:line="240" w:lineRule="auto"/>
        <w:rPr>
          <w:rFonts w:cs="Arial"/>
          <w:color w:val="000000"/>
          <w:sz w:val="21"/>
          <w:szCs w:val="21"/>
          <w:highlight w:val="none"/>
        </w:rPr>
      </w:pPr>
      <w:r>
        <w:rPr>
          <w:rFonts w:hint="eastAsia" w:cs="Arial"/>
          <w:color w:val="000000"/>
          <w:sz w:val="21"/>
          <w:szCs w:val="21"/>
          <w:highlight w:val="none"/>
        </w:rPr>
        <w:t>S4-211234</w:t>
      </w:r>
      <w:r>
        <w:rPr>
          <w:rFonts w:hint="default" w:cs="Arial"/>
          <w:color w:val="000000"/>
          <w:sz w:val="21"/>
          <w:szCs w:val="21"/>
          <w:highlight w:val="none"/>
          <w:lang w:val="en-US"/>
        </w:rPr>
        <w:t>, LS on TS 28.404/TS 28.405 Clarification.</w:t>
      </w: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DB80C9C4"/>
    <w:multiLevelType w:val="singleLevel"/>
    <w:tmpl w:val="DB80C9C4"/>
    <w:lvl w:ilvl="0" w:tentative="0">
      <w:start w:val="1"/>
      <w:numFmt w:val="decimal"/>
      <w:suff w:val="space"/>
      <w:lvlText w:val="%1."/>
      <w:lvlJc w:val="left"/>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6"/>
  </w:num>
  <w:num w:numId="3">
    <w:abstractNumId w:val="4"/>
  </w:num>
  <w:num w:numId="4">
    <w:abstractNumId w:val="5"/>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0C4F"/>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376B"/>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3695ACD"/>
    <w:rsid w:val="037439E2"/>
    <w:rsid w:val="03BC3684"/>
    <w:rsid w:val="0427122D"/>
    <w:rsid w:val="04405CD4"/>
    <w:rsid w:val="044F0676"/>
    <w:rsid w:val="052A346F"/>
    <w:rsid w:val="05AE40A8"/>
    <w:rsid w:val="05D1293B"/>
    <w:rsid w:val="06270E5D"/>
    <w:rsid w:val="06301129"/>
    <w:rsid w:val="066911D8"/>
    <w:rsid w:val="07332E45"/>
    <w:rsid w:val="07393CB3"/>
    <w:rsid w:val="07645E7E"/>
    <w:rsid w:val="07815AA2"/>
    <w:rsid w:val="07DB31F6"/>
    <w:rsid w:val="08036844"/>
    <w:rsid w:val="083828A5"/>
    <w:rsid w:val="083A052C"/>
    <w:rsid w:val="08634AA9"/>
    <w:rsid w:val="086A0D8F"/>
    <w:rsid w:val="08870B03"/>
    <w:rsid w:val="09253E9C"/>
    <w:rsid w:val="0929781C"/>
    <w:rsid w:val="095438C6"/>
    <w:rsid w:val="098B1EF5"/>
    <w:rsid w:val="09911B95"/>
    <w:rsid w:val="09945F3A"/>
    <w:rsid w:val="09CB5A6C"/>
    <w:rsid w:val="09F00BD8"/>
    <w:rsid w:val="09F318B6"/>
    <w:rsid w:val="09FD6E02"/>
    <w:rsid w:val="0A1A74F5"/>
    <w:rsid w:val="0A1D73FF"/>
    <w:rsid w:val="0A750F68"/>
    <w:rsid w:val="0AE61C59"/>
    <w:rsid w:val="0AEC356E"/>
    <w:rsid w:val="0B545B44"/>
    <w:rsid w:val="0BAF148B"/>
    <w:rsid w:val="0C34609D"/>
    <w:rsid w:val="0C4A196E"/>
    <w:rsid w:val="0CBA1583"/>
    <w:rsid w:val="0CBC415D"/>
    <w:rsid w:val="0CD249CC"/>
    <w:rsid w:val="0CE47597"/>
    <w:rsid w:val="0D9222C1"/>
    <w:rsid w:val="0DC045AB"/>
    <w:rsid w:val="0DF763D2"/>
    <w:rsid w:val="0DFF7D07"/>
    <w:rsid w:val="0E374CA0"/>
    <w:rsid w:val="0E425586"/>
    <w:rsid w:val="0E6F0740"/>
    <w:rsid w:val="0EC0431F"/>
    <w:rsid w:val="0F321E2D"/>
    <w:rsid w:val="0F4E2E70"/>
    <w:rsid w:val="0F510AE0"/>
    <w:rsid w:val="0F6715A1"/>
    <w:rsid w:val="0F8070F6"/>
    <w:rsid w:val="0FA731D6"/>
    <w:rsid w:val="10232DBB"/>
    <w:rsid w:val="103246BB"/>
    <w:rsid w:val="103F55E5"/>
    <w:rsid w:val="104A07DF"/>
    <w:rsid w:val="108C2AA3"/>
    <w:rsid w:val="10DE14BF"/>
    <w:rsid w:val="10DF3115"/>
    <w:rsid w:val="10E00123"/>
    <w:rsid w:val="113E3C41"/>
    <w:rsid w:val="11B5797D"/>
    <w:rsid w:val="11DD4AE3"/>
    <w:rsid w:val="11E15AE5"/>
    <w:rsid w:val="11E53E9B"/>
    <w:rsid w:val="11FC5F30"/>
    <w:rsid w:val="120048B1"/>
    <w:rsid w:val="12015140"/>
    <w:rsid w:val="12394E59"/>
    <w:rsid w:val="1299671F"/>
    <w:rsid w:val="12A742B1"/>
    <w:rsid w:val="131813A1"/>
    <w:rsid w:val="13C866DF"/>
    <w:rsid w:val="13DC640D"/>
    <w:rsid w:val="13F01C1F"/>
    <w:rsid w:val="141842FE"/>
    <w:rsid w:val="14352831"/>
    <w:rsid w:val="144A0A3E"/>
    <w:rsid w:val="14674D40"/>
    <w:rsid w:val="146B64E1"/>
    <w:rsid w:val="14993B21"/>
    <w:rsid w:val="14D73601"/>
    <w:rsid w:val="15014A40"/>
    <w:rsid w:val="156B4B8B"/>
    <w:rsid w:val="15890495"/>
    <w:rsid w:val="15D71B32"/>
    <w:rsid w:val="15E03D6F"/>
    <w:rsid w:val="15EF5060"/>
    <w:rsid w:val="169C366A"/>
    <w:rsid w:val="16DA1E4D"/>
    <w:rsid w:val="16FB015A"/>
    <w:rsid w:val="17003574"/>
    <w:rsid w:val="17535B24"/>
    <w:rsid w:val="17675E68"/>
    <w:rsid w:val="17A31370"/>
    <w:rsid w:val="17B06B1C"/>
    <w:rsid w:val="17D92C65"/>
    <w:rsid w:val="17F53DC6"/>
    <w:rsid w:val="180B4FFB"/>
    <w:rsid w:val="18211C57"/>
    <w:rsid w:val="1842664F"/>
    <w:rsid w:val="18543673"/>
    <w:rsid w:val="186B7D0B"/>
    <w:rsid w:val="189D065F"/>
    <w:rsid w:val="18BC6F6C"/>
    <w:rsid w:val="18C25348"/>
    <w:rsid w:val="18CE583B"/>
    <w:rsid w:val="18F32BCE"/>
    <w:rsid w:val="18FF4ABB"/>
    <w:rsid w:val="19343406"/>
    <w:rsid w:val="195B2085"/>
    <w:rsid w:val="1A45032B"/>
    <w:rsid w:val="1A640E62"/>
    <w:rsid w:val="1A713779"/>
    <w:rsid w:val="1A84217D"/>
    <w:rsid w:val="1A9B1F53"/>
    <w:rsid w:val="1ABB54B3"/>
    <w:rsid w:val="1AC25553"/>
    <w:rsid w:val="1AE025B8"/>
    <w:rsid w:val="1B3D4012"/>
    <w:rsid w:val="1B481AFB"/>
    <w:rsid w:val="1B565A1D"/>
    <w:rsid w:val="1B7A1663"/>
    <w:rsid w:val="1B7A249F"/>
    <w:rsid w:val="1B8F6978"/>
    <w:rsid w:val="1BA23557"/>
    <w:rsid w:val="1BC27038"/>
    <w:rsid w:val="1BC73993"/>
    <w:rsid w:val="1BD24B16"/>
    <w:rsid w:val="1BF62321"/>
    <w:rsid w:val="1C130C67"/>
    <w:rsid w:val="1C2D5D31"/>
    <w:rsid w:val="1C5D6CC2"/>
    <w:rsid w:val="1C696E9C"/>
    <w:rsid w:val="1C7A4C49"/>
    <w:rsid w:val="1CA21F0A"/>
    <w:rsid w:val="1CBD093F"/>
    <w:rsid w:val="1CC83450"/>
    <w:rsid w:val="1CE21C50"/>
    <w:rsid w:val="1CE9601A"/>
    <w:rsid w:val="1D235F66"/>
    <w:rsid w:val="1D665A9E"/>
    <w:rsid w:val="1D667D51"/>
    <w:rsid w:val="1D8D3AB3"/>
    <w:rsid w:val="1DC566C0"/>
    <w:rsid w:val="1DE501D0"/>
    <w:rsid w:val="1DF864F7"/>
    <w:rsid w:val="1E21472F"/>
    <w:rsid w:val="1E2804C4"/>
    <w:rsid w:val="1E2C49A1"/>
    <w:rsid w:val="1E3722FA"/>
    <w:rsid w:val="1E8146DA"/>
    <w:rsid w:val="1EA46EA2"/>
    <w:rsid w:val="1EAA39F6"/>
    <w:rsid w:val="1EB2633F"/>
    <w:rsid w:val="1EB847E9"/>
    <w:rsid w:val="1F8E0455"/>
    <w:rsid w:val="1FA76059"/>
    <w:rsid w:val="1FAF272D"/>
    <w:rsid w:val="1FD0672A"/>
    <w:rsid w:val="1FE374E8"/>
    <w:rsid w:val="1FFC5344"/>
    <w:rsid w:val="204934AB"/>
    <w:rsid w:val="20573F56"/>
    <w:rsid w:val="20705710"/>
    <w:rsid w:val="20840318"/>
    <w:rsid w:val="20930DFA"/>
    <w:rsid w:val="20CE5836"/>
    <w:rsid w:val="20D02BC7"/>
    <w:rsid w:val="20F0405B"/>
    <w:rsid w:val="210637EE"/>
    <w:rsid w:val="210948AE"/>
    <w:rsid w:val="211E529B"/>
    <w:rsid w:val="213A5E32"/>
    <w:rsid w:val="214425B4"/>
    <w:rsid w:val="215B24B5"/>
    <w:rsid w:val="21D36B48"/>
    <w:rsid w:val="21D93ECC"/>
    <w:rsid w:val="221B7641"/>
    <w:rsid w:val="222E4F94"/>
    <w:rsid w:val="224F5646"/>
    <w:rsid w:val="22666B0B"/>
    <w:rsid w:val="229A0A46"/>
    <w:rsid w:val="22D5441E"/>
    <w:rsid w:val="22D61F71"/>
    <w:rsid w:val="232660FF"/>
    <w:rsid w:val="23BE01FF"/>
    <w:rsid w:val="24004246"/>
    <w:rsid w:val="2410019C"/>
    <w:rsid w:val="2418652F"/>
    <w:rsid w:val="245A1846"/>
    <w:rsid w:val="248512BD"/>
    <w:rsid w:val="24E51B39"/>
    <w:rsid w:val="25173A41"/>
    <w:rsid w:val="252D5DCC"/>
    <w:rsid w:val="255B75CB"/>
    <w:rsid w:val="25841D88"/>
    <w:rsid w:val="25A45302"/>
    <w:rsid w:val="25A94E88"/>
    <w:rsid w:val="25E135DF"/>
    <w:rsid w:val="261E413F"/>
    <w:rsid w:val="263E633F"/>
    <w:rsid w:val="267E599C"/>
    <w:rsid w:val="26C17FC8"/>
    <w:rsid w:val="27242E3E"/>
    <w:rsid w:val="277340DD"/>
    <w:rsid w:val="27B132D6"/>
    <w:rsid w:val="27FF1FDA"/>
    <w:rsid w:val="28915210"/>
    <w:rsid w:val="28937E74"/>
    <w:rsid w:val="289F4D96"/>
    <w:rsid w:val="29095102"/>
    <w:rsid w:val="293E1B9C"/>
    <w:rsid w:val="29A81AA0"/>
    <w:rsid w:val="29B32846"/>
    <w:rsid w:val="29ED63D5"/>
    <w:rsid w:val="2A275682"/>
    <w:rsid w:val="2A275D46"/>
    <w:rsid w:val="2A406DE2"/>
    <w:rsid w:val="2A75509F"/>
    <w:rsid w:val="2A9376BC"/>
    <w:rsid w:val="2AA14025"/>
    <w:rsid w:val="2B2348E2"/>
    <w:rsid w:val="2B5D0645"/>
    <w:rsid w:val="2B907720"/>
    <w:rsid w:val="2BCD0751"/>
    <w:rsid w:val="2C0B572E"/>
    <w:rsid w:val="2C6150F4"/>
    <w:rsid w:val="2C7F2EA6"/>
    <w:rsid w:val="2C8C2358"/>
    <w:rsid w:val="2C8E4E6A"/>
    <w:rsid w:val="2C9927E7"/>
    <w:rsid w:val="2CA56F60"/>
    <w:rsid w:val="2CAF2767"/>
    <w:rsid w:val="2CFB59F1"/>
    <w:rsid w:val="2D125EB2"/>
    <w:rsid w:val="2D1E05D5"/>
    <w:rsid w:val="2D205827"/>
    <w:rsid w:val="2D5627A8"/>
    <w:rsid w:val="2D8D29A8"/>
    <w:rsid w:val="2D9A6090"/>
    <w:rsid w:val="2D9D4CC1"/>
    <w:rsid w:val="2DBD4FAF"/>
    <w:rsid w:val="2E09336F"/>
    <w:rsid w:val="2E297808"/>
    <w:rsid w:val="2E615D6D"/>
    <w:rsid w:val="2EB830A3"/>
    <w:rsid w:val="2EC27772"/>
    <w:rsid w:val="2ED0428B"/>
    <w:rsid w:val="2F263E1B"/>
    <w:rsid w:val="2F337D9E"/>
    <w:rsid w:val="2F6E2BFC"/>
    <w:rsid w:val="300160A4"/>
    <w:rsid w:val="3003631E"/>
    <w:rsid w:val="30396589"/>
    <w:rsid w:val="30745F5B"/>
    <w:rsid w:val="3078124A"/>
    <w:rsid w:val="3090209F"/>
    <w:rsid w:val="30953FB5"/>
    <w:rsid w:val="31623402"/>
    <w:rsid w:val="31EB4942"/>
    <w:rsid w:val="31EC5E5F"/>
    <w:rsid w:val="32187B45"/>
    <w:rsid w:val="32362071"/>
    <w:rsid w:val="326734D7"/>
    <w:rsid w:val="3273050E"/>
    <w:rsid w:val="32817193"/>
    <w:rsid w:val="32891F62"/>
    <w:rsid w:val="328C1583"/>
    <w:rsid w:val="32C9080C"/>
    <w:rsid w:val="32CA0CF4"/>
    <w:rsid w:val="334275F5"/>
    <w:rsid w:val="335C7FCF"/>
    <w:rsid w:val="33636F14"/>
    <w:rsid w:val="33670485"/>
    <w:rsid w:val="33C54618"/>
    <w:rsid w:val="34211C7C"/>
    <w:rsid w:val="347A4EB8"/>
    <w:rsid w:val="35183D8B"/>
    <w:rsid w:val="35387D52"/>
    <w:rsid w:val="35513FB8"/>
    <w:rsid w:val="356926AE"/>
    <w:rsid w:val="35746D1B"/>
    <w:rsid w:val="358E0757"/>
    <w:rsid w:val="35AE7101"/>
    <w:rsid w:val="35BB43C3"/>
    <w:rsid w:val="35F9212A"/>
    <w:rsid w:val="36281B26"/>
    <w:rsid w:val="36336C04"/>
    <w:rsid w:val="365C0D8B"/>
    <w:rsid w:val="366043F8"/>
    <w:rsid w:val="366626F2"/>
    <w:rsid w:val="366F5A51"/>
    <w:rsid w:val="36C13A3A"/>
    <w:rsid w:val="374F6194"/>
    <w:rsid w:val="377F6041"/>
    <w:rsid w:val="37BC7D72"/>
    <w:rsid w:val="37E15A1B"/>
    <w:rsid w:val="382E42A6"/>
    <w:rsid w:val="38626E95"/>
    <w:rsid w:val="38A75F14"/>
    <w:rsid w:val="38BD2C6C"/>
    <w:rsid w:val="38FA0996"/>
    <w:rsid w:val="38FA513B"/>
    <w:rsid w:val="39467E4B"/>
    <w:rsid w:val="396E02FE"/>
    <w:rsid w:val="3982272C"/>
    <w:rsid w:val="399133F9"/>
    <w:rsid w:val="399648C1"/>
    <w:rsid w:val="39BB3B43"/>
    <w:rsid w:val="3A156CE0"/>
    <w:rsid w:val="3A277789"/>
    <w:rsid w:val="3A2D66D3"/>
    <w:rsid w:val="3A891A0E"/>
    <w:rsid w:val="3A9620D1"/>
    <w:rsid w:val="3AA26C9B"/>
    <w:rsid w:val="3ADC5E36"/>
    <w:rsid w:val="3AFC2B33"/>
    <w:rsid w:val="3AFC41BB"/>
    <w:rsid w:val="3B6C5507"/>
    <w:rsid w:val="3B7F2802"/>
    <w:rsid w:val="3B8B43E4"/>
    <w:rsid w:val="3BA1185C"/>
    <w:rsid w:val="3BC33F8E"/>
    <w:rsid w:val="3BCE7F95"/>
    <w:rsid w:val="3C087392"/>
    <w:rsid w:val="3C3F7E0E"/>
    <w:rsid w:val="3C7F3B8E"/>
    <w:rsid w:val="3C851465"/>
    <w:rsid w:val="3C893061"/>
    <w:rsid w:val="3CB674D9"/>
    <w:rsid w:val="3CC937E3"/>
    <w:rsid w:val="3CCC2453"/>
    <w:rsid w:val="3D0F30FA"/>
    <w:rsid w:val="3D634A82"/>
    <w:rsid w:val="3D9210CE"/>
    <w:rsid w:val="3DAC0E95"/>
    <w:rsid w:val="3E7A082F"/>
    <w:rsid w:val="3E926EC3"/>
    <w:rsid w:val="3E93478A"/>
    <w:rsid w:val="3E9F10BF"/>
    <w:rsid w:val="3EA41691"/>
    <w:rsid w:val="3EB4127F"/>
    <w:rsid w:val="3EB7148B"/>
    <w:rsid w:val="3EC40624"/>
    <w:rsid w:val="3EF93E2B"/>
    <w:rsid w:val="3F0875E3"/>
    <w:rsid w:val="3F09726C"/>
    <w:rsid w:val="3F0F2BD0"/>
    <w:rsid w:val="3F1F25CF"/>
    <w:rsid w:val="3F495E7B"/>
    <w:rsid w:val="3F5B21D1"/>
    <w:rsid w:val="3FB60A94"/>
    <w:rsid w:val="3FBD74AC"/>
    <w:rsid w:val="402D7D95"/>
    <w:rsid w:val="402F67F2"/>
    <w:rsid w:val="402F7D1A"/>
    <w:rsid w:val="405E7B10"/>
    <w:rsid w:val="411531A3"/>
    <w:rsid w:val="414B0A93"/>
    <w:rsid w:val="415723A1"/>
    <w:rsid w:val="41643432"/>
    <w:rsid w:val="421B0E01"/>
    <w:rsid w:val="42481B2A"/>
    <w:rsid w:val="437906BF"/>
    <w:rsid w:val="43945CC5"/>
    <w:rsid w:val="43CE3BC6"/>
    <w:rsid w:val="43FB5AF0"/>
    <w:rsid w:val="440B4BBE"/>
    <w:rsid w:val="44211E9A"/>
    <w:rsid w:val="4454633F"/>
    <w:rsid w:val="44555A83"/>
    <w:rsid w:val="446A1C8A"/>
    <w:rsid w:val="44C70D28"/>
    <w:rsid w:val="44EE2D37"/>
    <w:rsid w:val="44FB1A24"/>
    <w:rsid w:val="45465A74"/>
    <w:rsid w:val="457210D8"/>
    <w:rsid w:val="459C31A4"/>
    <w:rsid w:val="45E30915"/>
    <w:rsid w:val="45E40321"/>
    <w:rsid w:val="4625557D"/>
    <w:rsid w:val="464A6151"/>
    <w:rsid w:val="464F0E9C"/>
    <w:rsid w:val="465173C0"/>
    <w:rsid w:val="467E3F9B"/>
    <w:rsid w:val="46825B05"/>
    <w:rsid w:val="4684656F"/>
    <w:rsid w:val="46867C6B"/>
    <w:rsid w:val="46CC7A0B"/>
    <w:rsid w:val="46FB6BA0"/>
    <w:rsid w:val="47047ED5"/>
    <w:rsid w:val="470D32F9"/>
    <w:rsid w:val="473D266B"/>
    <w:rsid w:val="479A47C1"/>
    <w:rsid w:val="47A30EFE"/>
    <w:rsid w:val="47B952BD"/>
    <w:rsid w:val="47FE7D60"/>
    <w:rsid w:val="48110BF4"/>
    <w:rsid w:val="48200D75"/>
    <w:rsid w:val="48283643"/>
    <w:rsid w:val="484C3C28"/>
    <w:rsid w:val="48516D40"/>
    <w:rsid w:val="486A5C7B"/>
    <w:rsid w:val="48947B35"/>
    <w:rsid w:val="48BB3F94"/>
    <w:rsid w:val="48E03D9C"/>
    <w:rsid w:val="49374149"/>
    <w:rsid w:val="49613924"/>
    <w:rsid w:val="496D0F3E"/>
    <w:rsid w:val="49E12571"/>
    <w:rsid w:val="49E378C6"/>
    <w:rsid w:val="4A447511"/>
    <w:rsid w:val="4A834EBE"/>
    <w:rsid w:val="4A84625B"/>
    <w:rsid w:val="4AE42FC1"/>
    <w:rsid w:val="4B073ABA"/>
    <w:rsid w:val="4B3040AF"/>
    <w:rsid w:val="4B55574A"/>
    <w:rsid w:val="4B8B3072"/>
    <w:rsid w:val="4BA90131"/>
    <w:rsid w:val="4BB36285"/>
    <w:rsid w:val="4BD35EC5"/>
    <w:rsid w:val="4BF55CE7"/>
    <w:rsid w:val="4C1B3C0A"/>
    <w:rsid w:val="4C4846F9"/>
    <w:rsid w:val="4CBC728A"/>
    <w:rsid w:val="4CED6111"/>
    <w:rsid w:val="4CFB69A6"/>
    <w:rsid w:val="4D2316EA"/>
    <w:rsid w:val="4D267491"/>
    <w:rsid w:val="4D331FE6"/>
    <w:rsid w:val="4D830955"/>
    <w:rsid w:val="4DF641D3"/>
    <w:rsid w:val="4E3E017D"/>
    <w:rsid w:val="4E5F59DA"/>
    <w:rsid w:val="4EA44C2A"/>
    <w:rsid w:val="4EB546B6"/>
    <w:rsid w:val="4EF23E87"/>
    <w:rsid w:val="4F270D44"/>
    <w:rsid w:val="4F2941D5"/>
    <w:rsid w:val="4FF955FD"/>
    <w:rsid w:val="4FFC0A94"/>
    <w:rsid w:val="4FFF2F7D"/>
    <w:rsid w:val="50081059"/>
    <w:rsid w:val="504F4E51"/>
    <w:rsid w:val="509E2AE6"/>
    <w:rsid w:val="50F36CD9"/>
    <w:rsid w:val="512E641B"/>
    <w:rsid w:val="517D059D"/>
    <w:rsid w:val="51FA56D9"/>
    <w:rsid w:val="521723B7"/>
    <w:rsid w:val="523F7F97"/>
    <w:rsid w:val="52CA24EF"/>
    <w:rsid w:val="52F3058A"/>
    <w:rsid w:val="53047529"/>
    <w:rsid w:val="53133561"/>
    <w:rsid w:val="53B9060B"/>
    <w:rsid w:val="54107975"/>
    <w:rsid w:val="5451551D"/>
    <w:rsid w:val="548C2C0D"/>
    <w:rsid w:val="54D6790A"/>
    <w:rsid w:val="55205953"/>
    <w:rsid w:val="553A4CBA"/>
    <w:rsid w:val="557E6857"/>
    <w:rsid w:val="55E15918"/>
    <w:rsid w:val="55E65C45"/>
    <w:rsid w:val="55EA2DA9"/>
    <w:rsid w:val="55F9753C"/>
    <w:rsid w:val="55FA344A"/>
    <w:rsid w:val="5616542D"/>
    <w:rsid w:val="563A460F"/>
    <w:rsid w:val="566B6C45"/>
    <w:rsid w:val="56975E59"/>
    <w:rsid w:val="569C350B"/>
    <w:rsid w:val="56AB26BC"/>
    <w:rsid w:val="56BF0EA2"/>
    <w:rsid w:val="56EA3918"/>
    <w:rsid w:val="57460503"/>
    <w:rsid w:val="575272DC"/>
    <w:rsid w:val="575370FA"/>
    <w:rsid w:val="57B642BC"/>
    <w:rsid w:val="57BD0A78"/>
    <w:rsid w:val="57DC6FDD"/>
    <w:rsid w:val="57FB5F50"/>
    <w:rsid w:val="58984B29"/>
    <w:rsid w:val="589E7340"/>
    <w:rsid w:val="58B03A4A"/>
    <w:rsid w:val="590D5DDF"/>
    <w:rsid w:val="592A2DC5"/>
    <w:rsid w:val="596F34AA"/>
    <w:rsid w:val="59C407FC"/>
    <w:rsid w:val="59C754AB"/>
    <w:rsid w:val="59E079AB"/>
    <w:rsid w:val="5A375749"/>
    <w:rsid w:val="5A726BA0"/>
    <w:rsid w:val="5AD3204F"/>
    <w:rsid w:val="5B071BBA"/>
    <w:rsid w:val="5B3C55BF"/>
    <w:rsid w:val="5B63756F"/>
    <w:rsid w:val="5B725B6B"/>
    <w:rsid w:val="5BBE026D"/>
    <w:rsid w:val="5BD439A7"/>
    <w:rsid w:val="5BDF3319"/>
    <w:rsid w:val="5BEF3BBE"/>
    <w:rsid w:val="5C991133"/>
    <w:rsid w:val="5C995E25"/>
    <w:rsid w:val="5CEF7FAB"/>
    <w:rsid w:val="5CF36DFF"/>
    <w:rsid w:val="5D46057B"/>
    <w:rsid w:val="5D5144C0"/>
    <w:rsid w:val="5DFB2BCA"/>
    <w:rsid w:val="5E180B4E"/>
    <w:rsid w:val="5E2A7858"/>
    <w:rsid w:val="5E790BE8"/>
    <w:rsid w:val="5E973039"/>
    <w:rsid w:val="5EA87B0A"/>
    <w:rsid w:val="5EB119EE"/>
    <w:rsid w:val="5EEF7AA9"/>
    <w:rsid w:val="5F3E2940"/>
    <w:rsid w:val="5F4945D9"/>
    <w:rsid w:val="5F4E4F30"/>
    <w:rsid w:val="5F825446"/>
    <w:rsid w:val="5FAE4FA2"/>
    <w:rsid w:val="5FBE69BB"/>
    <w:rsid w:val="5FCB4192"/>
    <w:rsid w:val="601A7A49"/>
    <w:rsid w:val="602F4794"/>
    <w:rsid w:val="604D1869"/>
    <w:rsid w:val="607F4912"/>
    <w:rsid w:val="60881A7C"/>
    <w:rsid w:val="609751E5"/>
    <w:rsid w:val="60C10976"/>
    <w:rsid w:val="61563C9D"/>
    <w:rsid w:val="61C16E82"/>
    <w:rsid w:val="61D81A5C"/>
    <w:rsid w:val="620D1678"/>
    <w:rsid w:val="62800B8F"/>
    <w:rsid w:val="62B8321C"/>
    <w:rsid w:val="62D625D5"/>
    <w:rsid w:val="630962B4"/>
    <w:rsid w:val="63766DF5"/>
    <w:rsid w:val="63BE6B4B"/>
    <w:rsid w:val="63E41E32"/>
    <w:rsid w:val="6406254B"/>
    <w:rsid w:val="643636FB"/>
    <w:rsid w:val="64522BD2"/>
    <w:rsid w:val="646766DC"/>
    <w:rsid w:val="64E010F2"/>
    <w:rsid w:val="6503009D"/>
    <w:rsid w:val="651E5E20"/>
    <w:rsid w:val="65535A1B"/>
    <w:rsid w:val="657E2D0B"/>
    <w:rsid w:val="65817DB1"/>
    <w:rsid w:val="65FE510C"/>
    <w:rsid w:val="660E507B"/>
    <w:rsid w:val="66373410"/>
    <w:rsid w:val="664D4AB5"/>
    <w:rsid w:val="66576902"/>
    <w:rsid w:val="668D21E9"/>
    <w:rsid w:val="668D6BED"/>
    <w:rsid w:val="669369C9"/>
    <w:rsid w:val="66943B2D"/>
    <w:rsid w:val="669B1282"/>
    <w:rsid w:val="66CA61B4"/>
    <w:rsid w:val="67165E6D"/>
    <w:rsid w:val="675A1CF7"/>
    <w:rsid w:val="6761194F"/>
    <w:rsid w:val="677F7400"/>
    <w:rsid w:val="67A01566"/>
    <w:rsid w:val="67A63D55"/>
    <w:rsid w:val="67A84465"/>
    <w:rsid w:val="67AB3B49"/>
    <w:rsid w:val="68384317"/>
    <w:rsid w:val="685F312A"/>
    <w:rsid w:val="68603781"/>
    <w:rsid w:val="68CC70D7"/>
    <w:rsid w:val="69291ACC"/>
    <w:rsid w:val="6933530D"/>
    <w:rsid w:val="693F57CE"/>
    <w:rsid w:val="69433D4A"/>
    <w:rsid w:val="696B32FD"/>
    <w:rsid w:val="69797C2C"/>
    <w:rsid w:val="69AB78DD"/>
    <w:rsid w:val="69D171A3"/>
    <w:rsid w:val="69D74CDC"/>
    <w:rsid w:val="6A206938"/>
    <w:rsid w:val="6A2F1F48"/>
    <w:rsid w:val="6A635607"/>
    <w:rsid w:val="6A6C5A40"/>
    <w:rsid w:val="6A9B47A1"/>
    <w:rsid w:val="6AB91DE7"/>
    <w:rsid w:val="6AFF14C0"/>
    <w:rsid w:val="6B0E13E7"/>
    <w:rsid w:val="6B1301B0"/>
    <w:rsid w:val="6B29781B"/>
    <w:rsid w:val="6B5068BA"/>
    <w:rsid w:val="6BCA3BDA"/>
    <w:rsid w:val="6BFF0085"/>
    <w:rsid w:val="6C5520DF"/>
    <w:rsid w:val="6CA61585"/>
    <w:rsid w:val="6CC16C4E"/>
    <w:rsid w:val="6D17028B"/>
    <w:rsid w:val="6D2552D8"/>
    <w:rsid w:val="6D302D5D"/>
    <w:rsid w:val="6D3C235D"/>
    <w:rsid w:val="6D935AB0"/>
    <w:rsid w:val="6DA62403"/>
    <w:rsid w:val="6DF5498C"/>
    <w:rsid w:val="6E087119"/>
    <w:rsid w:val="6E0A3A07"/>
    <w:rsid w:val="6E372360"/>
    <w:rsid w:val="6E4F724A"/>
    <w:rsid w:val="6E60770D"/>
    <w:rsid w:val="6F037853"/>
    <w:rsid w:val="6F7B3028"/>
    <w:rsid w:val="6FA027BC"/>
    <w:rsid w:val="6FC55DFE"/>
    <w:rsid w:val="70020A66"/>
    <w:rsid w:val="700B0E5F"/>
    <w:rsid w:val="701A03F2"/>
    <w:rsid w:val="701B6FD8"/>
    <w:rsid w:val="70206DE6"/>
    <w:rsid w:val="704266E6"/>
    <w:rsid w:val="70584FED"/>
    <w:rsid w:val="706A7B0F"/>
    <w:rsid w:val="7080412D"/>
    <w:rsid w:val="7127456D"/>
    <w:rsid w:val="712914EF"/>
    <w:rsid w:val="71764F8C"/>
    <w:rsid w:val="717C199B"/>
    <w:rsid w:val="71C43B28"/>
    <w:rsid w:val="71EF2FA5"/>
    <w:rsid w:val="7210341D"/>
    <w:rsid w:val="72C12A96"/>
    <w:rsid w:val="73624F26"/>
    <w:rsid w:val="736C6888"/>
    <w:rsid w:val="737F4DAF"/>
    <w:rsid w:val="739169DE"/>
    <w:rsid w:val="739B1EBD"/>
    <w:rsid w:val="73AF18CB"/>
    <w:rsid w:val="73B9425D"/>
    <w:rsid w:val="73ED4A58"/>
    <w:rsid w:val="73F12374"/>
    <w:rsid w:val="73F674A1"/>
    <w:rsid w:val="740422B3"/>
    <w:rsid w:val="74796ABE"/>
    <w:rsid w:val="74A87093"/>
    <w:rsid w:val="74C80433"/>
    <w:rsid w:val="74E229B4"/>
    <w:rsid w:val="74E9694C"/>
    <w:rsid w:val="74EC26A7"/>
    <w:rsid w:val="75034CF7"/>
    <w:rsid w:val="75673F89"/>
    <w:rsid w:val="756F302F"/>
    <w:rsid w:val="757946EE"/>
    <w:rsid w:val="75DF32A0"/>
    <w:rsid w:val="75ED010F"/>
    <w:rsid w:val="760A43BF"/>
    <w:rsid w:val="761321E0"/>
    <w:rsid w:val="761450E8"/>
    <w:rsid w:val="764A52E7"/>
    <w:rsid w:val="765D589D"/>
    <w:rsid w:val="76695B00"/>
    <w:rsid w:val="766F46B0"/>
    <w:rsid w:val="76A133C0"/>
    <w:rsid w:val="76D36025"/>
    <w:rsid w:val="772F2936"/>
    <w:rsid w:val="776B6DA8"/>
    <w:rsid w:val="77703BB9"/>
    <w:rsid w:val="77930FF3"/>
    <w:rsid w:val="77AF6C41"/>
    <w:rsid w:val="77B21E06"/>
    <w:rsid w:val="77DD50F7"/>
    <w:rsid w:val="780F0912"/>
    <w:rsid w:val="78370C3D"/>
    <w:rsid w:val="784F6AB7"/>
    <w:rsid w:val="78D61CB2"/>
    <w:rsid w:val="78F104FB"/>
    <w:rsid w:val="79493EB1"/>
    <w:rsid w:val="797C66CF"/>
    <w:rsid w:val="79F13202"/>
    <w:rsid w:val="7A7550A6"/>
    <w:rsid w:val="7AAF3771"/>
    <w:rsid w:val="7AEC001A"/>
    <w:rsid w:val="7B475761"/>
    <w:rsid w:val="7B49298E"/>
    <w:rsid w:val="7B7B57F5"/>
    <w:rsid w:val="7B7D3C44"/>
    <w:rsid w:val="7BE208A5"/>
    <w:rsid w:val="7BE3068E"/>
    <w:rsid w:val="7C150EF5"/>
    <w:rsid w:val="7C3133CB"/>
    <w:rsid w:val="7C465BE7"/>
    <w:rsid w:val="7C665A9A"/>
    <w:rsid w:val="7C6731A8"/>
    <w:rsid w:val="7CAA6526"/>
    <w:rsid w:val="7CAF51D0"/>
    <w:rsid w:val="7CAF6655"/>
    <w:rsid w:val="7D2A73BF"/>
    <w:rsid w:val="7D6E224F"/>
    <w:rsid w:val="7D850A77"/>
    <w:rsid w:val="7D87285F"/>
    <w:rsid w:val="7D9B3B81"/>
    <w:rsid w:val="7DA87B6D"/>
    <w:rsid w:val="7DA957CB"/>
    <w:rsid w:val="7DC82C31"/>
    <w:rsid w:val="7DF35247"/>
    <w:rsid w:val="7DF366F8"/>
    <w:rsid w:val="7E0F7674"/>
    <w:rsid w:val="7E1F6225"/>
    <w:rsid w:val="7E5940F2"/>
    <w:rsid w:val="7E5B35FF"/>
    <w:rsid w:val="7E6916D3"/>
    <w:rsid w:val="7EA33491"/>
    <w:rsid w:val="7EF21D44"/>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 w:type="paragraph" w:customStyle="1" w:styleId="287">
    <w:name w:val="Table_head"/>
    <w:basedOn w:val="1"/>
    <w:next w:val="288"/>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宋体"/>
      <w:b/>
      <w:sz w:val="22"/>
    </w:rPr>
  </w:style>
  <w:style w:type="paragraph" w:customStyle="1" w:styleId="288">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16</TotalTime>
  <ScaleCrop>false</ScaleCrop>
  <LinksUpToDate>false</LinksUpToDate>
  <CharactersWithSpaces>12552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cp:lastModifiedBy>
  <cp:lastPrinted>2113-01-01T00:00:00Z</cp:lastPrinted>
  <dcterms:modified xsi:type="dcterms:W3CDTF">2021-10-22T01:14:55Z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