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strike w:val="0"/>
          <w:dstrike w:val="0"/>
          <w:kern w:val="2"/>
          <w:sz w:val="24"/>
          <w:szCs w:val="21"/>
          <w:highlight w:val="none"/>
          <w:lang w:val="en-US" w:eastAsia="zh-CN" w:bidi="ar-SA"/>
        </w:rPr>
      </w:pPr>
      <w:bookmarkStart w:id="0" w:name="_Toc18403966"/>
      <w:bookmarkStart w:id="1" w:name="_Toc18404533"/>
      <w:bookmarkStart w:id="2" w:name="_Toc18413600"/>
      <w:r>
        <w:rPr>
          <w:rFonts w:ascii="Times New Roman" w:hAnsi="Times New Roman"/>
          <w:b/>
          <w:strike w:val="0"/>
          <w:dstrike w:val="0"/>
          <w:sz w:val="24"/>
          <w:highlight w:val="none"/>
        </w:rPr>
        <w:t>3GPP TSG-RAN WG2 Meeting #</w:t>
      </w:r>
      <w:r>
        <w:rPr>
          <w:rFonts w:ascii="Times New Roman" w:hAnsi="Times New Roman"/>
          <w:b/>
          <w:strike w:val="0"/>
          <w:dstrike w:val="0"/>
          <w:sz w:val="24"/>
          <w:highlight w:val="none"/>
          <w:lang w:eastAsia="zh-CN"/>
        </w:rPr>
        <w:t>1</w:t>
      </w:r>
      <w:r>
        <w:rPr>
          <w:rFonts w:hint="eastAsia" w:ascii="Times New Roman" w:hAnsi="Times New Roman"/>
          <w:b/>
          <w:strike w:val="0"/>
          <w:dstrike w:val="0"/>
          <w:sz w:val="24"/>
          <w:highlight w:val="none"/>
          <w:lang w:val="en-US" w:eastAsia="zh-CN"/>
        </w:rPr>
        <w:t>1</w:t>
      </w:r>
      <w:r>
        <w:rPr>
          <w:rFonts w:hint="default" w:ascii="Times New Roman" w:hAnsi="Times New Roman"/>
          <w:b/>
          <w:strike w:val="0"/>
          <w:dstrike w:val="0"/>
          <w:sz w:val="24"/>
          <w:highlight w:val="none"/>
          <w:lang w:val="en-US" w:eastAsia="zh-CN"/>
        </w:rPr>
        <w:t>6</w:t>
      </w:r>
      <w:r>
        <w:rPr>
          <w:rFonts w:hint="eastAsia" w:ascii="Times New Roman" w:hAnsi="Times New Roman"/>
          <w:b/>
          <w:strike w:val="0"/>
          <w:dstrike w:val="0"/>
          <w:sz w:val="24"/>
          <w:highlight w:val="none"/>
          <w:lang w:val="en-US" w:eastAsia="zh-CN"/>
        </w:rPr>
        <w:t>-e</w:t>
      </w:r>
      <w:r>
        <w:rPr>
          <w:rFonts w:ascii="Times New Roman" w:hAnsi="Times New Roman"/>
          <w:b/>
          <w:i/>
          <w:strike w:val="0"/>
          <w:dstrike w:val="0"/>
          <w:sz w:val="24"/>
          <w:highlight w:val="none"/>
        </w:rPr>
        <w:t xml:space="preserve"> </w:t>
      </w:r>
      <w:r>
        <w:rPr>
          <w:rFonts w:ascii="Times New Roman" w:hAnsi="Times New Roman"/>
          <w:b/>
          <w:i/>
          <w:strike w:val="0"/>
          <w:dstrike w:val="0"/>
          <w:sz w:val="24"/>
          <w:highlight w:val="none"/>
          <w:lang w:val="en-US" w:eastAsia="zh-CN"/>
        </w:rPr>
        <w:t xml:space="preserve">                       </w:t>
      </w:r>
      <w:r>
        <w:rPr>
          <w:rFonts w:hint="eastAsia" w:ascii="Arial" w:hAnsi="Arial" w:eastAsia="宋体" w:cs="Times New Roman"/>
          <w:b/>
          <w:strike w:val="0"/>
          <w:dstrike w:val="0"/>
          <w:kern w:val="2"/>
          <w:sz w:val="24"/>
          <w:szCs w:val="21"/>
          <w:highlight w:val="none"/>
          <w:lang w:val="en-US" w:eastAsia="zh-CN" w:bidi="ar-SA"/>
        </w:rPr>
        <w:t xml:space="preserve"> </w:t>
      </w:r>
      <w:r>
        <w:rPr>
          <w:rFonts w:hint="eastAsia" w:ascii="Arial" w:hAnsi="Arial" w:eastAsia="宋体" w:cs="Times New Roman"/>
          <w:b/>
          <w:strike w:val="0"/>
          <w:dstrike w:val="0"/>
          <w:kern w:val="2"/>
          <w:sz w:val="24"/>
          <w:szCs w:val="21"/>
          <w:highlight w:val="none"/>
          <w:lang w:val="zh-CN" w:eastAsia="zh-CN" w:bidi="ar-SA"/>
        </w:rPr>
        <w:t>R2-2110989</w:t>
      </w:r>
    </w:p>
    <w:p>
      <w:pPr>
        <w:pStyle w:val="286"/>
        <w:rPr>
          <w:rFonts w:cs="Arial"/>
          <w:bCs/>
          <w:strike w:val="0"/>
          <w:kern w:val="0"/>
          <w:sz w:val="28"/>
          <w:szCs w:val="28"/>
          <w:highlight w:val="none"/>
        </w:rPr>
      </w:pPr>
      <w:r>
        <w:rPr>
          <w:strike w:val="0"/>
          <w:dstrike w:val="0"/>
          <w:highlight w:val="none"/>
        </w:rPr>
        <w:t xml:space="preserve">Electronic meeting, </w:t>
      </w:r>
      <w:r>
        <w:rPr>
          <w:rFonts w:hint="default"/>
          <w:strike w:val="0"/>
          <w:dstrike w:val="0"/>
          <w:highlight w:val="none"/>
          <w:lang w:val="en-US"/>
        </w:rPr>
        <w:t>1</w:t>
      </w:r>
      <w:r>
        <w:rPr>
          <w:rFonts w:hint="eastAsia"/>
          <w:strike w:val="0"/>
          <w:dstrike w:val="0"/>
          <w:highlight w:val="none"/>
          <w:lang w:val="en-US" w:eastAsia="zh-CN"/>
        </w:rPr>
        <w:t xml:space="preserve"> </w:t>
      </w:r>
      <w:r>
        <w:rPr>
          <w:rFonts w:hint="default"/>
          <w:strike w:val="0"/>
          <w:dstrike w:val="0"/>
          <w:highlight w:val="none"/>
          <w:lang w:val="en-US" w:eastAsia="zh-CN"/>
        </w:rPr>
        <w:t>Nov</w:t>
      </w:r>
      <w:r>
        <w:rPr>
          <w:strike w:val="0"/>
          <w:dstrike w:val="0"/>
          <w:highlight w:val="none"/>
        </w:rPr>
        <w:t xml:space="preserve"> – </w:t>
      </w:r>
      <w:r>
        <w:rPr>
          <w:rFonts w:hint="default"/>
          <w:strike w:val="0"/>
          <w:dstrike w:val="0"/>
          <w:highlight w:val="none"/>
          <w:lang w:val="en-US"/>
        </w:rPr>
        <w:t>12</w:t>
      </w:r>
      <w:r>
        <w:rPr>
          <w:strike w:val="0"/>
          <w:dstrike w:val="0"/>
          <w:highlight w:val="none"/>
        </w:rPr>
        <w:t xml:space="preserve"> </w:t>
      </w:r>
      <w:r>
        <w:rPr>
          <w:rFonts w:hint="default"/>
          <w:strike w:val="0"/>
          <w:dstrike w:val="0"/>
          <w:highlight w:val="none"/>
          <w:lang w:val="en-US"/>
        </w:rPr>
        <w:t>Nov</w:t>
      </w:r>
      <w:r>
        <w:rPr>
          <w:rFonts w:hint="eastAsia" w:eastAsia="宋体"/>
          <w:strike w:val="0"/>
          <w:dstrike w:val="0"/>
          <w:highlight w:val="none"/>
          <w:lang w:val="en-US" w:eastAsia="zh-CN"/>
        </w:rPr>
        <w:t xml:space="preserve"> </w:t>
      </w:r>
      <w:r>
        <w:rPr>
          <w:strike w:val="0"/>
          <w:dstrike w:val="0"/>
          <w:highlight w:val="none"/>
        </w:rPr>
        <w:t>202</w:t>
      </w:r>
      <w:r>
        <w:rPr>
          <w:rFonts w:hint="eastAsia"/>
          <w:strike w:val="0"/>
          <w:dstrike w:val="0"/>
          <w:highlight w:val="none"/>
          <w:lang w:val="en-US" w:eastAsia="zh-CN"/>
        </w:rPr>
        <w:t>1</w:t>
      </w:r>
      <w:r>
        <w:rPr>
          <w:rFonts w:cs="Arial"/>
          <w:bCs/>
          <w:strike w:val="0"/>
          <w:kern w:val="0"/>
          <w:sz w:val="28"/>
          <w:szCs w:val="28"/>
          <w:highlight w:val="none"/>
        </w:rPr>
        <w:tab/>
      </w:r>
      <w:r>
        <w:rPr>
          <w:rFonts w:cs="Arial"/>
          <w:bCs/>
          <w:strike w:val="0"/>
          <w:kern w:val="0"/>
          <w:sz w:val="28"/>
          <w:szCs w:val="28"/>
          <w:highlight w:val="none"/>
        </w:rPr>
        <w:t xml:space="preserve">      </w:t>
      </w:r>
      <w:r>
        <w:rPr>
          <w:rFonts w:cs="Arial"/>
          <w:bCs/>
          <w:strike w:val="0"/>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p>
    <w:p>
      <w:pPr>
        <w:overflowPunct w:val="0"/>
        <w:autoSpaceDE w:val="0"/>
        <w:autoSpaceDN w:val="0"/>
        <w:adjustRightInd w:val="0"/>
        <w:snapToGrid w:val="0"/>
        <w:ind w:left="2100" w:hanging="2100"/>
        <w:jc w:val="left"/>
        <w:textAlignment w:val="baseline"/>
        <w:rPr>
          <w:rFonts w:hint="default"/>
          <w:b/>
          <w:sz w:val="24"/>
          <w:highlight w:val="none"/>
          <w:lang w:val="en-US"/>
        </w:rPr>
      </w:pPr>
      <w:r>
        <w:rPr>
          <w:b/>
          <w:sz w:val="24"/>
          <w:highlight w:val="none"/>
        </w:rPr>
        <w:t xml:space="preserve">Title: </w:t>
      </w:r>
      <w:r>
        <w:rPr>
          <w:b/>
          <w:sz w:val="24"/>
          <w:highlight w:val="none"/>
        </w:rPr>
        <w:tab/>
      </w:r>
      <w:bookmarkStart w:id="4" w:name="OLE_LINK5"/>
      <w:bookmarkStart w:id="5" w:name="OLE_LINK2"/>
      <w:r>
        <w:rPr>
          <w:rFonts w:hint="eastAsia"/>
          <w:b/>
          <w:sz w:val="24"/>
          <w:highlight w:val="none"/>
          <w:lang w:val="en-US" w:eastAsia="zh-CN"/>
        </w:rPr>
        <w:t>Discussion on</w:t>
      </w:r>
      <w:bookmarkEnd w:id="4"/>
      <w:bookmarkEnd w:id="5"/>
      <w:r>
        <w:rPr>
          <w:rFonts w:hint="eastAsia"/>
          <w:b/>
          <w:sz w:val="24"/>
          <w:highlight w:val="none"/>
          <w:lang w:val="en-US" w:eastAsia="zh-CN"/>
        </w:rPr>
        <w:t xml:space="preserve"> </w:t>
      </w:r>
      <w:r>
        <w:rPr>
          <w:rFonts w:hint="default"/>
          <w:b/>
          <w:sz w:val="24"/>
          <w:highlight w:val="none"/>
          <w:lang w:val="en-US" w:eastAsia="zh-CN"/>
        </w:rPr>
        <w:t>NR</w:t>
      </w:r>
      <w:bookmarkStart w:id="16" w:name="_GoBack"/>
      <w:bookmarkEnd w:id="16"/>
      <w:r>
        <w:rPr>
          <w:rFonts w:hint="default"/>
          <w:b/>
          <w:sz w:val="24"/>
          <w:highlight w:val="none"/>
          <w:lang w:val="en-US" w:eastAsia="zh-CN"/>
        </w:rPr>
        <w:t xml:space="preserve"> QoE pause/resume function</w:t>
      </w:r>
      <w:r>
        <w:rPr>
          <w:rFonts w:hint="eastAsia"/>
          <w:b/>
          <w:sz w:val="24"/>
          <w:highlight w:val="none"/>
          <w:lang w:val="en-US" w:eastAsia="zh-CN"/>
        </w:rPr>
        <w:t xml:space="preserve"> </w:t>
      </w:r>
    </w:p>
    <w:p>
      <w:pPr>
        <w:overflowPunct w:val="0"/>
        <w:autoSpaceDE w:val="0"/>
        <w:autoSpaceDN w:val="0"/>
        <w:adjustRightInd w:val="0"/>
        <w:snapToGrid w:val="0"/>
        <w:jc w:val="left"/>
        <w:textAlignment w:val="baseline"/>
        <w:rPr>
          <w:rFonts w:hint="default" w:eastAsiaTheme="minorEastAsia"/>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trike w:val="0"/>
          <w:dstrike w:val="0"/>
          <w:sz w:val="24"/>
          <w:highlight w:val="none"/>
          <w:lang w:val="en-US" w:eastAsia="zh-CN"/>
        </w:rPr>
        <w:t>8.14.2.2</w:t>
      </w:r>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eastAsia" w:eastAsia="宋体" w:cs="Arial"/>
          <w:color w:val="000000"/>
          <w:sz w:val="21"/>
          <w:lang w:val="en-US" w:eastAsia="zh-CN"/>
        </w:rPr>
      </w:pPr>
      <w:r>
        <w:rPr>
          <w:rFonts w:cs="Arial"/>
          <w:b w:val="0"/>
          <w:bCs w:val="0"/>
          <w:kern w:val="0"/>
          <w:sz w:val="32"/>
          <w:szCs w:val="36"/>
        </w:rPr>
        <w:t>Introduction</w:t>
      </w:r>
      <w:bookmarkEnd w:id="0"/>
      <w:bookmarkEnd w:id="1"/>
      <w:bookmarkEnd w:id="2"/>
    </w:p>
    <w:p>
      <w:pPr>
        <w:rPr>
          <w:lang w:val="en-US" w:eastAsia="zh-CN"/>
        </w:rPr>
      </w:pPr>
      <w:r>
        <w:rPr>
          <w:rFonts w:hint="eastAsia"/>
          <w:lang w:val="en-US" w:eastAsia="zh-CN"/>
        </w:rPr>
        <w:t xml:space="preserve">The WI on NR QoE has been </w:t>
      </w:r>
      <w:r>
        <w:rPr>
          <w:rFonts w:hint="default"/>
          <w:lang w:val="en-US" w:eastAsia="zh-CN"/>
        </w:rPr>
        <w:t xml:space="preserve">modified and </w:t>
      </w:r>
      <w:r>
        <w:rPr>
          <w:rFonts w:hint="eastAsia"/>
          <w:lang w:val="en-US" w:eastAsia="zh-CN"/>
        </w:rPr>
        <w:t>approved in RAN#</w:t>
      </w:r>
      <w:r>
        <w:rPr>
          <w:rFonts w:hint="default"/>
          <w:lang w:val="en-US" w:eastAsia="zh-CN"/>
        </w:rPr>
        <w:t>91</w:t>
      </w:r>
      <w:r>
        <w:rPr>
          <w:rFonts w:hint="eastAsia"/>
          <w:lang w:val="en-US" w:eastAsia="zh-CN"/>
        </w:rPr>
        <w:t xml:space="preserve"> (RP-210815), and the following objectives have been agreed in WID:</w:t>
      </w:r>
    </w:p>
    <w:p>
      <w:pPr>
        <w:numPr>
          <w:ilvl w:val="0"/>
          <w:numId w:val="6"/>
        </w:numPr>
        <w:pBdr>
          <w:top w:val="single" w:color="auto" w:sz="4" w:space="0"/>
          <w:left w:val="single" w:color="auto" w:sz="4" w:space="0"/>
          <w:bottom w:val="single" w:color="auto" w:sz="4" w:space="0"/>
          <w:right w:val="single" w:color="auto" w:sz="4" w:space="0"/>
        </w:pBdr>
        <w:spacing w:after="0"/>
        <w:jc w:val="both"/>
        <w:rPr>
          <w:rFonts w:hint="eastAsia"/>
          <w:bCs/>
          <w:lang w:val="en-US" w:eastAsia="zh-CN"/>
        </w:rPr>
      </w:pPr>
      <w:r>
        <w:rPr>
          <w:bCs/>
          <w:lang w:val="en-US" w:eastAsia="zh-CN"/>
        </w:rPr>
        <w:t xml:space="preserve">Specify </w:t>
      </w:r>
      <w:r>
        <w:rPr>
          <w:rFonts w:hint="eastAsia"/>
          <w:bCs/>
          <w:lang w:val="en-US" w:eastAsia="zh-CN"/>
        </w:rPr>
        <w:t>the</w:t>
      </w:r>
      <w:r>
        <w:rPr>
          <w:bCs/>
          <w:lang w:val="en-US" w:eastAsia="zh-CN"/>
        </w:rPr>
        <w:t xml:space="preserve"> </w:t>
      </w:r>
      <w:r>
        <w:rPr>
          <w:rFonts w:hint="eastAsia"/>
          <w:bCs/>
          <w:lang w:val="en-US" w:eastAsia="zh-CN"/>
        </w:rPr>
        <w:t xml:space="preserve">support for QoE measurement collection </w:t>
      </w:r>
      <w:r>
        <w:rPr>
          <w:rFonts w:hint="eastAsia"/>
          <w:bCs/>
          <w:lang w:eastAsia="zh-CN"/>
        </w:rPr>
        <w:t xml:space="preserve">in NR </w:t>
      </w:r>
      <w:r>
        <w:t>standalone</w:t>
      </w:r>
      <w:r>
        <w:rPr>
          <w:rFonts w:hint="eastAsia"/>
          <w:bCs/>
          <w:lang w:eastAsia="zh-CN"/>
        </w:rPr>
        <w:t xml:space="preserve"> mode</w:t>
      </w:r>
      <w:r>
        <w:rPr>
          <w:rFonts w:hint="eastAsia"/>
          <w:bCs/>
          <w:lang w:val="en-US" w:eastAsia="zh-CN"/>
        </w:rPr>
        <w:t xml:space="preserve">. </w:t>
      </w:r>
      <w:r>
        <w:rPr>
          <w:bCs/>
          <w:lang w:val="en-US"/>
        </w:rPr>
        <w:t>[RAN</w:t>
      </w:r>
      <w:r>
        <w:rPr>
          <w:rFonts w:hint="eastAsia"/>
          <w:bCs/>
          <w:lang w:val="en-US" w:eastAsia="zh-CN"/>
        </w:rPr>
        <w:t>2, RAN3</w:t>
      </w:r>
      <w:r>
        <w:rPr>
          <w:bCs/>
          <w:lang w:val="en-US"/>
        </w:rPr>
        <w:t>]</w:t>
      </w:r>
    </w:p>
    <w:p>
      <w:pPr>
        <w:numPr>
          <w:ilvl w:val="0"/>
          <w:numId w:val="7"/>
        </w:numPr>
        <w:pBdr>
          <w:top w:val="single" w:color="auto" w:sz="4" w:space="0"/>
          <w:left w:val="single" w:color="auto" w:sz="4" w:space="0"/>
          <w:bottom w:val="single" w:color="auto" w:sz="4" w:space="0"/>
          <w:right w:val="single" w:color="auto" w:sz="4" w:space="0"/>
        </w:pBdr>
        <w:spacing w:after="0"/>
        <w:rPr>
          <w:bCs/>
          <w:lang w:eastAsia="zh-CN"/>
        </w:rPr>
      </w:pPr>
      <w:r>
        <w:rPr>
          <w:rFonts w:hint="eastAsia"/>
          <w:bCs/>
          <w:lang w:eastAsia="zh-CN"/>
        </w:rPr>
        <w:t xml:space="preserve">Specify </w:t>
      </w:r>
      <w:r>
        <w:rPr>
          <w:bCs/>
          <w:lang w:eastAsia="zh-CN"/>
        </w:rPr>
        <w:t>configuration, activation,</w:t>
      </w:r>
      <w:r>
        <w:rPr>
          <w:rFonts w:hint="eastAsia"/>
          <w:bCs/>
          <w:lang w:eastAsia="zh-CN"/>
        </w:rPr>
        <w:t xml:space="preserve"> and de</w:t>
      </w:r>
      <w:r>
        <w:rPr>
          <w:bCs/>
          <w:lang w:eastAsia="zh-CN"/>
        </w:rPr>
        <w:t>activation</w:t>
      </w:r>
      <w:r>
        <w:rPr>
          <w:rFonts w:hint="eastAsia"/>
          <w:bCs/>
          <w:lang w:eastAsia="zh-CN"/>
        </w:rPr>
        <w:t xml:space="preserve"> procedures for both s</w:t>
      </w:r>
      <w:r>
        <w:rPr>
          <w:bCs/>
          <w:lang w:eastAsia="zh-CN"/>
        </w:rPr>
        <w:t>ignalling-based</w:t>
      </w:r>
      <w:r>
        <w:rPr>
          <w:rFonts w:hint="eastAsia"/>
          <w:bCs/>
          <w:lang w:eastAsia="zh-CN"/>
        </w:rPr>
        <w:t xml:space="preserve"> and management</w:t>
      </w:r>
      <w:r>
        <w:rPr>
          <w:bCs/>
          <w:lang w:eastAsia="zh-CN"/>
        </w:rPr>
        <w:t>-based</w:t>
      </w:r>
      <w:r>
        <w:rPr>
          <w:rFonts w:hint="eastAsia"/>
          <w:bCs/>
          <w:lang w:eastAsia="zh-CN"/>
        </w:rPr>
        <w:t xml:space="preserve"> QoE measurement</w:t>
      </w:r>
      <w:r>
        <w:rPr>
          <w:bCs/>
          <w:lang w:eastAsia="zh-CN"/>
        </w:rPr>
        <w:t xml:space="preserve"> collection and reporting, </w:t>
      </w:r>
      <w:r>
        <w:rPr>
          <w:rFonts w:hint="eastAsia"/>
          <w:bCs/>
          <w:lang w:eastAsia="zh-CN"/>
        </w:rPr>
        <w:t xml:space="preserve">taking </w:t>
      </w:r>
      <w:r>
        <w:rPr>
          <w:rFonts w:hint="eastAsia"/>
        </w:rPr>
        <w:t>LTE QoE sol</w:t>
      </w:r>
      <w:r>
        <w:t xml:space="preserve">utions </w:t>
      </w:r>
      <w:r>
        <w:rPr>
          <w:rFonts w:hint="eastAsia"/>
        </w:rPr>
        <w:t>as baseline</w:t>
      </w:r>
      <w:r>
        <w:t>, as defined in TR 38.890</w:t>
      </w:r>
      <w:r>
        <w:rPr>
          <w:rFonts w:hint="eastAsia"/>
          <w:bCs/>
          <w:lang w:eastAsia="zh-CN"/>
        </w:rPr>
        <w:t>.</w:t>
      </w:r>
    </w:p>
    <w:p>
      <w:pPr>
        <w:numPr>
          <w:ilvl w:val="0"/>
          <w:numId w:val="7"/>
        </w:numPr>
        <w:pBdr>
          <w:top w:val="single" w:color="auto" w:sz="4" w:space="0"/>
          <w:left w:val="single" w:color="auto" w:sz="4" w:space="0"/>
          <w:bottom w:val="single" w:color="auto" w:sz="4" w:space="0"/>
          <w:right w:val="single" w:color="auto" w:sz="4" w:space="0"/>
        </w:pBdr>
        <w:spacing w:after="0"/>
        <w:rPr>
          <w:rFonts w:hint="eastAsia"/>
          <w:bCs/>
          <w:lang w:eastAsia="zh-CN"/>
        </w:rPr>
      </w:pPr>
      <w:r>
        <w:rPr>
          <w:rFonts w:hint="eastAsia"/>
          <w:bCs/>
          <w:lang w:eastAsia="zh-CN"/>
        </w:rPr>
        <w:t xml:space="preserve">Specify </w:t>
      </w:r>
      <w:r>
        <w:rPr>
          <w:rFonts w:hint="eastAsia"/>
          <w:lang w:eastAsia="zh-CN"/>
        </w:rPr>
        <w:t>c</w:t>
      </w:r>
      <w:r>
        <w:rPr>
          <w:lang w:eastAsia="zh-CN"/>
        </w:rPr>
        <w:t xml:space="preserve">onfiguration and </w:t>
      </w:r>
      <w:r>
        <w:rPr>
          <w:rFonts w:hint="eastAsia"/>
          <w:lang w:eastAsia="zh-CN"/>
        </w:rPr>
        <w:t>r</w:t>
      </w:r>
      <w:r>
        <w:rPr>
          <w:lang w:eastAsia="zh-CN"/>
        </w:rPr>
        <w:t>eporting for multiple simultaneous QoE measurements</w:t>
      </w:r>
      <w:r>
        <w:rPr>
          <w:rFonts w:hint="eastAsia"/>
          <w:lang w:eastAsia="zh-CN"/>
        </w:rPr>
        <w:t xml:space="preserve"> at a UE.</w:t>
      </w:r>
    </w:p>
    <w:p>
      <w:pPr>
        <w:numPr>
          <w:ilvl w:val="0"/>
          <w:numId w:val="7"/>
        </w:numPr>
        <w:pBdr>
          <w:top w:val="single" w:color="auto" w:sz="4" w:space="0"/>
          <w:left w:val="single" w:color="auto" w:sz="4" w:space="0"/>
          <w:bottom w:val="single" w:color="auto" w:sz="4" w:space="0"/>
          <w:right w:val="single" w:color="auto" w:sz="4" w:space="0"/>
        </w:pBdr>
        <w:spacing w:after="0"/>
        <w:rPr>
          <w:rFonts w:hint="eastAsia"/>
          <w:bCs/>
          <w:highlight w:val="green"/>
          <w:lang w:eastAsia="zh-CN"/>
        </w:rPr>
      </w:pPr>
      <w:r>
        <w:rPr>
          <w:rFonts w:hint="eastAsia"/>
          <w:bCs/>
          <w:highlight w:val="green"/>
          <w:lang w:eastAsia="zh-CN"/>
        </w:rPr>
        <w:t xml:space="preserve">Specify </w:t>
      </w:r>
      <w:r>
        <w:rPr>
          <w:bCs/>
          <w:highlight w:val="green"/>
          <w:lang w:eastAsia="zh-CN"/>
        </w:rPr>
        <w:t>QoE measurement handling at RAN overload</w:t>
      </w:r>
      <w:r>
        <w:rPr>
          <w:rFonts w:hint="eastAsia"/>
          <w:bCs/>
          <w:highlight w:val="green"/>
          <w:lang w:eastAsia="zh-CN"/>
        </w:rPr>
        <w:t>, including</w:t>
      </w:r>
      <w:r>
        <w:rPr>
          <w:highlight w:val="green"/>
          <w:lang w:val="en-US" w:eastAsia="zh-CN"/>
        </w:rPr>
        <w:t xml:space="preserve"> pause</w:t>
      </w:r>
      <w:r>
        <w:rPr>
          <w:rFonts w:hint="eastAsia"/>
          <w:highlight w:val="green"/>
          <w:lang w:val="en-US" w:eastAsia="zh-CN"/>
        </w:rPr>
        <w:t xml:space="preserve"> and resume of</w:t>
      </w:r>
      <w:r>
        <w:rPr>
          <w:highlight w:val="green"/>
          <w:lang w:val="en-US" w:eastAsia="zh-CN"/>
        </w:rPr>
        <w:t xml:space="preserve"> QoE measurement reporting</w:t>
      </w:r>
      <w:r>
        <w:rPr>
          <w:rFonts w:hint="eastAsia"/>
          <w:highlight w:val="green"/>
          <w:lang w:val="en-US" w:eastAsia="zh-CN"/>
        </w:rPr>
        <w:t>.</w:t>
      </w:r>
    </w:p>
    <w:p>
      <w:pPr>
        <w:numPr>
          <w:ilvl w:val="0"/>
          <w:numId w:val="7"/>
        </w:numPr>
        <w:pBdr>
          <w:top w:val="single" w:color="auto" w:sz="4" w:space="0"/>
          <w:left w:val="single" w:color="auto" w:sz="4" w:space="0"/>
          <w:bottom w:val="single" w:color="auto" w:sz="4" w:space="0"/>
          <w:right w:val="single" w:color="auto" w:sz="4" w:space="0"/>
        </w:pBdr>
        <w:spacing w:after="0"/>
        <w:rPr>
          <w:bCs/>
          <w:lang w:eastAsia="zh-CN"/>
        </w:rPr>
      </w:pPr>
      <w:r>
        <w:rPr>
          <w:rFonts w:hint="eastAsia"/>
          <w:bCs/>
          <w:lang w:eastAsia="zh-CN"/>
        </w:rPr>
        <w:t xml:space="preserve">Specify </w:t>
      </w:r>
      <w:r>
        <w:rPr>
          <w:bCs/>
          <w:lang w:eastAsia="zh-CN"/>
        </w:rPr>
        <w:t xml:space="preserve">QoE measurement handling in RRC_INACTIVE, i.e. keeping the QoE measurement configuration without measuring and reusing the same configuration upon </w:t>
      </w:r>
      <w:r>
        <w:rPr>
          <w:rFonts w:hint="eastAsia"/>
          <w:bCs/>
          <w:lang w:eastAsia="zh-CN"/>
        </w:rPr>
        <w:t>transition</w:t>
      </w:r>
      <w:r>
        <w:rPr>
          <w:bCs/>
          <w:lang w:eastAsia="zh-CN"/>
        </w:rPr>
        <w:t xml:space="preserve"> from RRC_INACTIVE to RRC_CONNECTED</w:t>
      </w:r>
      <w:r>
        <w:rPr>
          <w:rFonts w:hint="eastAsia"/>
          <w:bCs/>
          <w:lang w:eastAsia="zh-CN"/>
        </w:rPr>
        <w:t>.</w:t>
      </w:r>
    </w:p>
    <w:p>
      <w:pPr>
        <w:pBdr>
          <w:top w:val="single" w:color="auto" w:sz="4" w:space="0"/>
          <w:left w:val="single" w:color="auto" w:sz="4" w:space="0"/>
          <w:bottom w:val="single" w:color="auto" w:sz="4" w:space="0"/>
          <w:right w:val="single" w:color="auto" w:sz="4" w:space="0"/>
        </w:pBdr>
        <w:spacing w:after="0"/>
        <w:ind w:left="420"/>
        <w:rPr>
          <w:rFonts w:hint="default" w:eastAsia="宋体" w:cs="Arial"/>
          <w:color w:val="000000"/>
          <w:sz w:val="21"/>
          <w:u w:val="single"/>
          <w:lang w:val="en-US" w:eastAsia="zh-CN"/>
        </w:rPr>
      </w:pPr>
      <w:r>
        <w:rPr>
          <w:bCs/>
          <w:lang w:eastAsia="zh-CN"/>
        </w:rPr>
        <w:t>NOTE: RRC segmentation may be needed for transmission of QoE reports, and any potential solutions need detailed technical specification of the procedures</w:t>
      </w:r>
      <w:r>
        <w:rPr>
          <w:rFonts w:hint="eastAsia"/>
          <w:bCs/>
          <w:lang w:val="en-US" w:eastAsia="zh-CN"/>
        </w:rPr>
        <w:t xml:space="preserve"> </w:t>
      </w:r>
      <w:r>
        <w:rPr>
          <w:bCs/>
          <w:lang w:val="en-US" w:eastAsia="zh-CN"/>
        </w:rPr>
        <w:t>(</w:t>
      </w:r>
      <w:r>
        <w:rPr>
          <w:rFonts w:hint="eastAsia"/>
          <w:bCs/>
          <w:lang w:val="en-US" w:eastAsia="zh-CN"/>
        </w:rPr>
        <w:t>if time allow</w:t>
      </w:r>
      <w:r>
        <w:rPr>
          <w:bCs/>
          <w:lang w:val="en-US" w:eastAsia="zh-CN"/>
        </w:rPr>
        <w:t>s</w:t>
      </w:r>
      <w:r>
        <w:rPr>
          <w:rFonts w:hint="eastAsia"/>
          <w:bCs/>
          <w:lang w:val="en-US" w:eastAsia="zh-CN"/>
        </w:rPr>
        <w:t xml:space="preserve"> in RAN2</w:t>
      </w:r>
      <w:r>
        <w:rPr>
          <w:bCs/>
          <w:lang w:val="en-US" w:eastAsia="zh-CN"/>
        </w:rPr>
        <w:t>)</w:t>
      </w:r>
      <w:r>
        <w:rPr>
          <w:bCs/>
          <w:lang w:eastAsia="zh-CN"/>
        </w:rPr>
        <w:t>.</w:t>
      </w:r>
    </w:p>
    <w:p>
      <w:pPr>
        <w:pStyle w:val="53"/>
        <w:spacing w:before="75" w:beforeAutospacing="0" w:after="75" w:afterAutospacing="0" w:line="315" w:lineRule="atLeast"/>
        <w:rPr>
          <w:rFonts w:hint="default" w:eastAsia="宋体" w:cs="Arial"/>
          <w:color w:val="000000"/>
          <w:sz w:val="21"/>
          <w:u w:val="single"/>
          <w:lang w:val="en-US" w:eastAsia="zh-CN"/>
        </w:rPr>
      </w:pPr>
      <w:r>
        <w:rPr>
          <w:rFonts w:hint="default" w:eastAsia="宋体" w:cs="Arial"/>
          <w:color w:val="000000"/>
          <w:sz w:val="21"/>
          <w:u w:val="none"/>
          <w:lang w:val="en-US" w:eastAsia="zh-CN"/>
        </w:rPr>
        <w:t>The intention of this contribution is to share our views on the pause/resume QoE reporting based on the agreements and received LS if companies still want to keep developing this function in Rel-17.</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lang w:val="en-US" w:eastAsia="zh-CN"/>
        </w:rPr>
        <w:t xml:space="preserve">Discussion </w:t>
      </w:r>
    </w:p>
    <w:p>
      <w:pPr>
        <w:numPr>
          <w:ilvl w:val="0"/>
          <w:numId w:val="0"/>
        </w:numPr>
        <w:rPr>
          <w:rFonts w:hint="default"/>
          <w:lang w:val="en-US" w:eastAsia="zh-CN"/>
        </w:rPr>
      </w:pPr>
      <w:r>
        <w:rPr>
          <w:rFonts w:hint="default"/>
          <w:lang w:val="en-US" w:eastAsia="zh-CN"/>
        </w:rPr>
        <w:t xml:space="preserve">Before RAN2#116e, RAN2 received a reply LS(S4-211290) on the buffer issue for QoE pause/resume function from SA4. In the LS, SA4 pointed out that it is possible that the user may terminate the QoE related application during the paused period because of poor network service quality. In this scenario, UE may not re-start the QoE measurement upon receiving a re-start directive. Detail will be studied </w:t>
      </w:r>
      <w:r>
        <w:rPr>
          <w:rFonts w:hint="eastAsia"/>
          <w:lang w:val="en-US" w:eastAsia="zh-CN"/>
        </w:rPr>
        <w:t xml:space="preserve">by SA4 </w:t>
      </w:r>
      <w:r>
        <w:rPr>
          <w:rFonts w:hint="default"/>
          <w:lang w:val="en-US" w:eastAsia="zh-CN"/>
        </w:rPr>
        <w:t xml:space="preserve">in the future. </w:t>
      </w:r>
    </w:p>
    <w:p>
      <w:pPr>
        <w:numPr>
          <w:ilvl w:val="0"/>
          <w:numId w:val="0"/>
        </w:numPr>
        <w:rPr>
          <w:rFonts w:hint="default"/>
          <w:b/>
          <w:bCs/>
          <w:lang w:val="en-US" w:eastAsia="zh-CN"/>
        </w:rPr>
      </w:pPr>
      <w:r>
        <w:rPr>
          <w:rFonts w:hint="default"/>
          <w:b/>
          <w:bCs/>
          <w:lang w:val="en-US" w:eastAsia="zh-CN"/>
        </w:rPr>
        <w:t>Observation 1: Based on SA4’s understanding, a UE with paused QoE reporting may not always resume QoE reporting after receiving a re-start reporting indication.</w:t>
      </w:r>
    </w:p>
    <w:p>
      <w:pPr>
        <w:numPr>
          <w:ilvl w:val="0"/>
          <w:numId w:val="0"/>
        </w:numPr>
        <w:rPr>
          <w:rFonts w:hint="default"/>
          <w:lang w:val="en-US" w:eastAsia="zh-CN"/>
        </w:rPr>
      </w:pPr>
      <w:r>
        <w:rPr>
          <w:rFonts w:hint="default"/>
          <w:lang w:val="en-US" w:eastAsia="zh-CN"/>
        </w:rPr>
        <w:t>Besides, SA4 also asks RAN2 to response 3 QoE related questions:</w:t>
      </w:r>
    </w:p>
    <w:p>
      <w:pPr>
        <w:numPr>
          <w:ilvl w:val="0"/>
          <w:numId w:val="8"/>
        </w:numPr>
        <w:bidi w:val="0"/>
        <w:ind w:left="425" w:leftChars="0" w:hanging="425" w:firstLineChars="0"/>
        <w:rPr>
          <w:rFonts w:hint="default"/>
          <w:i/>
          <w:iCs/>
          <w:u w:val="single"/>
          <w:lang w:val="en-US" w:eastAsia="zh-CN"/>
        </w:rPr>
      </w:pPr>
      <w:r>
        <w:rPr>
          <w:rFonts w:hint="default"/>
          <w:i/>
          <w:iCs/>
          <w:u w:val="single"/>
          <w:lang w:val="en-US" w:eastAsia="zh-CN"/>
        </w:rPr>
        <w:t>What is the expected</w:t>
      </w:r>
      <w:r>
        <w:rPr>
          <w:rFonts w:hint="default"/>
          <w:i/>
          <w:iCs/>
          <w:highlight w:val="none"/>
          <w:u w:val="single"/>
          <w:lang w:val="en-US" w:eastAsia="zh-CN"/>
        </w:rPr>
        <w:t xml:space="preserve"> typical duration of a temporary stop </w:t>
      </w:r>
      <w:r>
        <w:rPr>
          <w:rFonts w:hint="default"/>
          <w:i/>
          <w:iCs/>
          <w:u w:val="single"/>
          <w:lang w:val="en-US" w:eastAsia="zh-CN"/>
        </w:rPr>
        <w:t>– e.g., in the order of minutes or perhaps much longer, say hours? As per-session QoE reports are typically sent relatively seldom (at the end of each session or say every few minutes for longer sessions), we would expect that a temporary stop lasting about half an hour should not require additional AS layer storage beyond the supported buffer size limitation, e.g., 64 kB as indicated for Option 2.</w:t>
      </w:r>
    </w:p>
    <w:p>
      <w:pPr>
        <w:widowControl w:val="0"/>
        <w:numPr>
          <w:ilvl w:val="0"/>
          <w:numId w:val="0"/>
        </w:numPr>
        <w:spacing w:after="160" w:line="259" w:lineRule="auto"/>
        <w:jc w:val="both"/>
        <w:rPr>
          <w:rFonts w:hint="eastAsia"/>
          <w:lang w:val="en-US" w:eastAsia="zh-CN"/>
        </w:rPr>
      </w:pPr>
      <w:r>
        <w:rPr>
          <w:rFonts w:hint="default"/>
          <w:lang w:val="en-US" w:eastAsia="zh-CN"/>
        </w:rPr>
        <w:t xml:space="preserve">First of all, </w:t>
      </w:r>
      <w:r>
        <w:rPr>
          <w:rFonts w:hint="eastAsia"/>
          <w:lang w:val="en-US" w:eastAsia="zh-CN"/>
        </w:rPr>
        <w:t>based on the description in TS 28.404. Because RAN overload occurs, the QoE reporting should be paused. And the QoE reporting may be re-started after RAN overload ends. Hence, we assume that the typical duration of a temporary stop is approximately equal to the RAN overload duration.</w:t>
      </w:r>
    </w:p>
    <w:p>
      <w:pPr>
        <w:widowControl w:val="0"/>
        <w:numPr>
          <w:ilvl w:val="0"/>
          <w:numId w:val="0"/>
        </w:numPr>
        <w:spacing w:after="160" w:line="259" w:lineRule="auto"/>
        <w:jc w:val="both"/>
        <w:rPr>
          <w:rFonts w:hint="default"/>
          <w:b/>
          <w:bCs/>
          <w:lang w:val="en-US" w:eastAsia="zh-CN"/>
        </w:rPr>
      </w:pPr>
      <w:r>
        <w:rPr>
          <w:rFonts w:hint="eastAsia"/>
          <w:b/>
          <w:bCs/>
          <w:lang w:val="en-US" w:eastAsia="zh-CN"/>
        </w:rPr>
        <w:t xml:space="preserve">Observation </w:t>
      </w:r>
      <w:r>
        <w:rPr>
          <w:rFonts w:hint="default"/>
          <w:b/>
          <w:bCs/>
          <w:lang w:val="en-US" w:eastAsia="zh-CN"/>
        </w:rPr>
        <w:t>2</w:t>
      </w:r>
      <w:r>
        <w:rPr>
          <w:rFonts w:hint="eastAsia"/>
          <w:b/>
          <w:bCs/>
          <w:lang w:val="en-US" w:eastAsia="zh-CN"/>
        </w:rPr>
        <w:t>: The typical duration of a temporary stop is approximately equal to the RAN overload duration.</w:t>
      </w:r>
    </w:p>
    <w:p>
      <w:pPr>
        <w:widowControl w:val="0"/>
        <w:numPr>
          <w:ilvl w:val="0"/>
          <w:numId w:val="0"/>
        </w:numPr>
        <w:spacing w:after="160" w:line="259" w:lineRule="auto"/>
        <w:jc w:val="both"/>
        <w:rPr>
          <w:rFonts w:hint="eastAsia"/>
          <w:lang w:val="en-US" w:eastAsia="zh-CN"/>
        </w:rPr>
      </w:pPr>
      <w:r>
        <w:rPr>
          <w:rFonts w:hint="eastAsia"/>
          <w:lang w:val="en-US" w:eastAsia="zh-CN"/>
        </w:rPr>
        <w:t>F</w:t>
      </w:r>
      <w:r>
        <w:rPr>
          <w:rFonts w:hint="default"/>
          <w:lang w:val="en-US" w:eastAsia="zh-CN"/>
        </w:rPr>
        <w:t xml:space="preserve">rom our point of view, </w:t>
      </w:r>
      <w:r>
        <w:rPr>
          <w:rFonts w:hint="eastAsia"/>
          <w:lang w:val="en-US" w:eastAsia="zh-CN"/>
        </w:rPr>
        <w:t>RAN2 has never discussed the definition about the RAN overload. Based on our understanding, RAN overload</w:t>
      </w:r>
      <w:r>
        <w:rPr>
          <w:rFonts w:hint="default"/>
          <w:lang w:val="en-US" w:eastAsia="zh-CN"/>
        </w:rPr>
        <w:t xml:space="preserve"> </w:t>
      </w:r>
      <w:r>
        <w:rPr>
          <w:rFonts w:hint="eastAsia"/>
          <w:lang w:val="en-US" w:eastAsia="zh-CN"/>
        </w:rPr>
        <w:t>exists hours</w:t>
      </w:r>
      <w:r>
        <w:rPr>
          <w:rFonts w:hint="default"/>
          <w:lang w:val="en-US" w:eastAsia="zh-CN"/>
        </w:rPr>
        <w:t xml:space="preserve"> </w:t>
      </w:r>
      <w:r>
        <w:rPr>
          <w:rFonts w:hint="eastAsia"/>
          <w:lang w:val="en-US" w:eastAsia="zh-CN"/>
        </w:rPr>
        <w:t>impossibl</w:t>
      </w:r>
      <w:r>
        <w:rPr>
          <w:rFonts w:hint="default"/>
          <w:lang w:val="en-US" w:eastAsia="zh-CN"/>
        </w:rPr>
        <w:t>y</w:t>
      </w:r>
      <w:r>
        <w:rPr>
          <w:rFonts w:hint="eastAsia"/>
          <w:lang w:val="en-US" w:eastAsia="zh-CN"/>
        </w:rPr>
        <w:t>. In addition, the description of Measure-Resolution and Sending Rate of QoE can be found in TS26.114 and shown below:</w:t>
      </w:r>
    </w:p>
    <w:p>
      <w:pPr>
        <w:widowControl w:val="0"/>
        <w:numPr>
          <w:ilvl w:val="0"/>
          <w:numId w:val="0"/>
        </w:numPr>
        <w:spacing w:after="160" w:line="259" w:lineRule="auto"/>
        <w:jc w:val="center"/>
        <w:rPr>
          <w:rFonts w:hint="default"/>
          <w:lang w:val="en-US" w:eastAsia="zh-CN"/>
        </w:rPr>
      </w:pPr>
      <w:r>
        <w:rPr>
          <w:rFonts w:hint="eastAsia"/>
          <w:lang w:val="en-US" w:eastAsia="zh-CN"/>
        </w:rPr>
        <w:t>------------------------------------content of TS26.114------------------------------------</w:t>
      </w:r>
    </w:p>
    <w:p>
      <w:bookmarkStart w:id="8" w:name="OLE_LINK15"/>
      <w:r>
        <w:t>Once the need for QoE reporting has been established, the client shall continuously compute all specified metrics for each measurement interval period, according to the "Measure-Resolution" parameter (sub-clause 16.3.2). In order to bound the resources used by metrics reporting,</w:t>
      </w:r>
      <w:r>
        <w:rPr>
          <w:highlight w:val="green"/>
        </w:rPr>
        <w:t xml:space="preserve"> the minimum values for the Measure-Resolution and Sending-Rate are specified to be 5 seconds and 30 seconds respectively. </w:t>
      </w:r>
      <w:r>
        <w:t>The computed metrics are represented in a vector format, adding an additional metric value to each metric vector after each new measurement interval period.</w:t>
      </w:r>
    </w:p>
    <w:bookmarkEnd w:id="8"/>
    <w:p>
      <w:pPr>
        <w:widowControl w:val="0"/>
        <w:numPr>
          <w:ilvl w:val="0"/>
          <w:numId w:val="0"/>
        </w:numPr>
        <w:spacing w:after="160" w:line="259" w:lineRule="auto"/>
        <w:jc w:val="center"/>
        <w:rPr>
          <w:rFonts w:hint="default"/>
          <w:lang w:val="en-US" w:eastAsia="zh-CN"/>
        </w:rPr>
      </w:pPr>
      <w:r>
        <w:rPr>
          <w:rFonts w:hint="eastAsia"/>
          <w:lang w:val="en-US" w:eastAsia="zh-CN"/>
        </w:rPr>
        <w:t>------------------------------------content of TS26.114------------------------------------</w:t>
      </w:r>
    </w:p>
    <w:p>
      <w:pPr>
        <w:widowControl w:val="0"/>
        <w:numPr>
          <w:ilvl w:val="0"/>
          <w:numId w:val="0"/>
        </w:numPr>
        <w:spacing w:after="160" w:line="259" w:lineRule="auto"/>
        <w:jc w:val="both"/>
        <w:rPr>
          <w:rFonts w:hint="default"/>
          <w:lang w:val="en-US" w:eastAsia="zh-CN"/>
        </w:rPr>
      </w:pPr>
      <w:r>
        <w:rPr>
          <w:rFonts w:hint="eastAsia"/>
          <w:lang w:val="en-US" w:eastAsia="zh-CN"/>
        </w:rPr>
        <w:t>As highlighted sentence shown above, the largest QoE report sending rate of one QoE recording session is 30 seconds. It is expected that the QoE buffer may not need to store a lot of QoE reports during the QoE paused duration. Hence, AS layer is qualified to handle the QoE buffer. But companies may have various understanding about the definition of the RAN overload. Hence, before RAN2 answers this question,</w:t>
      </w:r>
      <w:bookmarkStart w:id="9" w:name="OLE_LINK1"/>
      <w:r>
        <w:rPr>
          <w:rFonts w:hint="eastAsia"/>
          <w:lang w:val="en-US" w:eastAsia="zh-CN"/>
        </w:rPr>
        <w:t xml:space="preserve"> it is proposed </w:t>
      </w:r>
      <w:r>
        <w:rPr>
          <w:rFonts w:hint="default"/>
          <w:lang w:val="en-US" w:eastAsia="zh-CN"/>
        </w:rPr>
        <w:t xml:space="preserve">for </w:t>
      </w:r>
      <w:r>
        <w:rPr>
          <w:rFonts w:hint="eastAsia"/>
          <w:lang w:val="en-US" w:eastAsia="zh-CN"/>
        </w:rPr>
        <w:t xml:space="preserve">RAN2 </w:t>
      </w:r>
      <w:r>
        <w:rPr>
          <w:rFonts w:hint="default"/>
          <w:lang w:val="en-US" w:eastAsia="zh-CN"/>
        </w:rPr>
        <w:t xml:space="preserve">to </w:t>
      </w:r>
      <w:r>
        <w:rPr>
          <w:rFonts w:hint="eastAsia"/>
          <w:lang w:val="en-US" w:eastAsia="zh-CN"/>
        </w:rPr>
        <w:t>have a specific definition about RAN overload</w:t>
      </w:r>
      <w:r>
        <w:rPr>
          <w:rFonts w:hint="default"/>
          <w:lang w:val="en-US" w:eastAsia="zh-CN"/>
        </w:rPr>
        <w:t>.</w:t>
      </w:r>
    </w:p>
    <w:bookmarkEnd w:id="9"/>
    <w:p>
      <w:pPr>
        <w:widowControl w:val="0"/>
        <w:numPr>
          <w:ilvl w:val="0"/>
          <w:numId w:val="0"/>
        </w:numPr>
        <w:spacing w:after="160" w:line="259" w:lineRule="auto"/>
        <w:jc w:val="both"/>
        <w:rPr>
          <w:rFonts w:hint="default"/>
          <w:b/>
          <w:bCs/>
          <w:lang w:val="en-US" w:eastAsia="zh-CN"/>
        </w:rPr>
      </w:pPr>
      <w:r>
        <w:rPr>
          <w:rFonts w:hint="default"/>
          <w:b/>
          <w:bCs/>
          <w:lang w:val="en-US" w:eastAsia="zh-CN"/>
        </w:rPr>
        <w:t>Proposal 1: I</w:t>
      </w:r>
      <w:r>
        <w:rPr>
          <w:rFonts w:hint="eastAsia"/>
          <w:b/>
          <w:bCs/>
          <w:lang w:val="en-US" w:eastAsia="zh-CN"/>
        </w:rPr>
        <w:t xml:space="preserve">t is proposed for RAN2 to have a </w:t>
      </w:r>
      <w:r>
        <w:rPr>
          <w:rFonts w:hint="default"/>
          <w:b/>
          <w:bCs/>
          <w:lang w:val="en-US" w:eastAsia="zh-CN"/>
        </w:rPr>
        <w:t xml:space="preserve">specific definition on the RAN overload before RAN2 </w:t>
      </w:r>
      <w:r>
        <w:rPr>
          <w:rFonts w:hint="eastAsia"/>
          <w:b/>
          <w:bCs/>
          <w:lang w:val="en-US" w:eastAsia="zh-CN"/>
        </w:rPr>
        <w:t xml:space="preserve">discusses </w:t>
      </w:r>
      <w:r>
        <w:rPr>
          <w:rFonts w:hint="default"/>
          <w:b/>
          <w:bCs/>
          <w:lang w:val="en-US" w:eastAsia="zh-CN"/>
        </w:rPr>
        <w:t>the typical duration of a temporary stop.</w:t>
      </w:r>
    </w:p>
    <w:p>
      <w:pPr>
        <w:numPr>
          <w:ilvl w:val="0"/>
          <w:numId w:val="8"/>
        </w:numPr>
        <w:bidi w:val="0"/>
        <w:ind w:left="425" w:leftChars="0" w:hanging="425" w:firstLineChars="0"/>
        <w:rPr>
          <w:rFonts w:hint="default"/>
          <w:i/>
          <w:iCs/>
          <w:u w:val="single"/>
          <w:lang w:val="en-US" w:eastAsia="zh-CN"/>
        </w:rPr>
      </w:pPr>
      <w:r>
        <w:rPr>
          <w:rFonts w:hint="default"/>
          <w:i/>
          <w:iCs/>
          <w:u w:val="single"/>
          <w:lang w:val="en-US" w:eastAsia="zh-CN"/>
        </w:rPr>
        <w:t>In case a temporary stop can last for a very long time (e.g., hours), are there any mechanisms already defined or being considered at the RAN side to ensure that subsequent resumption of delivery of potentially a large volume of buffered QoE reports, upon recovery from RAN overload, will n</w:t>
      </w:r>
      <w:r>
        <w:rPr>
          <w:rFonts w:hint="default"/>
          <w:i/>
          <w:iCs/>
          <w:highlight w:val="none"/>
          <w:u w:val="single"/>
          <w:lang w:val="en-US" w:eastAsia="zh-CN"/>
        </w:rPr>
        <w:t>ot trigger RAN overload recurrence</w:t>
      </w:r>
      <w:r>
        <w:rPr>
          <w:rFonts w:hint="default"/>
          <w:i/>
          <w:iCs/>
          <w:u w:val="single"/>
          <w:lang w:val="en-US" w:eastAsia="zh-CN"/>
        </w:rPr>
        <w:t>?</w:t>
      </w:r>
    </w:p>
    <w:p>
      <w:pPr>
        <w:numPr>
          <w:ilvl w:val="0"/>
          <w:numId w:val="8"/>
        </w:numPr>
        <w:bidi w:val="0"/>
        <w:ind w:left="425" w:leftChars="0" w:hanging="425" w:firstLineChars="0"/>
        <w:rPr>
          <w:rFonts w:hint="default"/>
          <w:i/>
          <w:iCs/>
          <w:u w:val="single"/>
          <w:lang w:val="en-US" w:eastAsia="zh-CN"/>
        </w:rPr>
      </w:pPr>
      <w:r>
        <w:rPr>
          <w:rFonts w:hint="default"/>
          <w:i/>
          <w:iCs/>
          <w:u w:val="single"/>
          <w:lang w:val="en-US" w:eastAsia="zh-CN"/>
        </w:rPr>
        <w:t>Will pausing of QoE reporting during RAN overload effectively</w:t>
      </w:r>
      <w:r>
        <w:rPr>
          <w:rFonts w:hint="default"/>
          <w:i/>
          <w:iCs/>
          <w:highlight w:val="none"/>
          <w:u w:val="single"/>
          <w:lang w:val="en-US" w:eastAsia="zh-CN"/>
        </w:rPr>
        <w:t xml:space="preserve"> help the RAN, g</w:t>
      </w:r>
      <w:r>
        <w:rPr>
          <w:rFonts w:hint="default"/>
          <w:i/>
          <w:iCs/>
          <w:u w:val="single"/>
          <w:lang w:val="en-US" w:eastAsia="zh-CN"/>
        </w:rPr>
        <w:t>iven that the average QoE load per application is &lt;100 bits/sec?</w:t>
      </w:r>
    </w:p>
    <w:p>
      <w:pPr>
        <w:numPr>
          <w:ilvl w:val="0"/>
          <w:numId w:val="0"/>
        </w:numPr>
        <w:rPr>
          <w:rFonts w:hint="eastAsia"/>
          <w:lang w:val="en-US" w:eastAsia="zh-CN"/>
        </w:rPr>
      </w:pPr>
      <w:r>
        <w:rPr>
          <w:rFonts w:hint="eastAsia"/>
          <w:lang w:val="en-US" w:eastAsia="zh-CN"/>
        </w:rPr>
        <w:t xml:space="preserve">The answer of question 2 and question 3 can be combined. Typically, the most resource in the air interface is allocated and used for UP data transmission. The resource allocated for CP data transmission is much less than </w:t>
      </w:r>
      <w:r>
        <w:rPr>
          <w:rFonts w:hint="default"/>
          <w:lang w:val="en-US" w:eastAsia="zh-CN"/>
        </w:rPr>
        <w:t xml:space="preserve">that allocated for </w:t>
      </w:r>
      <w:r>
        <w:rPr>
          <w:rFonts w:hint="eastAsia"/>
          <w:lang w:val="en-US" w:eastAsia="zh-CN"/>
        </w:rPr>
        <w:t xml:space="preserve">UP. </w:t>
      </w:r>
      <w:bookmarkStart w:id="10" w:name="OLE_LINK7"/>
      <w:r>
        <w:rPr>
          <w:rFonts w:hint="eastAsia"/>
          <w:lang w:val="en-US" w:eastAsia="zh-CN"/>
        </w:rPr>
        <w:t>Moreover</w:t>
      </w:r>
      <w:bookmarkEnd w:id="10"/>
      <w:r>
        <w:rPr>
          <w:rFonts w:hint="eastAsia"/>
          <w:lang w:val="en-US" w:eastAsia="zh-CN"/>
        </w:rPr>
        <w:t xml:space="preserve">, it is clear that QoE reporting data is a small part of UP data. As far as we understanding, the air interface will not spend much resource on QoE reporting data transmission in any scenarios. </w:t>
      </w:r>
    </w:p>
    <w:p>
      <w:pPr>
        <w:numPr>
          <w:ilvl w:val="0"/>
          <w:numId w:val="0"/>
        </w:numPr>
        <w:rPr>
          <w:rFonts w:hint="default"/>
          <w:lang w:val="en-US" w:eastAsia="zh-CN"/>
        </w:rPr>
      </w:pPr>
      <w:r>
        <w:rPr>
          <w:rFonts w:hint="eastAsia"/>
          <w:lang w:val="en-US" w:eastAsia="zh-CN"/>
        </w:rPr>
        <w:t xml:space="preserve">Namely, for question 2, it is impossible to trigger RAN overload recurrence when RAN side resumes QoE reporting for all involved UEs and QoE </w:t>
      </w:r>
      <w:r>
        <w:rPr>
          <w:rFonts w:hint="default"/>
          <w:lang w:val="en-US" w:eastAsia="zh-CN"/>
        </w:rPr>
        <w:t>measurements</w:t>
      </w:r>
      <w:r>
        <w:rPr>
          <w:rFonts w:hint="eastAsia"/>
          <w:lang w:val="en-US" w:eastAsia="zh-CN"/>
        </w:rPr>
        <w:t xml:space="preserve">. </w:t>
      </w:r>
    </w:p>
    <w:p>
      <w:pPr>
        <w:numPr>
          <w:ilvl w:val="0"/>
          <w:numId w:val="0"/>
        </w:numPr>
        <w:rPr>
          <w:rFonts w:hint="eastAsia"/>
          <w:lang w:val="en-US" w:eastAsia="zh-CN"/>
        </w:rPr>
      </w:pPr>
      <w:r>
        <w:rPr>
          <w:rFonts w:hint="eastAsia"/>
          <w:lang w:val="en-US" w:eastAsia="zh-CN"/>
        </w:rPr>
        <w:t>For question 3, based on our understanding and the explanation, we wonder whether the pause/resume QoE reporting function can help RAN. Considering the time budget is limited in Rel-17 and SA4 also find</w:t>
      </w:r>
      <w:r>
        <w:rPr>
          <w:rFonts w:hint="default"/>
          <w:lang w:val="en-US" w:eastAsia="zh-CN"/>
        </w:rPr>
        <w:t>s</w:t>
      </w:r>
      <w:r>
        <w:rPr>
          <w:rFonts w:hint="eastAsia"/>
          <w:lang w:val="en-US" w:eastAsia="zh-CN"/>
        </w:rPr>
        <w:t xml:space="preserve"> an issue during the paused period, it is proposed for RAN2 to stop spending more time on discussing this function in Rel-17 and send our understanding to other WGs.</w:t>
      </w:r>
    </w:p>
    <w:p>
      <w:pPr>
        <w:numPr>
          <w:ilvl w:val="0"/>
          <w:numId w:val="0"/>
        </w:numPr>
        <w:rPr>
          <w:rFonts w:hint="default"/>
          <w:lang w:val="en-US" w:eastAsia="zh-CN"/>
        </w:rPr>
      </w:pPr>
      <w:r>
        <w:rPr>
          <w:rFonts w:hint="eastAsia"/>
          <w:b/>
          <w:bCs/>
          <w:lang w:val="en-US" w:eastAsia="zh-CN"/>
        </w:rPr>
        <w:t xml:space="preserve">Proposal </w:t>
      </w:r>
      <w:r>
        <w:rPr>
          <w:rFonts w:hint="default"/>
          <w:b/>
          <w:bCs/>
          <w:lang w:val="en-US" w:eastAsia="zh-CN"/>
        </w:rPr>
        <w:t>2</w:t>
      </w:r>
      <w:r>
        <w:rPr>
          <w:rFonts w:hint="eastAsia"/>
          <w:b/>
          <w:bCs/>
          <w:lang w:val="en-US" w:eastAsia="zh-CN"/>
        </w:rPr>
        <w:t xml:space="preserve">: RAN2 shall </w:t>
      </w:r>
      <w:r>
        <w:rPr>
          <w:rFonts w:hint="default"/>
          <w:b/>
          <w:bCs/>
          <w:lang w:val="en-US" w:eastAsia="zh-CN"/>
        </w:rPr>
        <w:t xml:space="preserve">suggest to </w:t>
      </w:r>
      <w:r>
        <w:rPr>
          <w:rFonts w:hint="eastAsia"/>
          <w:b/>
          <w:bCs/>
          <w:lang w:val="en-US" w:eastAsia="zh-CN"/>
        </w:rPr>
        <w:t>abandon the pause/resume QoE reporting function and</w:t>
      </w:r>
      <w:r>
        <w:rPr>
          <w:rFonts w:hint="default"/>
          <w:b/>
          <w:bCs/>
          <w:lang w:val="en-US" w:eastAsia="zh-CN"/>
        </w:rPr>
        <w:t xml:space="preserve"> send this decision to other WGs.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bidi w:val="0"/>
        <w:rPr>
          <w:rFonts w:hint="eastAsia"/>
          <w:lang w:val="en-US" w:eastAsia="zh-CN"/>
        </w:rPr>
      </w:pPr>
      <w:r>
        <w:rPr>
          <w:rFonts w:hint="eastAsia"/>
          <w:lang w:val="en-US" w:eastAsia="zh-CN"/>
        </w:rPr>
        <w:t>Based on the discussions above, we have the following proposal.</w:t>
      </w:r>
    </w:p>
    <w:p>
      <w:pPr>
        <w:numPr>
          <w:ilvl w:val="0"/>
          <w:numId w:val="0"/>
        </w:numPr>
        <w:rPr>
          <w:rFonts w:hint="default"/>
          <w:b/>
          <w:bCs/>
          <w:highlight w:val="none"/>
          <w:lang w:val="en-US" w:eastAsia="zh-CN"/>
        </w:rPr>
      </w:pPr>
      <w:bookmarkStart w:id="11" w:name="_Toc18413612"/>
      <w:bookmarkStart w:id="12" w:name="_Toc18403976"/>
      <w:bookmarkStart w:id="13" w:name="_Toc18404543"/>
      <w:bookmarkStart w:id="14" w:name="OLE_LINK4"/>
      <w:r>
        <w:rPr>
          <w:rFonts w:hint="default"/>
          <w:b/>
          <w:bCs/>
          <w:highlight w:val="none"/>
          <w:lang w:val="en-US" w:eastAsia="zh-CN"/>
        </w:rPr>
        <w:t>Observation 1: Based on SA4’s understanding, a UE with paused QoE reporting may not always resume QoE reporting after receiving a re-start reporting indication.</w:t>
      </w:r>
    </w:p>
    <w:p>
      <w:pPr>
        <w:numPr>
          <w:ilvl w:val="0"/>
          <w:numId w:val="0"/>
        </w:numPr>
        <w:rPr>
          <w:rFonts w:hint="default"/>
          <w:b/>
          <w:bCs/>
          <w:highlight w:val="none"/>
          <w:lang w:val="en-US" w:eastAsia="zh-CN"/>
        </w:rPr>
      </w:pPr>
      <w:r>
        <w:rPr>
          <w:rFonts w:hint="default"/>
          <w:b/>
          <w:bCs/>
          <w:highlight w:val="none"/>
          <w:lang w:val="en-US" w:eastAsia="zh-CN"/>
        </w:rPr>
        <w:t>Observation 2: The typical duration of a temporary stop is approximately equal to the RAN overload duration.</w:t>
      </w:r>
    </w:p>
    <w:p>
      <w:pPr>
        <w:numPr>
          <w:ilvl w:val="0"/>
          <w:numId w:val="0"/>
        </w:numPr>
        <w:rPr>
          <w:rFonts w:hint="default"/>
          <w:b/>
          <w:bCs/>
          <w:highlight w:val="none"/>
          <w:lang w:val="en-US" w:eastAsia="zh-CN"/>
        </w:rPr>
      </w:pPr>
      <w:r>
        <w:rPr>
          <w:rFonts w:hint="default"/>
          <w:b/>
          <w:bCs/>
          <w:highlight w:val="none"/>
          <w:lang w:val="en-US" w:eastAsia="zh-CN"/>
        </w:rPr>
        <w:t>Proposal 1: It is proposed for RAN2 to have a specific definition on the RAN overload before RAN2 discusses the typical duration of a temporary stop.</w:t>
      </w:r>
    </w:p>
    <w:p>
      <w:pPr>
        <w:numPr>
          <w:ilvl w:val="0"/>
          <w:numId w:val="0"/>
        </w:numPr>
        <w:rPr>
          <w:rFonts w:hint="default"/>
          <w:b/>
          <w:bCs/>
          <w:highlight w:val="none"/>
          <w:lang w:val="en-US" w:eastAsia="zh-CN"/>
        </w:rPr>
      </w:pPr>
      <w:r>
        <w:rPr>
          <w:rFonts w:hint="default"/>
          <w:b/>
          <w:bCs/>
          <w:highlight w:val="none"/>
          <w:lang w:val="en-US" w:eastAsia="zh-CN"/>
        </w:rPr>
        <w:t>Proposal 2: RAN2 shall suggest to abandon the pause/resume QoE reporting function and send this decision to other WGs.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11"/>
      <w:bookmarkEnd w:id="12"/>
      <w:bookmarkEnd w:id="13"/>
    </w:p>
    <w:p>
      <w:pPr>
        <w:numPr>
          <w:ilvl w:val="0"/>
          <w:numId w:val="9"/>
        </w:numPr>
        <w:spacing w:line="240" w:lineRule="auto"/>
        <w:rPr>
          <w:rFonts w:cs="Arial"/>
          <w:color w:val="000000"/>
          <w:sz w:val="21"/>
          <w:szCs w:val="21"/>
          <w:highlight w:val="none"/>
        </w:rPr>
      </w:pPr>
      <w:bookmarkStart w:id="15" w:name="OLE_LINK3"/>
      <w:r>
        <w:rPr>
          <w:rFonts w:hint="eastAsia" w:eastAsia="宋体" w:cs="Arial"/>
          <w:sz w:val="21"/>
          <w:szCs w:val="21"/>
          <w:highlight w:val="none"/>
          <w:lang w:val="en-US" w:eastAsia="zh-CN"/>
        </w:rPr>
        <w:t>Chairman note for RAN2-11</w:t>
      </w:r>
      <w:r>
        <w:rPr>
          <w:rFonts w:hint="default" w:eastAsia="宋体" w:cs="Arial"/>
          <w:sz w:val="21"/>
          <w:szCs w:val="21"/>
          <w:highlight w:val="none"/>
          <w:lang w:val="en-US" w:eastAsia="zh-CN"/>
        </w:rPr>
        <w:t>5</w:t>
      </w:r>
      <w:r>
        <w:rPr>
          <w:rFonts w:hint="eastAsia" w:eastAsia="宋体" w:cs="Arial"/>
          <w:sz w:val="21"/>
          <w:szCs w:val="21"/>
          <w:highlight w:val="none"/>
          <w:lang w:val="en-US" w:eastAsia="zh-CN"/>
        </w:rPr>
        <w:t>-e.</w:t>
      </w:r>
      <w:bookmarkEnd w:id="14"/>
      <w:bookmarkEnd w:id="15"/>
    </w:p>
    <w:p>
      <w:pPr>
        <w:numPr>
          <w:ilvl w:val="0"/>
          <w:numId w:val="9"/>
        </w:numPr>
        <w:spacing w:line="240" w:lineRule="auto"/>
        <w:rPr>
          <w:rFonts w:cs="Arial"/>
          <w:color w:val="000000"/>
          <w:sz w:val="21"/>
          <w:szCs w:val="21"/>
          <w:highlight w:val="none"/>
        </w:rPr>
      </w:pPr>
      <w:r>
        <w:rPr>
          <w:rFonts w:hint="eastAsia" w:cs="Arial"/>
          <w:color w:val="000000"/>
          <w:sz w:val="21"/>
          <w:szCs w:val="21"/>
          <w:highlight w:val="none"/>
        </w:rPr>
        <w:t>RP-210815</w:t>
      </w:r>
      <w:r>
        <w:rPr>
          <w:rFonts w:hint="default" w:cs="Arial"/>
          <w:color w:val="000000"/>
          <w:sz w:val="21"/>
          <w:szCs w:val="21"/>
          <w:highlight w:val="none"/>
          <w:lang w:val="en-US"/>
        </w:rPr>
        <w:t>, New WID on NR QoE management and optimizations for diverse services.</w:t>
      </w:r>
    </w:p>
    <w:p>
      <w:pPr>
        <w:numPr>
          <w:ilvl w:val="0"/>
          <w:numId w:val="9"/>
        </w:numPr>
        <w:spacing w:line="240" w:lineRule="auto"/>
        <w:rPr>
          <w:rFonts w:cs="Arial"/>
          <w:color w:val="000000"/>
          <w:sz w:val="21"/>
          <w:szCs w:val="21"/>
          <w:highlight w:val="none"/>
        </w:rPr>
      </w:pPr>
      <w:r>
        <w:rPr>
          <w:rFonts w:hint="eastAsia" w:cs="Arial"/>
          <w:color w:val="000000"/>
          <w:sz w:val="21"/>
          <w:szCs w:val="21"/>
          <w:highlight w:val="none"/>
        </w:rPr>
        <w:t>S4-211290</w:t>
      </w:r>
      <w:r>
        <w:rPr>
          <w:rFonts w:hint="default" w:cs="Arial"/>
          <w:color w:val="000000"/>
          <w:sz w:val="21"/>
          <w:szCs w:val="21"/>
          <w:highlight w:val="none"/>
          <w:lang w:val="en-US"/>
        </w:rPr>
        <w:t>, LS Reply on QoE report handling at QoE pause.</w:t>
      </w:r>
    </w:p>
    <w:p>
      <w:pPr>
        <w:numPr>
          <w:ilvl w:val="0"/>
          <w:numId w:val="0"/>
        </w:numPr>
        <w:spacing w:line="240" w:lineRule="auto"/>
        <w:rPr>
          <w:rFonts w:cs="Arial"/>
          <w:color w:val="000000"/>
          <w:sz w:val="21"/>
          <w:szCs w:val="21"/>
          <w:highlight w:val="yellow"/>
        </w:rPr>
      </w:pP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CABCCC09"/>
    <w:multiLevelType w:val="singleLevel"/>
    <w:tmpl w:val="CABCCC09"/>
    <w:lvl w:ilvl="0" w:tentative="0">
      <w:start w:val="1"/>
      <w:numFmt w:val="decimal"/>
      <w:lvlText w:val="%1."/>
      <w:lvlJc w:val="left"/>
      <w:pPr>
        <w:ind w:left="425" w:hanging="425"/>
      </w:pPr>
      <w:rPr>
        <w:rFonts w:hint="default"/>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55C6A5F"/>
    <w:multiLevelType w:val="multilevel"/>
    <w:tmpl w:val="555C6A5F"/>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75A9226F"/>
    <w:multiLevelType w:val="multilevel"/>
    <w:tmpl w:val="75A9226F"/>
    <w:lvl w:ilvl="0" w:tentative="0">
      <w:start w:val="1"/>
      <w:numFmt w:val="bullet"/>
      <w:lvlText w:val="−"/>
      <w:lvlJc w:val="left"/>
      <w:pPr>
        <w:ind w:left="720" w:hanging="360"/>
      </w:pPr>
      <w:rPr>
        <w:rFonts w:hint="eastAsia" w:ascii="微软雅黑" w:hAnsi="微软雅黑" w:eastAsia="微软雅黑"/>
        <w:lang w:val="en-GB"/>
      </w:rPr>
    </w:lvl>
    <w:lvl w:ilvl="1" w:tentative="0">
      <w:start w:val="1"/>
      <w:numFmt w:val="bullet"/>
      <w:lvlText w:val="−"/>
      <w:lvlJc w:val="left"/>
      <w:pPr>
        <w:ind w:left="1440" w:hanging="360"/>
      </w:pPr>
      <w:rPr>
        <w:rFonts w:hint="eastAsia" w:ascii="微软雅黑" w:hAnsi="微软雅黑" w:eastAsia="微软雅黑"/>
        <w:lang w:val="en-GB"/>
      </w:rPr>
    </w:lvl>
    <w:lvl w:ilvl="2" w:tentative="0">
      <w:start w:val="1"/>
      <w:numFmt w:val="bullet"/>
      <w:lvlText w:val=""/>
      <w:lvlJc w:val="left"/>
      <w:pPr>
        <w:ind w:left="2160" w:hanging="180"/>
      </w:pPr>
      <w:rPr>
        <w:rFonts w:hint="default" w:ascii="Symbol" w:hAnsi="Symbol"/>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6"/>
  </w:num>
  <w:num w:numId="3">
    <w:abstractNumId w:val="4"/>
  </w:num>
  <w:num w:numId="4">
    <w:abstractNumId w:val="5"/>
  </w:num>
  <w:num w:numId="5">
    <w:abstractNumId w:val="3"/>
  </w:num>
  <w:num w:numId="6">
    <w:abstractNumId w:val="7"/>
  </w:num>
  <w:num w:numId="7">
    <w:abstractNumId w:val="8"/>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2FE0"/>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0C4F"/>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EF78A7"/>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2E769C2"/>
    <w:rsid w:val="03695ACD"/>
    <w:rsid w:val="037439E2"/>
    <w:rsid w:val="03BC3684"/>
    <w:rsid w:val="04011C0E"/>
    <w:rsid w:val="0427122D"/>
    <w:rsid w:val="04405CD4"/>
    <w:rsid w:val="044F0676"/>
    <w:rsid w:val="04624B19"/>
    <w:rsid w:val="052A346F"/>
    <w:rsid w:val="05AE40A8"/>
    <w:rsid w:val="05D1293B"/>
    <w:rsid w:val="06270E5D"/>
    <w:rsid w:val="06301129"/>
    <w:rsid w:val="07332E45"/>
    <w:rsid w:val="07393CB3"/>
    <w:rsid w:val="07645E7E"/>
    <w:rsid w:val="07815AA2"/>
    <w:rsid w:val="07DB31F6"/>
    <w:rsid w:val="08036844"/>
    <w:rsid w:val="083828A5"/>
    <w:rsid w:val="083A052C"/>
    <w:rsid w:val="08634AA9"/>
    <w:rsid w:val="086A0D8F"/>
    <w:rsid w:val="08870B03"/>
    <w:rsid w:val="09253E9C"/>
    <w:rsid w:val="0929781C"/>
    <w:rsid w:val="095438C6"/>
    <w:rsid w:val="098B1EF5"/>
    <w:rsid w:val="09911B95"/>
    <w:rsid w:val="09945F3A"/>
    <w:rsid w:val="09CB5A6C"/>
    <w:rsid w:val="09DF573D"/>
    <w:rsid w:val="09F00BD8"/>
    <w:rsid w:val="09F318B6"/>
    <w:rsid w:val="09FD6E02"/>
    <w:rsid w:val="0A0C0320"/>
    <w:rsid w:val="0A1A74F5"/>
    <w:rsid w:val="0A1D73FF"/>
    <w:rsid w:val="0A750F68"/>
    <w:rsid w:val="0AE61C59"/>
    <w:rsid w:val="0AEC356E"/>
    <w:rsid w:val="0B545B44"/>
    <w:rsid w:val="0BAF148B"/>
    <w:rsid w:val="0C34609D"/>
    <w:rsid w:val="0C4A196E"/>
    <w:rsid w:val="0C530060"/>
    <w:rsid w:val="0CBA1583"/>
    <w:rsid w:val="0CBC415D"/>
    <w:rsid w:val="0CD249CC"/>
    <w:rsid w:val="0CE47597"/>
    <w:rsid w:val="0D9222C1"/>
    <w:rsid w:val="0DC045AB"/>
    <w:rsid w:val="0DF763D2"/>
    <w:rsid w:val="0DFF7D07"/>
    <w:rsid w:val="0E374CA0"/>
    <w:rsid w:val="0E425586"/>
    <w:rsid w:val="0E6F0740"/>
    <w:rsid w:val="0EC0431F"/>
    <w:rsid w:val="0F321E2D"/>
    <w:rsid w:val="0F4E2E70"/>
    <w:rsid w:val="0F510AE0"/>
    <w:rsid w:val="0F6715A1"/>
    <w:rsid w:val="0F8070F6"/>
    <w:rsid w:val="0FA731D6"/>
    <w:rsid w:val="10232DBB"/>
    <w:rsid w:val="103246BB"/>
    <w:rsid w:val="103F55E5"/>
    <w:rsid w:val="104A07DF"/>
    <w:rsid w:val="108C2AA3"/>
    <w:rsid w:val="10DE14BF"/>
    <w:rsid w:val="10DF3115"/>
    <w:rsid w:val="10E00123"/>
    <w:rsid w:val="113E3C41"/>
    <w:rsid w:val="11B5797D"/>
    <w:rsid w:val="11C41E7D"/>
    <w:rsid w:val="11DD4AE3"/>
    <w:rsid w:val="11E15AE5"/>
    <w:rsid w:val="11E53E9B"/>
    <w:rsid w:val="11FC5F30"/>
    <w:rsid w:val="120048B1"/>
    <w:rsid w:val="12015140"/>
    <w:rsid w:val="12394E59"/>
    <w:rsid w:val="125245EF"/>
    <w:rsid w:val="1299671F"/>
    <w:rsid w:val="12A742B1"/>
    <w:rsid w:val="131813A1"/>
    <w:rsid w:val="133F3D70"/>
    <w:rsid w:val="13C866DF"/>
    <w:rsid w:val="13DC640D"/>
    <w:rsid w:val="13F01C1F"/>
    <w:rsid w:val="141842FE"/>
    <w:rsid w:val="14352831"/>
    <w:rsid w:val="144A0A3E"/>
    <w:rsid w:val="14674D40"/>
    <w:rsid w:val="146B64E1"/>
    <w:rsid w:val="14993B21"/>
    <w:rsid w:val="14D73601"/>
    <w:rsid w:val="15014A40"/>
    <w:rsid w:val="156B4B8B"/>
    <w:rsid w:val="15890495"/>
    <w:rsid w:val="15D71B32"/>
    <w:rsid w:val="15E03D6F"/>
    <w:rsid w:val="15EF5060"/>
    <w:rsid w:val="169C366A"/>
    <w:rsid w:val="16DA1E4D"/>
    <w:rsid w:val="16FB015A"/>
    <w:rsid w:val="17003574"/>
    <w:rsid w:val="17535B24"/>
    <w:rsid w:val="17675E68"/>
    <w:rsid w:val="17A31370"/>
    <w:rsid w:val="17B06B1C"/>
    <w:rsid w:val="17D92C65"/>
    <w:rsid w:val="17F53DC6"/>
    <w:rsid w:val="180B4FFB"/>
    <w:rsid w:val="18211C57"/>
    <w:rsid w:val="1842664F"/>
    <w:rsid w:val="18543673"/>
    <w:rsid w:val="186B7D0B"/>
    <w:rsid w:val="189D065F"/>
    <w:rsid w:val="18BC6F6C"/>
    <w:rsid w:val="18C25348"/>
    <w:rsid w:val="18CE583B"/>
    <w:rsid w:val="18F32BCE"/>
    <w:rsid w:val="18FF4ABB"/>
    <w:rsid w:val="192635F1"/>
    <w:rsid w:val="19343406"/>
    <w:rsid w:val="195322E0"/>
    <w:rsid w:val="195B2085"/>
    <w:rsid w:val="19EC03AD"/>
    <w:rsid w:val="19F52E60"/>
    <w:rsid w:val="1A45032B"/>
    <w:rsid w:val="1A640E62"/>
    <w:rsid w:val="1A713779"/>
    <w:rsid w:val="1A84217D"/>
    <w:rsid w:val="1A9B1F53"/>
    <w:rsid w:val="1ABB54B3"/>
    <w:rsid w:val="1AC25553"/>
    <w:rsid w:val="1ACE1E5E"/>
    <w:rsid w:val="1AE025B8"/>
    <w:rsid w:val="1B3D4012"/>
    <w:rsid w:val="1B481AFB"/>
    <w:rsid w:val="1B7A1663"/>
    <w:rsid w:val="1B7A249F"/>
    <w:rsid w:val="1B8F6978"/>
    <w:rsid w:val="1BA23557"/>
    <w:rsid w:val="1BC27038"/>
    <w:rsid w:val="1BC73993"/>
    <w:rsid w:val="1BD24B16"/>
    <w:rsid w:val="1BEF5469"/>
    <w:rsid w:val="1BF13C81"/>
    <w:rsid w:val="1BF62321"/>
    <w:rsid w:val="1C130C67"/>
    <w:rsid w:val="1C2D5D31"/>
    <w:rsid w:val="1C5D6CC2"/>
    <w:rsid w:val="1C696E9C"/>
    <w:rsid w:val="1C7A4C49"/>
    <w:rsid w:val="1CA21F0A"/>
    <w:rsid w:val="1CBD093F"/>
    <w:rsid w:val="1CC83450"/>
    <w:rsid w:val="1CE21C50"/>
    <w:rsid w:val="1CE9601A"/>
    <w:rsid w:val="1D235F66"/>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D0672A"/>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5B24B5"/>
    <w:rsid w:val="21D36B48"/>
    <w:rsid w:val="21D93ECC"/>
    <w:rsid w:val="21DE4E5D"/>
    <w:rsid w:val="221B7641"/>
    <w:rsid w:val="222E4F94"/>
    <w:rsid w:val="224F5646"/>
    <w:rsid w:val="22666B0B"/>
    <w:rsid w:val="229A0A46"/>
    <w:rsid w:val="22D5441E"/>
    <w:rsid w:val="22D61F71"/>
    <w:rsid w:val="232660FF"/>
    <w:rsid w:val="23BE01FF"/>
    <w:rsid w:val="24004246"/>
    <w:rsid w:val="2410019C"/>
    <w:rsid w:val="2418652F"/>
    <w:rsid w:val="245A1846"/>
    <w:rsid w:val="248512BD"/>
    <w:rsid w:val="24E51B39"/>
    <w:rsid w:val="25173A41"/>
    <w:rsid w:val="252D5DCC"/>
    <w:rsid w:val="255B75CB"/>
    <w:rsid w:val="25841D88"/>
    <w:rsid w:val="25A45302"/>
    <w:rsid w:val="25A94E88"/>
    <w:rsid w:val="25E135DF"/>
    <w:rsid w:val="261E413F"/>
    <w:rsid w:val="263E633F"/>
    <w:rsid w:val="267E599C"/>
    <w:rsid w:val="26C17FC8"/>
    <w:rsid w:val="27242E3E"/>
    <w:rsid w:val="277340DD"/>
    <w:rsid w:val="27B132D6"/>
    <w:rsid w:val="27FF1FDA"/>
    <w:rsid w:val="28915210"/>
    <w:rsid w:val="28937E74"/>
    <w:rsid w:val="28EC6069"/>
    <w:rsid w:val="29095102"/>
    <w:rsid w:val="293E1B9C"/>
    <w:rsid w:val="29A81AA0"/>
    <w:rsid w:val="29B32846"/>
    <w:rsid w:val="29ED63D5"/>
    <w:rsid w:val="29F720CD"/>
    <w:rsid w:val="2A275682"/>
    <w:rsid w:val="2A275D46"/>
    <w:rsid w:val="2A406DE2"/>
    <w:rsid w:val="2A463340"/>
    <w:rsid w:val="2A9376BC"/>
    <w:rsid w:val="2AA14025"/>
    <w:rsid w:val="2B2348E2"/>
    <w:rsid w:val="2B5D0645"/>
    <w:rsid w:val="2B907720"/>
    <w:rsid w:val="2BCD0751"/>
    <w:rsid w:val="2C0B572E"/>
    <w:rsid w:val="2C6150F4"/>
    <w:rsid w:val="2C7F2EA6"/>
    <w:rsid w:val="2C8C2358"/>
    <w:rsid w:val="2C8E4E6A"/>
    <w:rsid w:val="2C9927E7"/>
    <w:rsid w:val="2CA56F60"/>
    <w:rsid w:val="2CAF2767"/>
    <w:rsid w:val="2CFB59F1"/>
    <w:rsid w:val="2D125EB2"/>
    <w:rsid w:val="2D1E05D5"/>
    <w:rsid w:val="2D205827"/>
    <w:rsid w:val="2D4B424D"/>
    <w:rsid w:val="2D5627A8"/>
    <w:rsid w:val="2D8D29A8"/>
    <w:rsid w:val="2D9A6090"/>
    <w:rsid w:val="2D9D4CC1"/>
    <w:rsid w:val="2DBD4FAF"/>
    <w:rsid w:val="2E09336F"/>
    <w:rsid w:val="2E615D6D"/>
    <w:rsid w:val="2E8819F3"/>
    <w:rsid w:val="2EC27772"/>
    <w:rsid w:val="2ED0428B"/>
    <w:rsid w:val="2F263E1B"/>
    <w:rsid w:val="2F337D9E"/>
    <w:rsid w:val="2F6E2BFC"/>
    <w:rsid w:val="300160A4"/>
    <w:rsid w:val="3003631E"/>
    <w:rsid w:val="30745F5B"/>
    <w:rsid w:val="3078124A"/>
    <w:rsid w:val="3090209F"/>
    <w:rsid w:val="30953FB5"/>
    <w:rsid w:val="30E33B55"/>
    <w:rsid w:val="31623402"/>
    <w:rsid w:val="31EB4942"/>
    <w:rsid w:val="31EC5E5F"/>
    <w:rsid w:val="32187B45"/>
    <w:rsid w:val="32362071"/>
    <w:rsid w:val="3273050E"/>
    <w:rsid w:val="32817193"/>
    <w:rsid w:val="32891F62"/>
    <w:rsid w:val="328C1583"/>
    <w:rsid w:val="32B130C2"/>
    <w:rsid w:val="32C9080C"/>
    <w:rsid w:val="32CA0CF4"/>
    <w:rsid w:val="32FD0FA8"/>
    <w:rsid w:val="334275F5"/>
    <w:rsid w:val="335C7FCF"/>
    <w:rsid w:val="33636F14"/>
    <w:rsid w:val="33670485"/>
    <w:rsid w:val="33C54618"/>
    <w:rsid w:val="34211C7C"/>
    <w:rsid w:val="347A4EB8"/>
    <w:rsid w:val="35183D8B"/>
    <w:rsid w:val="35387D52"/>
    <w:rsid w:val="35513FB8"/>
    <w:rsid w:val="356926AE"/>
    <w:rsid w:val="35746D1B"/>
    <w:rsid w:val="358E0757"/>
    <w:rsid w:val="35AE250E"/>
    <w:rsid w:val="35AE7101"/>
    <w:rsid w:val="35BB43C3"/>
    <w:rsid w:val="35F9212A"/>
    <w:rsid w:val="36281B26"/>
    <w:rsid w:val="36336C04"/>
    <w:rsid w:val="365C0D8B"/>
    <w:rsid w:val="366043F8"/>
    <w:rsid w:val="366626F2"/>
    <w:rsid w:val="366F5A51"/>
    <w:rsid w:val="36E7276B"/>
    <w:rsid w:val="374F6194"/>
    <w:rsid w:val="377F6041"/>
    <w:rsid w:val="37BC7D72"/>
    <w:rsid w:val="37E15A1B"/>
    <w:rsid w:val="382E42A6"/>
    <w:rsid w:val="38340774"/>
    <w:rsid w:val="38626E95"/>
    <w:rsid w:val="38A75F14"/>
    <w:rsid w:val="38BD2C6C"/>
    <w:rsid w:val="38FA0996"/>
    <w:rsid w:val="38FA513B"/>
    <w:rsid w:val="39467E4B"/>
    <w:rsid w:val="396E02FE"/>
    <w:rsid w:val="3982272C"/>
    <w:rsid w:val="399133F9"/>
    <w:rsid w:val="399648C1"/>
    <w:rsid w:val="39BB3B43"/>
    <w:rsid w:val="3A156CE0"/>
    <w:rsid w:val="3A277789"/>
    <w:rsid w:val="3A2D66D3"/>
    <w:rsid w:val="3A891A0E"/>
    <w:rsid w:val="3A9620D1"/>
    <w:rsid w:val="3AA26C9B"/>
    <w:rsid w:val="3ADC5E36"/>
    <w:rsid w:val="3AFC2B33"/>
    <w:rsid w:val="3AFC41BB"/>
    <w:rsid w:val="3B6C5507"/>
    <w:rsid w:val="3B7F2802"/>
    <w:rsid w:val="3B8B43E4"/>
    <w:rsid w:val="3BA1185C"/>
    <w:rsid w:val="3BC33F8E"/>
    <w:rsid w:val="3BCE7F95"/>
    <w:rsid w:val="3C087392"/>
    <w:rsid w:val="3C3F7E0E"/>
    <w:rsid w:val="3C851465"/>
    <w:rsid w:val="3C893061"/>
    <w:rsid w:val="3CB674D9"/>
    <w:rsid w:val="3CC937E3"/>
    <w:rsid w:val="3D0F30FA"/>
    <w:rsid w:val="3D634A82"/>
    <w:rsid w:val="3D9210CE"/>
    <w:rsid w:val="3DAC0E95"/>
    <w:rsid w:val="3E6F0648"/>
    <w:rsid w:val="3E7A082F"/>
    <w:rsid w:val="3E926EC3"/>
    <w:rsid w:val="3E93478A"/>
    <w:rsid w:val="3E9F10BF"/>
    <w:rsid w:val="3EA41691"/>
    <w:rsid w:val="3EB4127F"/>
    <w:rsid w:val="3EB7148B"/>
    <w:rsid w:val="3EC40624"/>
    <w:rsid w:val="3EF93E2B"/>
    <w:rsid w:val="3F0875E3"/>
    <w:rsid w:val="3F09726C"/>
    <w:rsid w:val="3F0F2BD0"/>
    <w:rsid w:val="3F1F25CF"/>
    <w:rsid w:val="3F495E7B"/>
    <w:rsid w:val="3F5B21D1"/>
    <w:rsid w:val="3FB60A94"/>
    <w:rsid w:val="3FBD74AC"/>
    <w:rsid w:val="402D7D95"/>
    <w:rsid w:val="402F67F2"/>
    <w:rsid w:val="402F7D1A"/>
    <w:rsid w:val="405E7B10"/>
    <w:rsid w:val="411531A3"/>
    <w:rsid w:val="414B0A93"/>
    <w:rsid w:val="415723A1"/>
    <w:rsid w:val="41643432"/>
    <w:rsid w:val="421B0E01"/>
    <w:rsid w:val="42481B2A"/>
    <w:rsid w:val="432F4DA2"/>
    <w:rsid w:val="437906BF"/>
    <w:rsid w:val="43945CC5"/>
    <w:rsid w:val="43CE3BC6"/>
    <w:rsid w:val="43FB5AF0"/>
    <w:rsid w:val="440B4BBE"/>
    <w:rsid w:val="44211E9A"/>
    <w:rsid w:val="4454633F"/>
    <w:rsid w:val="44555A83"/>
    <w:rsid w:val="446A1C8A"/>
    <w:rsid w:val="44C70D28"/>
    <w:rsid w:val="44EE2D37"/>
    <w:rsid w:val="44FB1A24"/>
    <w:rsid w:val="45465A74"/>
    <w:rsid w:val="457210D8"/>
    <w:rsid w:val="459C31A4"/>
    <w:rsid w:val="45E30915"/>
    <w:rsid w:val="45E40321"/>
    <w:rsid w:val="4625557D"/>
    <w:rsid w:val="464F0E9C"/>
    <w:rsid w:val="465173C0"/>
    <w:rsid w:val="467E3F9B"/>
    <w:rsid w:val="46825B05"/>
    <w:rsid w:val="4684656F"/>
    <w:rsid w:val="46867C6B"/>
    <w:rsid w:val="46CC7A0B"/>
    <w:rsid w:val="46FB6BA0"/>
    <w:rsid w:val="47047ED5"/>
    <w:rsid w:val="470D32F9"/>
    <w:rsid w:val="473D266B"/>
    <w:rsid w:val="479A47C1"/>
    <w:rsid w:val="47A30EFE"/>
    <w:rsid w:val="47B952BD"/>
    <w:rsid w:val="47FE7D60"/>
    <w:rsid w:val="48110BF4"/>
    <w:rsid w:val="48200D75"/>
    <w:rsid w:val="48283643"/>
    <w:rsid w:val="484C3C28"/>
    <w:rsid w:val="48516D40"/>
    <w:rsid w:val="486A5C7B"/>
    <w:rsid w:val="48BB3F94"/>
    <w:rsid w:val="48E03D9C"/>
    <w:rsid w:val="49374149"/>
    <w:rsid w:val="49613924"/>
    <w:rsid w:val="496D0F3E"/>
    <w:rsid w:val="49E12571"/>
    <w:rsid w:val="49E378C6"/>
    <w:rsid w:val="4A447511"/>
    <w:rsid w:val="4A834EBE"/>
    <w:rsid w:val="4A84625B"/>
    <w:rsid w:val="4AE42FC1"/>
    <w:rsid w:val="4B2144B5"/>
    <w:rsid w:val="4B3040AF"/>
    <w:rsid w:val="4B55574A"/>
    <w:rsid w:val="4B8B3072"/>
    <w:rsid w:val="4BA90131"/>
    <w:rsid w:val="4BB36285"/>
    <w:rsid w:val="4BD35EC5"/>
    <w:rsid w:val="4BF55CE7"/>
    <w:rsid w:val="4C1B3C0A"/>
    <w:rsid w:val="4C4846F9"/>
    <w:rsid w:val="4CBC728A"/>
    <w:rsid w:val="4CED6111"/>
    <w:rsid w:val="4CF96A4C"/>
    <w:rsid w:val="4CFB69A6"/>
    <w:rsid w:val="4D2316EA"/>
    <w:rsid w:val="4D267491"/>
    <w:rsid w:val="4D331FE6"/>
    <w:rsid w:val="4D830955"/>
    <w:rsid w:val="4DF641D3"/>
    <w:rsid w:val="4E3E017D"/>
    <w:rsid w:val="4E5F59DA"/>
    <w:rsid w:val="4EA44C2A"/>
    <w:rsid w:val="4EB546B6"/>
    <w:rsid w:val="4EF23E87"/>
    <w:rsid w:val="4F2941D5"/>
    <w:rsid w:val="4FF955FD"/>
    <w:rsid w:val="4FFC0A94"/>
    <w:rsid w:val="4FFF2F7D"/>
    <w:rsid w:val="50081059"/>
    <w:rsid w:val="504F4E51"/>
    <w:rsid w:val="509E2AE6"/>
    <w:rsid w:val="50C1659D"/>
    <w:rsid w:val="50F36CD9"/>
    <w:rsid w:val="512E641B"/>
    <w:rsid w:val="517D059D"/>
    <w:rsid w:val="51FA56D9"/>
    <w:rsid w:val="521723B7"/>
    <w:rsid w:val="523F7F97"/>
    <w:rsid w:val="52CA24EF"/>
    <w:rsid w:val="53047529"/>
    <w:rsid w:val="53133561"/>
    <w:rsid w:val="53B9060B"/>
    <w:rsid w:val="54107975"/>
    <w:rsid w:val="5451551D"/>
    <w:rsid w:val="548C2C0D"/>
    <w:rsid w:val="54D6790A"/>
    <w:rsid w:val="55205953"/>
    <w:rsid w:val="553A4CBA"/>
    <w:rsid w:val="557E6857"/>
    <w:rsid w:val="55E15918"/>
    <w:rsid w:val="55E65C45"/>
    <w:rsid w:val="55EA2DA9"/>
    <w:rsid w:val="55F9753C"/>
    <w:rsid w:val="55FA344A"/>
    <w:rsid w:val="5616542D"/>
    <w:rsid w:val="563A460F"/>
    <w:rsid w:val="566B6C45"/>
    <w:rsid w:val="56975E59"/>
    <w:rsid w:val="569C350B"/>
    <w:rsid w:val="56AB26BC"/>
    <w:rsid w:val="56BF0EA2"/>
    <w:rsid w:val="56EA3918"/>
    <w:rsid w:val="57460503"/>
    <w:rsid w:val="575272DC"/>
    <w:rsid w:val="575370FA"/>
    <w:rsid w:val="57B642BC"/>
    <w:rsid w:val="57BD0A78"/>
    <w:rsid w:val="57DC6FDD"/>
    <w:rsid w:val="57FB5F50"/>
    <w:rsid w:val="58984B29"/>
    <w:rsid w:val="589E7340"/>
    <w:rsid w:val="58B03A4A"/>
    <w:rsid w:val="590D5DDF"/>
    <w:rsid w:val="596F34AA"/>
    <w:rsid w:val="59C407FC"/>
    <w:rsid w:val="59C754AB"/>
    <w:rsid w:val="59E079AB"/>
    <w:rsid w:val="5A375749"/>
    <w:rsid w:val="5A726BA0"/>
    <w:rsid w:val="5AD3204F"/>
    <w:rsid w:val="5B071BBA"/>
    <w:rsid w:val="5B3C55BF"/>
    <w:rsid w:val="5B63756F"/>
    <w:rsid w:val="5B725B6B"/>
    <w:rsid w:val="5BBE026D"/>
    <w:rsid w:val="5BD439A7"/>
    <w:rsid w:val="5BD66DD1"/>
    <w:rsid w:val="5BDF3319"/>
    <w:rsid w:val="5BEF3BBE"/>
    <w:rsid w:val="5C991133"/>
    <w:rsid w:val="5C995E25"/>
    <w:rsid w:val="5CEF7FAB"/>
    <w:rsid w:val="5CF36DFF"/>
    <w:rsid w:val="5D46057B"/>
    <w:rsid w:val="5D5144C0"/>
    <w:rsid w:val="5DE8580C"/>
    <w:rsid w:val="5DFB2BCA"/>
    <w:rsid w:val="5E2A7858"/>
    <w:rsid w:val="5E584C87"/>
    <w:rsid w:val="5E790BE8"/>
    <w:rsid w:val="5E973039"/>
    <w:rsid w:val="5EA87B0A"/>
    <w:rsid w:val="5EB119EE"/>
    <w:rsid w:val="5EEF7AA9"/>
    <w:rsid w:val="5F3E2940"/>
    <w:rsid w:val="5F4945D9"/>
    <w:rsid w:val="5F4E4F30"/>
    <w:rsid w:val="5F825446"/>
    <w:rsid w:val="5FAE4FA2"/>
    <w:rsid w:val="5FBE69BB"/>
    <w:rsid w:val="5FCB4192"/>
    <w:rsid w:val="601A7A49"/>
    <w:rsid w:val="602F4794"/>
    <w:rsid w:val="604D1869"/>
    <w:rsid w:val="607F4912"/>
    <w:rsid w:val="60881A7C"/>
    <w:rsid w:val="609751E5"/>
    <w:rsid w:val="60C10976"/>
    <w:rsid w:val="61563C9D"/>
    <w:rsid w:val="61C16E82"/>
    <w:rsid w:val="61D81A5C"/>
    <w:rsid w:val="620D1678"/>
    <w:rsid w:val="62800B8F"/>
    <w:rsid w:val="62B8321C"/>
    <w:rsid w:val="62D625D5"/>
    <w:rsid w:val="630962B4"/>
    <w:rsid w:val="635570BA"/>
    <w:rsid w:val="63766DF5"/>
    <w:rsid w:val="63BE6B4B"/>
    <w:rsid w:val="63E41E32"/>
    <w:rsid w:val="6406254B"/>
    <w:rsid w:val="643636FB"/>
    <w:rsid w:val="64522BD2"/>
    <w:rsid w:val="646766DC"/>
    <w:rsid w:val="64E010F2"/>
    <w:rsid w:val="6503009D"/>
    <w:rsid w:val="651E5E20"/>
    <w:rsid w:val="65535A1B"/>
    <w:rsid w:val="657E2D0B"/>
    <w:rsid w:val="65817DB1"/>
    <w:rsid w:val="65B24406"/>
    <w:rsid w:val="65FE510C"/>
    <w:rsid w:val="660E507B"/>
    <w:rsid w:val="66373410"/>
    <w:rsid w:val="664D4AB5"/>
    <w:rsid w:val="66576902"/>
    <w:rsid w:val="668D21E9"/>
    <w:rsid w:val="668D6BED"/>
    <w:rsid w:val="669369C9"/>
    <w:rsid w:val="66943B2D"/>
    <w:rsid w:val="669B1282"/>
    <w:rsid w:val="66CA61B4"/>
    <w:rsid w:val="67165E6D"/>
    <w:rsid w:val="675A1CF7"/>
    <w:rsid w:val="6761194F"/>
    <w:rsid w:val="677F7400"/>
    <w:rsid w:val="67A01566"/>
    <w:rsid w:val="67A63D55"/>
    <w:rsid w:val="67A84465"/>
    <w:rsid w:val="67AB3B49"/>
    <w:rsid w:val="68384317"/>
    <w:rsid w:val="685F312A"/>
    <w:rsid w:val="68603781"/>
    <w:rsid w:val="68CC70D7"/>
    <w:rsid w:val="69291ACC"/>
    <w:rsid w:val="6933530D"/>
    <w:rsid w:val="693F57CE"/>
    <w:rsid w:val="69433D4A"/>
    <w:rsid w:val="696B32FD"/>
    <w:rsid w:val="69797C2C"/>
    <w:rsid w:val="69AB78DD"/>
    <w:rsid w:val="69D171A3"/>
    <w:rsid w:val="69D74CDC"/>
    <w:rsid w:val="6A206938"/>
    <w:rsid w:val="6A2F1F48"/>
    <w:rsid w:val="6A635607"/>
    <w:rsid w:val="6A6C5A40"/>
    <w:rsid w:val="6A9B47A1"/>
    <w:rsid w:val="6AB91DE7"/>
    <w:rsid w:val="6AFF14C0"/>
    <w:rsid w:val="6B0E13E7"/>
    <w:rsid w:val="6B1301B0"/>
    <w:rsid w:val="6B29781B"/>
    <w:rsid w:val="6B5068BA"/>
    <w:rsid w:val="6BCA3BDA"/>
    <w:rsid w:val="6BFF0085"/>
    <w:rsid w:val="6CA61585"/>
    <w:rsid w:val="6CC16C4E"/>
    <w:rsid w:val="6D17028B"/>
    <w:rsid w:val="6D2552D8"/>
    <w:rsid w:val="6D302D5D"/>
    <w:rsid w:val="6D3C235D"/>
    <w:rsid w:val="6D935AB0"/>
    <w:rsid w:val="6DA62403"/>
    <w:rsid w:val="6DF5498C"/>
    <w:rsid w:val="6E087119"/>
    <w:rsid w:val="6E0A3A07"/>
    <w:rsid w:val="6E372360"/>
    <w:rsid w:val="6E4F724A"/>
    <w:rsid w:val="6E60770D"/>
    <w:rsid w:val="6F037853"/>
    <w:rsid w:val="6F7B3028"/>
    <w:rsid w:val="6FA027BC"/>
    <w:rsid w:val="6FC55DFE"/>
    <w:rsid w:val="70020A66"/>
    <w:rsid w:val="700B0E5F"/>
    <w:rsid w:val="701A03F2"/>
    <w:rsid w:val="701B6FD8"/>
    <w:rsid w:val="70206DE6"/>
    <w:rsid w:val="7026477F"/>
    <w:rsid w:val="704266E6"/>
    <w:rsid w:val="70584FED"/>
    <w:rsid w:val="706A7B0F"/>
    <w:rsid w:val="7080412D"/>
    <w:rsid w:val="7127456D"/>
    <w:rsid w:val="712914EF"/>
    <w:rsid w:val="71764F8C"/>
    <w:rsid w:val="717C199B"/>
    <w:rsid w:val="71EF2FA5"/>
    <w:rsid w:val="7210341D"/>
    <w:rsid w:val="72C12A96"/>
    <w:rsid w:val="72FE5B2E"/>
    <w:rsid w:val="73624F26"/>
    <w:rsid w:val="736C6888"/>
    <w:rsid w:val="737F4DAF"/>
    <w:rsid w:val="739169DE"/>
    <w:rsid w:val="739B1EBD"/>
    <w:rsid w:val="73AF18CB"/>
    <w:rsid w:val="73B9425D"/>
    <w:rsid w:val="73ED4A58"/>
    <w:rsid w:val="73F12374"/>
    <w:rsid w:val="73F674A1"/>
    <w:rsid w:val="740422B3"/>
    <w:rsid w:val="74796ABE"/>
    <w:rsid w:val="74A87093"/>
    <w:rsid w:val="74C80433"/>
    <w:rsid w:val="74E229B4"/>
    <w:rsid w:val="74E9694C"/>
    <w:rsid w:val="74EC26A7"/>
    <w:rsid w:val="75034CF7"/>
    <w:rsid w:val="75673F89"/>
    <w:rsid w:val="756F302F"/>
    <w:rsid w:val="757946EE"/>
    <w:rsid w:val="75DF32A0"/>
    <w:rsid w:val="75ED010F"/>
    <w:rsid w:val="760A43BF"/>
    <w:rsid w:val="761321E0"/>
    <w:rsid w:val="761450E8"/>
    <w:rsid w:val="764A52E7"/>
    <w:rsid w:val="765D589D"/>
    <w:rsid w:val="76695B00"/>
    <w:rsid w:val="76A133C0"/>
    <w:rsid w:val="76D36025"/>
    <w:rsid w:val="772F2936"/>
    <w:rsid w:val="776B6DA8"/>
    <w:rsid w:val="77703BB9"/>
    <w:rsid w:val="77930FF3"/>
    <w:rsid w:val="77AF6C41"/>
    <w:rsid w:val="77B21E06"/>
    <w:rsid w:val="780F0912"/>
    <w:rsid w:val="784F6AB7"/>
    <w:rsid w:val="78D61CB2"/>
    <w:rsid w:val="78F104FB"/>
    <w:rsid w:val="7905017A"/>
    <w:rsid w:val="79493EB1"/>
    <w:rsid w:val="797C66CF"/>
    <w:rsid w:val="79F13202"/>
    <w:rsid w:val="7A7550A6"/>
    <w:rsid w:val="7AAF3771"/>
    <w:rsid w:val="7AEC001A"/>
    <w:rsid w:val="7B475761"/>
    <w:rsid w:val="7B49298E"/>
    <w:rsid w:val="7B7B57F5"/>
    <w:rsid w:val="7B7D3C44"/>
    <w:rsid w:val="7BE208A5"/>
    <w:rsid w:val="7BE3068E"/>
    <w:rsid w:val="7C150EF5"/>
    <w:rsid w:val="7C3133CB"/>
    <w:rsid w:val="7C465BE7"/>
    <w:rsid w:val="7C665A9A"/>
    <w:rsid w:val="7C6731A8"/>
    <w:rsid w:val="7CAF51D0"/>
    <w:rsid w:val="7CAF6655"/>
    <w:rsid w:val="7D2A73BF"/>
    <w:rsid w:val="7D6E224F"/>
    <w:rsid w:val="7D850A77"/>
    <w:rsid w:val="7D87285F"/>
    <w:rsid w:val="7D9B3B81"/>
    <w:rsid w:val="7DA87B6D"/>
    <w:rsid w:val="7DA957CB"/>
    <w:rsid w:val="7DC82C31"/>
    <w:rsid w:val="7DF35247"/>
    <w:rsid w:val="7DF366F8"/>
    <w:rsid w:val="7E0F7674"/>
    <w:rsid w:val="7E1F6225"/>
    <w:rsid w:val="7E5940F2"/>
    <w:rsid w:val="7E5B35FF"/>
    <w:rsid w:val="7E600F00"/>
    <w:rsid w:val="7E6916D3"/>
    <w:rsid w:val="7EA33491"/>
    <w:rsid w:val="7ECA702B"/>
    <w:rsid w:val="7EF21D44"/>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 w:type="paragraph" w:customStyle="1" w:styleId="287">
    <w:name w:val="Table_head"/>
    <w:basedOn w:val="1"/>
    <w:next w:val="288"/>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宋体"/>
      <w:b/>
      <w:sz w:val="22"/>
    </w:rPr>
  </w:style>
  <w:style w:type="paragraph" w:customStyle="1" w:styleId="288">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2</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cp:lastModifiedBy>
  <cp:lastPrinted>2113-01-01T00:00:00Z</cp:lastPrinted>
  <dcterms:modified xsi:type="dcterms:W3CDTF">2021-10-22T01:14:13Z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