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70F35B18"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4E32A1">
        <w:rPr>
          <w:sz w:val="24"/>
          <w:lang w:eastAsia="zh-CN"/>
        </w:rPr>
        <w:t>6</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C713F7" w:rsidRPr="00C713F7">
        <w:rPr>
          <w:bCs/>
          <w:noProof w:val="0"/>
          <w:sz w:val="24"/>
        </w:rPr>
        <w:t>R</w:t>
      </w:r>
      <w:r w:rsidR="00890401" w:rsidRPr="00890401">
        <w:rPr>
          <w:bCs/>
          <w:noProof w:val="0"/>
          <w:sz w:val="24"/>
        </w:rPr>
        <w:t>2-2109623</w:t>
      </w:r>
    </w:p>
    <w:p w14:paraId="2B60AF3C" w14:textId="3A313350" w:rsidR="00EB410E" w:rsidRDefault="008E4B7D" w:rsidP="00B72B7D">
      <w:pPr>
        <w:pStyle w:val="CRCoverPage"/>
        <w:tabs>
          <w:tab w:val="left" w:pos="8617"/>
        </w:tabs>
        <w:spacing w:after="240"/>
        <w:jc w:val="both"/>
        <w:outlineLvl w:val="0"/>
        <w:rPr>
          <w:b/>
          <w:sz w:val="24"/>
        </w:rPr>
      </w:pPr>
      <w:r w:rsidRPr="008E4B7D">
        <w:rPr>
          <w:b/>
          <w:sz w:val="24"/>
        </w:rPr>
        <w:t>Electronic meeting,</w:t>
      </w:r>
      <w:r w:rsidR="00F57517">
        <w:rPr>
          <w:b/>
          <w:sz w:val="24"/>
        </w:rPr>
        <w:t xml:space="preserve"> </w:t>
      </w:r>
      <w:r w:rsidR="003D5E35">
        <w:rPr>
          <w:b/>
          <w:sz w:val="24"/>
        </w:rPr>
        <w:t>November</w:t>
      </w:r>
      <w:r w:rsidRPr="008E4B7D">
        <w:rPr>
          <w:b/>
          <w:sz w:val="24"/>
        </w:rPr>
        <w:t xml:space="preserve"> 202</w:t>
      </w:r>
      <w:r w:rsidR="00E85FB2">
        <w:rPr>
          <w:b/>
          <w:sz w:val="24"/>
        </w:rPr>
        <w:t>1</w:t>
      </w:r>
      <w:r w:rsidR="00B72B7D">
        <w:rPr>
          <w:b/>
          <w:sz w:val="24"/>
        </w:rPr>
        <w:t xml:space="preserve">                                   </w:t>
      </w:r>
      <w:r w:rsidR="00890401">
        <w:rPr>
          <w:b/>
          <w:sz w:val="24"/>
        </w:rPr>
        <w:t xml:space="preserve"> </w:t>
      </w:r>
      <w:r w:rsidR="00B72B7D">
        <w:rPr>
          <w:b/>
          <w:sz w:val="24"/>
        </w:rPr>
        <w:t xml:space="preserve">(Revision of </w:t>
      </w:r>
      <w:r w:rsidR="00B72B7D" w:rsidRPr="00B72B7D">
        <w:rPr>
          <w:b/>
          <w:sz w:val="24"/>
        </w:rPr>
        <w:t>R2-2107297</w:t>
      </w:r>
      <w:r w:rsidR="00B72B7D">
        <w:rPr>
          <w:b/>
          <w:sz w:val="24"/>
        </w:rPr>
        <w:t>)</w:t>
      </w:r>
    </w:p>
    <w:p w14:paraId="372F5655" w14:textId="6AD77520"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F57517">
        <w:rPr>
          <w:rFonts w:cs="Arial"/>
          <w:bCs/>
          <w:sz w:val="24"/>
          <w:lang w:val="en-US"/>
        </w:rPr>
        <w:t>8.6.5</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382CC82D"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57517" w:rsidRPr="00F57517">
        <w:rPr>
          <w:rFonts w:ascii="Arial" w:hAnsi="Arial" w:cs="Arial"/>
          <w:bCs/>
          <w:sz w:val="24"/>
        </w:rPr>
        <w:t xml:space="preserve">CG-SDT leftover </w:t>
      </w:r>
      <w:r w:rsidR="00274A9F">
        <w:rPr>
          <w:rFonts w:ascii="Arial" w:hAnsi="Arial" w:cs="Arial"/>
          <w:bCs/>
          <w:sz w:val="24"/>
        </w:rPr>
        <w:t>Issues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9039986" w14:textId="4C1BCA56" w:rsidR="00526C75" w:rsidRDefault="002B2C52" w:rsidP="00DE1023">
      <w:pPr>
        <w:spacing w:after="120"/>
        <w:jc w:val="both"/>
        <w:rPr>
          <w:lang w:val="en-GB"/>
        </w:rPr>
      </w:pPr>
      <w:bookmarkStart w:id="1" w:name="_Hlk46842767"/>
      <w:bookmarkStart w:id="2" w:name="Proposal_Pattern_Length"/>
      <w:r>
        <w:rPr>
          <w:lang w:val="en-GB"/>
        </w:rPr>
        <w:t xml:space="preserve">In </w:t>
      </w:r>
      <w:r w:rsidR="00330640">
        <w:rPr>
          <w:lang w:val="en-GB"/>
        </w:rPr>
        <w:t>RAN2</w:t>
      </w:r>
      <w:r>
        <w:rPr>
          <w:lang w:val="en-GB"/>
        </w:rPr>
        <w:t>#11</w:t>
      </w:r>
      <w:r w:rsidR="004E32A1">
        <w:rPr>
          <w:lang w:val="en-GB"/>
        </w:rPr>
        <w:t>5</w:t>
      </w:r>
      <w:r>
        <w:rPr>
          <w:lang w:val="en-GB"/>
        </w:rPr>
        <w:t xml:space="preserve">-e meeting, </w:t>
      </w:r>
      <w:r w:rsidR="004E32A1">
        <w:rPr>
          <w:lang w:val="en-GB"/>
        </w:rPr>
        <w:t>there was extended</w:t>
      </w:r>
      <w:r w:rsidR="00330640">
        <w:rPr>
          <w:lang w:val="en-GB"/>
        </w:rPr>
        <w:t xml:space="preserve"> discuss</w:t>
      </w:r>
      <w:r w:rsidR="004E32A1">
        <w:rPr>
          <w:lang w:val="en-GB"/>
        </w:rPr>
        <w:t>ion on leftover aspects related to CG-SDT operation</w:t>
      </w:r>
      <w:r w:rsidR="00330640">
        <w:rPr>
          <w:lang w:val="en-GB"/>
        </w:rPr>
        <w:t xml:space="preserve"> </w:t>
      </w:r>
      <w:r w:rsidR="00526C75">
        <w:rPr>
          <w:lang w:val="en-GB"/>
        </w:rPr>
        <w:t>and the following agreements</w:t>
      </w:r>
      <w:r>
        <w:rPr>
          <w:lang w:val="en-GB"/>
        </w:rPr>
        <w:t xml:space="preserve"> were mad</w:t>
      </w:r>
      <w:r w:rsidR="004E32A1">
        <w:rPr>
          <w:lang w:val="en-GB"/>
        </w:rPr>
        <w:t>e</w:t>
      </w:r>
      <w:r w:rsidR="00377454">
        <w:rPr>
          <w:lang w:val="en-GB"/>
        </w:rPr>
        <w:t xml:space="preserve"> </w:t>
      </w:r>
      <w:sdt>
        <w:sdtPr>
          <w:rPr>
            <w:lang w:val="en-GB"/>
          </w:rPr>
          <w:id w:val="843524569"/>
          <w:citation/>
        </w:sdtPr>
        <w:sdtEndPr/>
        <w:sdtContent>
          <w:r w:rsidR="00821374">
            <w:rPr>
              <w:lang w:val="en-GB"/>
            </w:rPr>
            <w:fldChar w:fldCharType="begin"/>
          </w:r>
          <w:r w:rsidR="00821374">
            <w:instrText xml:space="preserve"> CITATION RAN2115 \l 1033 </w:instrText>
          </w:r>
          <w:r w:rsidR="00821374">
            <w:rPr>
              <w:lang w:val="en-GB"/>
            </w:rPr>
            <w:fldChar w:fldCharType="separate"/>
          </w:r>
          <w:r w:rsidR="003E55A0" w:rsidRPr="003E55A0">
            <w:rPr>
              <w:noProof/>
            </w:rPr>
            <w:t>[1]</w:t>
          </w:r>
          <w:r w:rsidR="00821374">
            <w:rPr>
              <w:lang w:val="en-GB"/>
            </w:rPr>
            <w:fldChar w:fldCharType="end"/>
          </w:r>
        </w:sdtContent>
      </w:sdt>
      <w:r w:rsidR="00526C75">
        <w:rPr>
          <w:lang w:val="en-GB"/>
        </w:rPr>
        <w:t>:</w:t>
      </w:r>
    </w:p>
    <w:tbl>
      <w:tblPr>
        <w:tblW w:w="945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3"/>
      </w:tblGrid>
      <w:tr w:rsidR="00F57517" w14:paraId="1399D5AA" w14:textId="77777777" w:rsidTr="00F57517">
        <w:trPr>
          <w:trHeight w:val="3100"/>
        </w:trPr>
        <w:tc>
          <w:tcPr>
            <w:tcW w:w="9453" w:type="dxa"/>
          </w:tcPr>
          <w:p w14:paraId="2F3013B8" w14:textId="77777777" w:rsidR="004E32A1" w:rsidRPr="00E069F9" w:rsidRDefault="004E32A1" w:rsidP="004E32A1">
            <w:pPr>
              <w:pStyle w:val="Doc-text2"/>
              <w:ind w:left="363"/>
              <w:rPr>
                <w:b/>
                <w:bCs/>
              </w:rPr>
            </w:pPr>
            <w:r w:rsidRPr="00E069F9">
              <w:rPr>
                <w:b/>
                <w:bCs/>
              </w:rPr>
              <w:t>Agreements</w:t>
            </w:r>
          </w:p>
          <w:p w14:paraId="62714478" w14:textId="77777777" w:rsidR="004E32A1" w:rsidRDefault="004E32A1" w:rsidP="004E32A1">
            <w:pPr>
              <w:pStyle w:val="Doc-text2"/>
              <w:ind w:left="363"/>
            </w:pPr>
            <w:r>
              <w:t>1.</w:t>
            </w:r>
            <w:r>
              <w:tab/>
              <w:t>If none of the SSBs’ RSRP is above the RSRP threshold of CG-SDT criteria in the type selection phase, UE should select RA-SDT if RA-SDT criteria is met</w:t>
            </w:r>
          </w:p>
          <w:p w14:paraId="2E5CAC80" w14:textId="77777777" w:rsidR="004E32A1" w:rsidRDefault="004E32A1" w:rsidP="004E32A1">
            <w:pPr>
              <w:pStyle w:val="Doc-text2"/>
              <w:ind w:left="363"/>
            </w:pPr>
            <w:r>
              <w:t>2.</w:t>
            </w:r>
            <w:r>
              <w:tab/>
              <w:t>MAC PDU rebuilding is not required (unless we find a case that is needed)</w:t>
            </w:r>
          </w:p>
          <w:p w14:paraId="34527C79" w14:textId="77777777" w:rsidR="004E32A1" w:rsidRDefault="004E32A1" w:rsidP="004E32A1">
            <w:pPr>
              <w:pStyle w:val="Doc-text2"/>
              <w:ind w:left="363"/>
            </w:pPr>
            <w:r>
              <w:t>3.</w:t>
            </w:r>
            <w: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5B7DFCDB" w14:textId="77777777" w:rsidR="004E32A1" w:rsidRDefault="004E32A1" w:rsidP="004E32A1">
            <w:pPr>
              <w:pStyle w:val="Doc-text2"/>
              <w:ind w:left="726"/>
            </w:pPr>
            <w:r>
              <w:t>a.</w:t>
            </w:r>
            <w:r>
              <w:tab/>
              <w:t>At least the following conditions are agreed: (1) no qualified SSB when the evaluation is performed; (2) when TA is invalid; (3) when SR is triggered due to lack of UL resource</w:t>
            </w:r>
          </w:p>
          <w:p w14:paraId="0B5A41AB" w14:textId="77777777" w:rsidR="004E32A1" w:rsidRDefault="004E32A1" w:rsidP="004E32A1">
            <w:pPr>
              <w:pStyle w:val="Doc-text2"/>
              <w:ind w:left="363"/>
            </w:pPr>
            <w:r>
              <w:t>4.</w:t>
            </w:r>
            <w:r>
              <w:tab/>
              <w:t>UE should release CG-SDT resource (if stored) when UE initiates RRC resume procedure from another cell which is different from the cell in which the RRCRelease is received.</w:t>
            </w:r>
          </w:p>
          <w:p w14:paraId="2095E403" w14:textId="77777777" w:rsidR="004E32A1" w:rsidRDefault="004E32A1" w:rsidP="004E32A1">
            <w:pPr>
              <w:pStyle w:val="Doc-text2"/>
              <w:ind w:left="363"/>
            </w:pPr>
            <w:r>
              <w:t>5.</w:t>
            </w:r>
            <w:r>
              <w:tab/>
              <w:t xml:space="preserve">The C-RNTI previously configured in RRC_CONNECTED state is used for UE to monitor PDCCH in CG-SDT.  </w:t>
            </w:r>
          </w:p>
          <w:p w14:paraId="315904FB" w14:textId="77777777" w:rsidR="004E32A1" w:rsidRDefault="004E32A1" w:rsidP="004E32A1">
            <w:pPr>
              <w:pStyle w:val="Doc-text2"/>
              <w:ind w:left="363"/>
            </w:pPr>
            <w:r>
              <w:t>6.</w:t>
            </w:r>
            <w:r>
              <w:tab/>
              <w:t>CS-RNTI based dynamic retransmission mechanism can be reused for CG-SDT.  FFS whether CS-RNTI is the same one as the one previously configured in RRC_CONNECTED or a new CS-RNTI one is provided to the UE</w:t>
            </w:r>
          </w:p>
          <w:p w14:paraId="3F20EC5F" w14:textId="77777777" w:rsidR="004E32A1" w:rsidRDefault="004E32A1" w:rsidP="004E32A1">
            <w:pPr>
              <w:pStyle w:val="Doc-text2"/>
              <w:ind w:left="363"/>
            </w:pPr>
            <w:r>
              <w:t>7.</w:t>
            </w:r>
            <w:r>
              <w:tab/>
              <w:t>During the subsequent new CG transmission phase, for the purpose of CG resource selection, UE re-evaluates the SSB for subsequent CG transmission.  FFS what happens if no SSBs are valid or if no sample is available</w:t>
            </w:r>
          </w:p>
          <w:p w14:paraId="6D18D485" w14:textId="77777777" w:rsidR="004E32A1" w:rsidRDefault="004E32A1" w:rsidP="004E32A1">
            <w:pPr>
              <w:pStyle w:val="Doc-text2"/>
              <w:ind w:left="363"/>
            </w:pPr>
            <w:r>
              <w:t>8.</w:t>
            </w:r>
            <w:r>
              <w:tab/>
              <w:t>From RAN2 perspective, at least the following parameters should be included in the CG-SDT configuration. FFS whether these parameters are common for multiple CG-SDT configurations or per CG-SDT configuration.</w:t>
            </w:r>
          </w:p>
          <w:p w14:paraId="6C9DF49D" w14:textId="77777777" w:rsidR="004E32A1" w:rsidRDefault="004E32A1" w:rsidP="004E32A1">
            <w:pPr>
              <w:pStyle w:val="Doc-text2"/>
              <w:numPr>
                <w:ilvl w:val="0"/>
                <w:numId w:val="24"/>
              </w:numPr>
              <w:overflowPunct/>
              <w:autoSpaceDE/>
              <w:autoSpaceDN/>
              <w:adjustRightInd/>
              <w:textAlignment w:val="auto"/>
            </w:pPr>
            <w:r>
              <w:t>The new TA timer in RRC_INACTIVE;</w:t>
            </w:r>
          </w:p>
          <w:p w14:paraId="02BE2672" w14:textId="77777777" w:rsidR="004E32A1" w:rsidRDefault="004E32A1" w:rsidP="004E32A1">
            <w:pPr>
              <w:pStyle w:val="Doc-text2"/>
              <w:numPr>
                <w:ilvl w:val="0"/>
                <w:numId w:val="24"/>
              </w:numPr>
              <w:overflowPunct/>
              <w:autoSpaceDE/>
              <w:autoSpaceDN/>
              <w:adjustRightInd/>
              <w:textAlignment w:val="auto"/>
            </w:pPr>
            <w:r>
              <w:t>The RSRP change threshold for TA validation mechanism in SDT (details dependent on RAN1);</w:t>
            </w:r>
          </w:p>
          <w:p w14:paraId="371AA0DB" w14:textId="53D59D2F" w:rsidR="00F57517" w:rsidRDefault="004E32A1" w:rsidP="004E32A1">
            <w:pPr>
              <w:pStyle w:val="Doc-text2"/>
              <w:ind w:left="572"/>
              <w:rPr>
                <w:b/>
                <w:bCs/>
              </w:rPr>
            </w:pPr>
            <w:r>
              <w:t>The SSB RSRP threshold for beam selection (i.e. UE selects the beam and associated CG resource for data transmission).</w:t>
            </w:r>
          </w:p>
        </w:tc>
      </w:tr>
    </w:tbl>
    <w:p w14:paraId="1C3A053C" w14:textId="77777777" w:rsidR="002B2C52" w:rsidRDefault="002B2C52" w:rsidP="00DE1023">
      <w:pPr>
        <w:spacing w:after="120"/>
        <w:jc w:val="both"/>
        <w:rPr>
          <w:lang w:val="en-GB"/>
        </w:rPr>
      </w:pPr>
    </w:p>
    <w:p w14:paraId="51976976" w14:textId="524DD0A5" w:rsidR="00F57517" w:rsidRPr="00890401" w:rsidRDefault="00C041C1" w:rsidP="00F36FF5">
      <w:pPr>
        <w:spacing w:after="120"/>
        <w:jc w:val="both"/>
      </w:pPr>
      <w:r>
        <w:rPr>
          <w:lang w:val="en-GB"/>
        </w:rPr>
        <w:t xml:space="preserve">This contribution </w:t>
      </w:r>
      <w:r w:rsidR="00F05616">
        <w:rPr>
          <w:lang w:val="en-GB"/>
        </w:rPr>
        <w:t>f</w:t>
      </w:r>
      <w:r w:rsidR="002B2C52">
        <w:rPr>
          <w:lang w:val="en-GB"/>
        </w:rPr>
        <w:t>urther discusses unresolved aspects related to the usage of configured grant for SDT</w:t>
      </w:r>
      <w:r w:rsidR="00051996">
        <w:rPr>
          <w:lang w:val="en-GB"/>
        </w:rPr>
        <w:t xml:space="preserve"> aiming to add further details or topic with the ones addressed in related email discussion </w:t>
      </w:r>
      <w:sdt>
        <w:sdtPr>
          <w:rPr>
            <w:lang w:val="en-GB"/>
          </w:rPr>
          <w:id w:val="299427624"/>
          <w:citation/>
        </w:sdtPr>
        <w:sdtEndPr/>
        <w:sdtContent>
          <w:r w:rsidR="00821374">
            <w:rPr>
              <w:lang w:val="en-GB"/>
            </w:rPr>
            <w:fldChar w:fldCharType="begin"/>
          </w:r>
          <w:r w:rsidR="00821374">
            <w:instrText xml:space="preserve"> CITATION emaildisc509 \l 1033 </w:instrText>
          </w:r>
          <w:r w:rsidR="00821374">
            <w:rPr>
              <w:lang w:val="en-GB"/>
            </w:rPr>
            <w:fldChar w:fldCharType="separate"/>
          </w:r>
          <w:r w:rsidR="003E55A0" w:rsidRPr="003E55A0">
            <w:rPr>
              <w:noProof/>
            </w:rPr>
            <w:t>[2]</w:t>
          </w:r>
          <w:r w:rsidR="00821374">
            <w:rPr>
              <w:lang w:val="en-GB"/>
            </w:rPr>
            <w:fldChar w:fldCharType="end"/>
          </w:r>
        </w:sdtContent>
      </w:sdt>
      <w:r w:rsidR="00D439BB">
        <w:t>.</w:t>
      </w:r>
    </w:p>
    <w:bookmarkEnd w:id="1"/>
    <w:p w14:paraId="5FA6A28D" w14:textId="596C2FB7" w:rsidR="00AC236D" w:rsidRDefault="006A59DF" w:rsidP="00AC236D">
      <w:pPr>
        <w:pStyle w:val="Heading1"/>
        <w:numPr>
          <w:ilvl w:val="0"/>
          <w:numId w:val="2"/>
        </w:numPr>
        <w:jc w:val="both"/>
      </w:pPr>
      <w:r>
        <w:t>Discussion</w:t>
      </w:r>
    </w:p>
    <w:p w14:paraId="25FB08BA" w14:textId="288EDCA3" w:rsidR="00B105D3" w:rsidRPr="00B105D3" w:rsidRDefault="00095C31" w:rsidP="00DE1023">
      <w:pPr>
        <w:pStyle w:val="Heading2"/>
        <w:jc w:val="both"/>
      </w:pPr>
      <w:r>
        <w:t>RSRP criterion for SSB selection</w:t>
      </w:r>
    </w:p>
    <w:p w14:paraId="63C9F177" w14:textId="7C576BDC" w:rsidR="00095C31" w:rsidRDefault="00095C31" w:rsidP="00095C31">
      <w:pPr>
        <w:jc w:val="both"/>
      </w:pPr>
      <w:r>
        <w:t xml:space="preserve">In the last RAN2 meeting, it was agreed that </w:t>
      </w:r>
      <w:r w:rsidR="00D41177">
        <w:t xml:space="preserve">unlike the case of RACH, if the UE performing CG-SDT cannot find a SSB with RSRP above the configured threshold for selection of CG resources, UE should select RA-SDT if RA-SDT criteria is met. Moreover, it was also agreed that for the subsequent CG transmissions, the UE re-evaluates the SSB </w:t>
      </w:r>
      <w:r w:rsidR="00D41177">
        <w:lastRenderedPageBreak/>
        <w:t>for subsequent CG transmissions, but it is still FFS what happens if no SSBs are considered valid or if the UE is unable to obtain the (filtered) RSRP measurement. In our view, the main reason this FFS was raised was because of concern fr</w:t>
      </w:r>
      <w:r w:rsidR="0085412E">
        <w:t>o</w:t>
      </w:r>
      <w:r w:rsidR="00D41177">
        <w:t>m some companies that the UE may not be able to obtain the SSB RSRP measurement for consecutive CG transmissions. However, the same principle is applicable for non-SDT RACH procedure where the UE shall evaluate SSB RSRP for RA resource selection. Thus, given that the underlying principle for RSRP measurement for SSB to select associated resources is the same</w:t>
      </w:r>
      <w:r w:rsidR="0009342F">
        <w:t xml:space="preserve">, we think the same behavior as in the case RA-SDT can be applied, i.e. UE selects any SSB if there is no qualified SSB for CG-SDT. </w:t>
      </w:r>
      <w:r w:rsidR="00D41177">
        <w:t>Therefore, in this case, we may not need to define any additional behavior for the case of CG-SDT.</w:t>
      </w:r>
    </w:p>
    <w:p w14:paraId="25BF261C" w14:textId="1DA7A809" w:rsidR="00B52D59" w:rsidRPr="00BA1FC2" w:rsidRDefault="00B52D59" w:rsidP="00B52D59">
      <w:pPr>
        <w:ind w:left="1350" w:hanging="1350"/>
        <w:jc w:val="both"/>
        <w:rPr>
          <w:rFonts w:eastAsia="Times New Roman"/>
          <w:b/>
          <w:bCs/>
          <w:i/>
          <w:iCs/>
          <w:lang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0009342F">
        <w:rPr>
          <w:rFonts w:eastAsia="Times New Roman"/>
          <w:b/>
          <w:bCs/>
          <w:lang w:eastAsia="zh-CN"/>
        </w:rPr>
        <w:t>F</w:t>
      </w:r>
      <w:r w:rsidR="00D41177">
        <w:rPr>
          <w:rFonts w:eastAsia="Times New Roman"/>
          <w:b/>
          <w:bCs/>
          <w:lang w:eastAsia="zh-CN"/>
        </w:rPr>
        <w:t>or the case when the UE has to re-evaluate the SSBs for subsequent CG transmission</w:t>
      </w:r>
      <w:r w:rsidR="0009342F">
        <w:rPr>
          <w:rFonts w:eastAsia="Times New Roman"/>
          <w:b/>
          <w:bCs/>
          <w:lang w:eastAsia="zh-CN"/>
        </w:rPr>
        <w:t>s, in case no qualified SSB can be selected for selection of associated CG resources, the UE selects any SSB (as in the case of legacy RA and RA-SDT).</w:t>
      </w:r>
    </w:p>
    <w:p w14:paraId="4537E668" w14:textId="4F293D45" w:rsidR="008D33CD" w:rsidRDefault="008D33CD" w:rsidP="003C6C96">
      <w:pPr>
        <w:jc w:val="both"/>
      </w:pPr>
    </w:p>
    <w:p w14:paraId="49060956" w14:textId="43E61858" w:rsidR="00FA7F36" w:rsidRDefault="00FA7F36" w:rsidP="00FA7F36">
      <w:pPr>
        <w:pStyle w:val="Heading2"/>
      </w:pPr>
      <w:r>
        <w:t>RA-SDT RA resource usage</w:t>
      </w:r>
    </w:p>
    <w:p w14:paraId="42FAD349" w14:textId="15664CB7" w:rsidR="00FA7F36" w:rsidRDefault="00FA7F36" w:rsidP="00FA7F36">
      <w:pPr>
        <w:rPr>
          <w:lang w:val="en-GB" w:eastAsia="x-none"/>
        </w:rPr>
      </w:pPr>
      <w:r>
        <w:rPr>
          <w:lang w:val="en-GB" w:eastAsia="x-none"/>
        </w:rPr>
        <w:t xml:space="preserve">In the post-meeting email discussion </w:t>
      </w:r>
      <w:sdt>
        <w:sdtPr>
          <w:rPr>
            <w:lang w:val="en-GB" w:eastAsia="x-none"/>
          </w:rPr>
          <w:id w:val="-1634018332"/>
          <w:citation/>
        </w:sdtPr>
        <w:sdtEndPr/>
        <w:sdtContent>
          <w:r w:rsidR="00821374">
            <w:rPr>
              <w:lang w:val="en-GB" w:eastAsia="x-none"/>
            </w:rPr>
            <w:fldChar w:fldCharType="begin"/>
          </w:r>
          <w:r w:rsidR="00821374">
            <w:rPr>
              <w:lang w:eastAsia="x-none"/>
            </w:rPr>
            <w:instrText xml:space="preserve"> CITATION emaildisc509 \l 1033 </w:instrText>
          </w:r>
          <w:r w:rsidR="00821374">
            <w:rPr>
              <w:lang w:val="en-GB" w:eastAsia="x-none"/>
            </w:rPr>
            <w:fldChar w:fldCharType="separate"/>
          </w:r>
          <w:r w:rsidR="003E55A0" w:rsidRPr="003E55A0">
            <w:rPr>
              <w:noProof/>
              <w:lang w:eastAsia="x-none"/>
            </w:rPr>
            <w:t>[2]</w:t>
          </w:r>
          <w:r w:rsidR="00821374">
            <w:rPr>
              <w:lang w:val="en-GB" w:eastAsia="x-none"/>
            </w:rPr>
            <w:fldChar w:fldCharType="end"/>
          </w:r>
        </w:sdtContent>
      </w:sdt>
      <w:r>
        <w:rPr>
          <w:lang w:val="en-GB" w:eastAsia="x-none"/>
        </w:rPr>
        <w:t xml:space="preserve">, it was </w:t>
      </w:r>
      <w:r w:rsidR="00A03BAC">
        <w:rPr>
          <w:lang w:val="en-GB" w:eastAsia="x-none"/>
        </w:rPr>
        <w:t xml:space="preserve">discussed whether the UE can use the resources configured for RA-SDT in the subsequent data transmission phase when using CG-SDT. While it was agreed that the UE can initiate legacy RACH procedure during an ongoing CG-SDT procedure, the question is whether the UE can use the resources configured for RA-SDT for subsequent transmissions. From our perspective, there is a clear distinction between the RA-SDT and CG-SDT procedure, at least in terms of the SSB-to-RA/CG resource mapping for UL transmissions. Allowing the UE to switch to using RA-SDT resources for subsequent CG-SDT transmissions would require additional handling because of different resource mapping and power control as well as different fallback procedures in case SSB RSRP criteria is not met. In addition, the main use case outlined by companies during the discussion to support this </w:t>
      </w:r>
      <w:r w:rsidR="00A93C86">
        <w:rPr>
          <w:lang w:val="en-GB" w:eastAsia="x-none"/>
        </w:rPr>
        <w:t>behaviour</w:t>
      </w:r>
      <w:r w:rsidR="00A03BAC">
        <w:rPr>
          <w:lang w:val="en-GB" w:eastAsia="x-none"/>
        </w:rPr>
        <w:t xml:space="preserve"> was for the case of</w:t>
      </w:r>
      <w:r w:rsidR="00A93C86">
        <w:rPr>
          <w:lang w:val="en-GB" w:eastAsia="x-none"/>
        </w:rPr>
        <w:t xml:space="preserve"> triggering</w:t>
      </w:r>
      <w:r w:rsidR="00A03BAC">
        <w:rPr>
          <w:lang w:val="en-GB" w:eastAsia="x-none"/>
        </w:rPr>
        <w:t xml:space="preserve"> SR, but it is worth noting that the NW can anyway configure legacy RACH resources for SR. Therefore, there seems little motivation to allow this inter-mixing of different resource usage with limited gain and substantial design complexity. Therefore, we proposed to not support this enhancement </w:t>
      </w:r>
      <w:r w:rsidR="00F647D4">
        <w:rPr>
          <w:lang w:val="en-GB" w:eastAsia="x-none"/>
        </w:rPr>
        <w:t xml:space="preserve">for either RA-SDT or CG-SDT </w:t>
      </w:r>
      <w:r w:rsidR="00A03BAC">
        <w:rPr>
          <w:lang w:val="en-GB" w:eastAsia="x-none"/>
        </w:rPr>
        <w:t>and just removing the FFS.</w:t>
      </w:r>
    </w:p>
    <w:p w14:paraId="3C72D80E" w14:textId="1022DBF1" w:rsidR="00A03BAC" w:rsidRPr="00A04A8E" w:rsidRDefault="007967F3" w:rsidP="00A04A8E">
      <w:pPr>
        <w:ind w:left="1350" w:hanging="1350"/>
        <w:jc w:val="both"/>
        <w:rPr>
          <w:rFonts w:eastAsia="Times New Roman"/>
          <w:b/>
          <w:bCs/>
          <w:i/>
          <w:iCs/>
          <w:lang w:eastAsia="zh-CN"/>
        </w:rPr>
      </w:pPr>
      <w:r>
        <w:rPr>
          <w:rFonts w:eastAsia="Times New Roman"/>
          <w:b/>
          <w:bCs/>
          <w:u w:val="single"/>
          <w:lang w:val="en-GB" w:eastAsia="zh-CN"/>
        </w:rPr>
        <w:t>Proposal 2</w:t>
      </w:r>
      <w:r w:rsidRPr="0085532A">
        <w:rPr>
          <w:rFonts w:eastAsia="Times New Roman"/>
          <w:b/>
          <w:bCs/>
          <w:u w:val="single"/>
          <w:lang w:val="en-GB" w:eastAsia="zh-CN"/>
        </w:rPr>
        <w:t>:</w:t>
      </w:r>
      <w:r>
        <w:tab/>
      </w:r>
      <w:r w:rsidR="00FD60E0" w:rsidRPr="00A04A8E">
        <w:rPr>
          <w:rFonts w:eastAsia="Times New Roman"/>
          <w:b/>
          <w:lang w:eastAsia="zh-CN"/>
        </w:rPr>
        <w:t>UE should not be allowed to use RA resources allocated for RA-SDT</w:t>
      </w:r>
      <w:r w:rsidR="7283A656" w:rsidRPr="00A04A8E">
        <w:rPr>
          <w:rFonts w:eastAsia="Times New Roman"/>
          <w:b/>
          <w:bCs/>
          <w:lang w:eastAsia="zh-CN"/>
        </w:rPr>
        <w:t xml:space="preserve"> during </w:t>
      </w:r>
      <w:r w:rsidR="00C8299E" w:rsidRPr="00A04A8E">
        <w:rPr>
          <w:rFonts w:eastAsia="Times New Roman"/>
          <w:b/>
          <w:bCs/>
          <w:lang w:eastAsia="zh-CN"/>
        </w:rPr>
        <w:t>an</w:t>
      </w:r>
      <w:r w:rsidR="7283A656" w:rsidRPr="00A04A8E">
        <w:rPr>
          <w:rFonts w:eastAsia="Times New Roman"/>
          <w:b/>
          <w:bCs/>
          <w:lang w:eastAsia="zh-CN"/>
        </w:rPr>
        <w:t xml:space="preserve"> ongoing SDT </w:t>
      </w:r>
      <w:r w:rsidR="006075B3" w:rsidRPr="00A04A8E">
        <w:rPr>
          <w:rFonts w:eastAsia="Times New Roman"/>
          <w:b/>
          <w:bCs/>
          <w:lang w:eastAsia="zh-CN"/>
        </w:rPr>
        <w:t>procedure</w:t>
      </w:r>
      <w:r w:rsidR="00FD60E0" w:rsidRPr="00A04A8E">
        <w:rPr>
          <w:rFonts w:eastAsia="Times New Roman"/>
          <w:b/>
          <w:lang w:eastAsia="zh-CN"/>
        </w:rPr>
        <w:t xml:space="preserve">, </w:t>
      </w:r>
      <w:r w:rsidR="00FD60E0" w:rsidRPr="00A04A8E">
        <w:rPr>
          <w:rFonts w:eastAsia="Times New Roman"/>
          <w:b/>
          <w:bCs/>
          <w:lang w:eastAsia="zh-CN"/>
        </w:rPr>
        <w:t>irrespective</w:t>
      </w:r>
      <w:r w:rsidR="00FD60E0" w:rsidRPr="00FD60E0">
        <w:rPr>
          <w:rFonts w:eastAsia="Times New Roman"/>
          <w:b/>
          <w:bCs/>
          <w:lang w:eastAsia="zh-CN"/>
        </w:rPr>
        <w:t xml:space="preserve"> of whether the</w:t>
      </w:r>
      <w:r w:rsidR="007E3DAE">
        <w:rPr>
          <w:rFonts w:eastAsia="Times New Roman"/>
          <w:b/>
          <w:bCs/>
          <w:lang w:eastAsia="zh-CN"/>
        </w:rPr>
        <w:t xml:space="preserve"> ongoing SDT procedure was</w:t>
      </w:r>
      <w:r w:rsidR="00FD60E0" w:rsidRPr="00FD60E0">
        <w:rPr>
          <w:rFonts w:eastAsia="Times New Roman"/>
          <w:b/>
          <w:bCs/>
          <w:lang w:eastAsia="zh-CN"/>
        </w:rPr>
        <w:t xml:space="preserve"> initia</w:t>
      </w:r>
      <w:r w:rsidR="007E3DAE">
        <w:rPr>
          <w:rFonts w:eastAsia="Times New Roman"/>
          <w:b/>
          <w:bCs/>
          <w:lang w:eastAsia="zh-CN"/>
        </w:rPr>
        <w:t>ted</w:t>
      </w:r>
      <w:r w:rsidR="00FD60E0" w:rsidRPr="00FD60E0">
        <w:rPr>
          <w:rFonts w:eastAsia="Times New Roman"/>
          <w:b/>
          <w:bCs/>
          <w:lang w:eastAsia="zh-CN"/>
        </w:rPr>
        <w:t xml:space="preserve"> using RA or CG</w:t>
      </w:r>
      <w:r w:rsidR="001C2BB1">
        <w:rPr>
          <w:rFonts w:eastAsia="Times New Roman"/>
          <w:b/>
          <w:bCs/>
          <w:lang w:eastAsia="zh-CN"/>
        </w:rPr>
        <w:t xml:space="preserve"> resources</w:t>
      </w:r>
      <w:r w:rsidR="00FD60E0">
        <w:rPr>
          <w:rFonts w:eastAsia="Times New Roman"/>
          <w:b/>
          <w:bCs/>
          <w:lang w:eastAsia="zh-CN"/>
        </w:rPr>
        <w:t>.</w:t>
      </w:r>
    </w:p>
    <w:p w14:paraId="0EEC3E1C" w14:textId="77777777" w:rsidR="00FA7F36" w:rsidRDefault="00FA7F36" w:rsidP="00BA1FC2"/>
    <w:p w14:paraId="18176189" w14:textId="0E25A183" w:rsidR="00FA7F36" w:rsidRPr="00EB40CC" w:rsidRDefault="00FA7F36" w:rsidP="00FA7F36">
      <w:pPr>
        <w:pStyle w:val="Heading2"/>
      </w:pPr>
      <w:r>
        <w:t>PDCCH monitoring after CG transmission</w:t>
      </w:r>
    </w:p>
    <w:p w14:paraId="60B1E007" w14:textId="43D5F1AC" w:rsidR="00BA1FC2" w:rsidRDefault="00BA1FC2" w:rsidP="00BA1FC2">
      <w:r>
        <w:t>One key issue that needs further discussion is on the window/timer which was agreed to be started by the UE after an UL CG-SDT transmission, using either CG or DG</w:t>
      </w:r>
      <w:r w:rsidR="00C7239A">
        <w:t>.</w:t>
      </w:r>
      <w:r>
        <w:t xml:space="preserve"> It is an open question whether a new or existing timer is used, how it operates and the UE behavior when it expires, etc. </w:t>
      </w:r>
      <w:r w:rsidR="007967F3">
        <w:t xml:space="preserve">While there was a proposal submitted </w:t>
      </w:r>
      <w:r w:rsidR="00821374">
        <w:t>as part of email discussion on CG related aspects</w:t>
      </w:r>
      <w:r w:rsidR="007967F3">
        <w:t xml:space="preserve"> during RAN2#115 e-meeting, there was no agreement made in this regard. In the following discussion, we seek to elaborate on some of the fundamental assumptions to be made regarding this timer</w:t>
      </w:r>
      <w:r>
        <w:t>:</w:t>
      </w:r>
    </w:p>
    <w:p w14:paraId="6BC65C52" w14:textId="47C3C481" w:rsidR="00BA1FC2" w:rsidRPr="00BB3A0E" w:rsidRDefault="00BA1FC2" w:rsidP="00BA1FC2">
      <w:pPr>
        <w:pStyle w:val="ListParagraph"/>
        <w:numPr>
          <w:ilvl w:val="0"/>
          <w:numId w:val="15"/>
        </w:numPr>
      </w:pPr>
      <w:r w:rsidRPr="00BB3A0E">
        <w:t>The UE starts/restarts the timer/window after each UL CG-SDT transmission</w:t>
      </w:r>
      <w:r w:rsidR="00556959" w:rsidRPr="00BB3A0E">
        <w:t xml:space="preserve"> (</w:t>
      </w:r>
      <w:r w:rsidRPr="00BB3A0E">
        <w:t>either CG or DG</w:t>
      </w:r>
      <w:r w:rsidR="00556959" w:rsidRPr="00BB3A0E">
        <w:t>) or reception.</w:t>
      </w:r>
    </w:p>
    <w:p w14:paraId="05247073" w14:textId="13784A64" w:rsidR="00612643" w:rsidRPr="00BB3A0E" w:rsidRDefault="00612643" w:rsidP="00BA1FC2">
      <w:pPr>
        <w:pStyle w:val="ListParagraph"/>
        <w:numPr>
          <w:ilvl w:val="0"/>
          <w:numId w:val="15"/>
        </w:numPr>
      </w:pPr>
      <w:r w:rsidRPr="00BB3A0E">
        <w:t>The UE stops the timer when SDT session successfully</w:t>
      </w:r>
      <w:r w:rsidR="00754712" w:rsidRPr="00BB3A0E">
        <w:t xml:space="preserve"> terminates (e.g. reception of </w:t>
      </w:r>
      <w:r w:rsidR="00754712" w:rsidRPr="00603AE4">
        <w:rPr>
          <w:i/>
          <w:iCs/>
        </w:rPr>
        <w:t>RRCRelease</w:t>
      </w:r>
      <w:r w:rsidR="00754712" w:rsidRPr="00BB3A0E">
        <w:t xml:space="preserve"> msg).</w:t>
      </w:r>
    </w:p>
    <w:p w14:paraId="0844E6DC" w14:textId="0AC9CB15" w:rsidR="00BA1FC2" w:rsidRDefault="00BA1FC2" w:rsidP="00BA1FC2">
      <w:pPr>
        <w:pStyle w:val="ListParagraph"/>
        <w:numPr>
          <w:ilvl w:val="0"/>
          <w:numId w:val="15"/>
        </w:numPr>
      </w:pPr>
      <w:r>
        <w:t>O</w:t>
      </w:r>
      <w:r w:rsidR="00194BDC">
        <w:t>nce</w:t>
      </w:r>
      <w:r>
        <w:t xml:space="preserve"> the timer expires, </w:t>
      </w:r>
      <w:r w:rsidR="00194BDC">
        <w:t xml:space="preserve">SDT session is considered terminated, </w:t>
      </w:r>
      <w:r>
        <w:t xml:space="preserve">in which case UE behavior needs to be </w:t>
      </w:r>
      <w:r w:rsidR="00580BB9">
        <w:t>described</w:t>
      </w:r>
    </w:p>
    <w:p w14:paraId="12195C3D" w14:textId="0311190F" w:rsidR="00580BB9" w:rsidRDefault="00FE72AA" w:rsidP="00580BB9">
      <w:r>
        <w:t>Before going into more details, we think it is worthwhile to highlight two distinct scenarios regarding the UE operation. Specifically, the timer/window used for PDCCH monitoring after CG/DG transmission also depends on whether the UE has received some acknowledgement from the NW for the first UL CG</w:t>
      </w:r>
      <w:r w:rsidR="003F223F">
        <w:t>-SDT</w:t>
      </w:r>
      <w:r>
        <w:t xml:space="preserve"> message or not. In our understanding, in case the UE has not yet received any acknowledgement</w:t>
      </w:r>
      <w:r w:rsidR="003F223F">
        <w:t xml:space="preserve"> of that first UL CG-SDT message</w:t>
      </w:r>
      <w:r>
        <w:t xml:space="preserve">, the CG-SDT session has not formally </w:t>
      </w:r>
      <w:r w:rsidR="003F223F">
        <w:t xml:space="preserve">successfully </w:t>
      </w:r>
      <w:r>
        <w:t>begun since it is possible that the network has not received any UL transmission from the</w:t>
      </w:r>
      <w:r w:rsidR="001963A6">
        <w:t xml:space="preserve"> given</w:t>
      </w:r>
      <w:r>
        <w:t xml:space="preserve"> UE. On the other hand, if the UE has already received some acknowledgement from the network for previously transmitted UL CG-SDT, the SDT session can be considered as ongoing and switching to </w:t>
      </w:r>
      <w:r>
        <w:lastRenderedPageBreak/>
        <w:t>RA-SDT can only happen if the UE detects CG-SDT failure</w:t>
      </w:r>
      <w:r w:rsidR="00194BDC">
        <w:t>, i.e. as part of a new SDT session</w:t>
      </w:r>
      <w:r>
        <w:t>.</w:t>
      </w:r>
      <w:r w:rsidR="00580BB9">
        <w:t xml:space="preserve"> </w:t>
      </w:r>
      <w:r>
        <w:t xml:space="preserve">Therefore, </w:t>
      </w:r>
      <w:r w:rsidR="004941C6">
        <w:t>it is clear that</w:t>
      </w:r>
      <w:r w:rsidR="002704DA">
        <w:t xml:space="preserve"> the </w:t>
      </w:r>
      <w:r>
        <w:t xml:space="preserve">PDCCH monitoring timer in this case </w:t>
      </w:r>
      <w:r w:rsidR="00480AE7">
        <w:t>behaves</w:t>
      </w:r>
      <w:r>
        <w:t xml:space="preserve"> very similar to the already agreed T319</w:t>
      </w:r>
      <w:r w:rsidR="00480AE7">
        <w:t>’</w:t>
      </w:r>
      <w:r>
        <w:t xml:space="preserve"> timer for SDT failure detection. Specifically, the </w:t>
      </w:r>
      <w:r w:rsidR="002704DA">
        <w:t>UE behavior for 3) should be similar between the RA and CG case, i.e. common SDT failure handling</w:t>
      </w:r>
      <w:r>
        <w:t xml:space="preserve"> as we discuss in </w:t>
      </w:r>
      <w:sdt>
        <w:sdtPr>
          <w:id w:val="407052312"/>
          <w:citation/>
        </w:sdtPr>
        <w:sdtEndPr/>
        <w:sdtContent>
          <w:r w:rsidR="003E55A0">
            <w:fldChar w:fldCharType="begin"/>
          </w:r>
          <w:r w:rsidR="003E55A0">
            <w:instrText xml:space="preserve"> CITATION IntelCP \l 1033 </w:instrText>
          </w:r>
          <w:r w:rsidR="003E55A0">
            <w:fldChar w:fldCharType="separate"/>
          </w:r>
          <w:r w:rsidR="003E55A0" w:rsidRPr="003E55A0">
            <w:rPr>
              <w:noProof/>
            </w:rPr>
            <w:t>[3]</w:t>
          </w:r>
          <w:r w:rsidR="003E55A0">
            <w:fldChar w:fldCharType="end"/>
          </w:r>
        </w:sdtContent>
      </w:sdt>
      <w:r w:rsidR="00A04A8E">
        <w:t>.</w:t>
      </w:r>
    </w:p>
    <w:p w14:paraId="6F60C306" w14:textId="0A0CC018" w:rsidR="00480AE7" w:rsidRPr="004941C6" w:rsidRDefault="00480AE7" w:rsidP="00480AE7">
      <w:pPr>
        <w:ind w:left="1350" w:hanging="1350"/>
        <w:jc w:val="both"/>
        <w:rPr>
          <w:rFonts w:eastAsia="Times New Roman"/>
          <w:b/>
          <w:bCs/>
          <w:lang w:eastAsia="zh-CN"/>
        </w:rPr>
      </w:pPr>
      <w:r w:rsidRPr="004941C6">
        <w:rPr>
          <w:rFonts w:eastAsia="Times New Roman"/>
          <w:b/>
          <w:bCs/>
          <w:u w:val="single"/>
          <w:lang w:val="en-GB" w:eastAsia="zh-CN"/>
        </w:rPr>
        <w:t>Proposal</w:t>
      </w:r>
      <w:r w:rsidR="00317A99">
        <w:rPr>
          <w:rFonts w:eastAsia="Times New Roman"/>
          <w:b/>
          <w:bCs/>
          <w:u w:val="single"/>
          <w:lang w:val="en-GB" w:eastAsia="zh-CN"/>
        </w:rPr>
        <w:t xml:space="preserve"> </w:t>
      </w:r>
      <w:r w:rsidR="00A04A8E">
        <w:rPr>
          <w:rFonts w:eastAsia="Times New Roman"/>
          <w:b/>
          <w:bCs/>
          <w:u w:val="single"/>
          <w:lang w:val="en-GB" w:eastAsia="zh-CN"/>
        </w:rPr>
        <w:t>3</w:t>
      </w:r>
      <w:r w:rsidRPr="004941C6">
        <w:rPr>
          <w:rFonts w:eastAsia="Times New Roman"/>
          <w:b/>
          <w:bCs/>
          <w:u w:val="single"/>
          <w:lang w:val="en-GB" w:eastAsia="zh-CN"/>
        </w:rPr>
        <w:t>:</w:t>
      </w:r>
      <w:r w:rsidRPr="004941C6">
        <w:rPr>
          <w:rFonts w:eastAsia="Times New Roman"/>
          <w:b/>
          <w:bCs/>
          <w:lang w:val="en-GB" w:eastAsia="zh-CN"/>
        </w:rPr>
        <w:tab/>
      </w:r>
      <w:r w:rsidRPr="004941C6">
        <w:rPr>
          <w:rFonts w:eastAsia="Times New Roman"/>
          <w:b/>
          <w:bCs/>
          <w:lang w:eastAsia="zh-CN"/>
        </w:rPr>
        <w:t>The T319’ (</w:t>
      </w:r>
      <w:r w:rsidR="00131228">
        <w:rPr>
          <w:rFonts w:eastAsia="Times New Roman"/>
          <w:b/>
          <w:bCs/>
          <w:lang w:eastAsia="zh-CN"/>
        </w:rPr>
        <w:t xml:space="preserve">i.e. </w:t>
      </w:r>
      <w:r w:rsidRPr="004941C6">
        <w:rPr>
          <w:rFonts w:eastAsia="Times New Roman"/>
          <w:b/>
          <w:bCs/>
          <w:lang w:eastAsia="zh-CN"/>
        </w:rPr>
        <w:t xml:space="preserve">SDT failure detection) timer </w:t>
      </w:r>
      <w:r w:rsidR="00131228">
        <w:rPr>
          <w:rFonts w:eastAsia="Times New Roman"/>
          <w:b/>
          <w:bCs/>
          <w:lang w:eastAsia="zh-CN"/>
        </w:rPr>
        <w:t>is</w:t>
      </w:r>
      <w:r w:rsidRPr="004941C6">
        <w:rPr>
          <w:rFonts w:eastAsia="Times New Roman"/>
          <w:b/>
          <w:bCs/>
          <w:lang w:eastAsia="zh-CN"/>
        </w:rPr>
        <w:t xml:space="preserve"> (re)used for PDCCH monitoring after each CG-SDT transmission. </w:t>
      </w:r>
    </w:p>
    <w:p w14:paraId="77E0C24F" w14:textId="0CABB044" w:rsidR="00480AE7" w:rsidRDefault="273B0E1F" w:rsidP="7C7FB5D3">
      <w:pPr>
        <w:ind w:left="1350" w:hanging="1350"/>
        <w:jc w:val="both"/>
        <w:rPr>
          <w:rFonts w:eastAsia="Times New Roman"/>
          <w:b/>
          <w:bCs/>
          <w:i/>
          <w:iCs/>
          <w:lang w:eastAsia="zh-CN"/>
        </w:rPr>
      </w:pPr>
      <w:r w:rsidRPr="00BB3A0E">
        <w:rPr>
          <w:rFonts w:eastAsia="Times New Roman"/>
          <w:b/>
          <w:bCs/>
          <w:u w:val="single"/>
          <w:lang w:val="en-GB" w:eastAsia="zh-CN"/>
        </w:rPr>
        <w:t>Proposal</w:t>
      </w:r>
      <w:r w:rsidR="00317A99" w:rsidRPr="00BB3A0E">
        <w:rPr>
          <w:rFonts w:eastAsia="Times New Roman"/>
          <w:b/>
          <w:bCs/>
          <w:u w:val="single"/>
          <w:lang w:val="en-GB" w:eastAsia="zh-CN"/>
        </w:rPr>
        <w:t xml:space="preserve"> </w:t>
      </w:r>
      <w:r w:rsidR="00A04A8E">
        <w:rPr>
          <w:rFonts w:eastAsia="Times New Roman"/>
          <w:b/>
          <w:bCs/>
          <w:u w:val="single"/>
          <w:lang w:val="en-GB" w:eastAsia="zh-CN"/>
        </w:rPr>
        <w:t>4</w:t>
      </w:r>
      <w:r w:rsidRPr="00BB3A0E">
        <w:rPr>
          <w:rFonts w:eastAsia="Times New Roman"/>
          <w:b/>
          <w:bCs/>
          <w:u w:val="single"/>
          <w:lang w:val="en-GB" w:eastAsia="zh-CN"/>
        </w:rPr>
        <w:t>:</w:t>
      </w:r>
      <w:r w:rsidR="00480AE7" w:rsidRPr="00BB3A0E">
        <w:tab/>
      </w:r>
      <w:r w:rsidRPr="00BB3A0E">
        <w:rPr>
          <w:rFonts w:eastAsia="Times New Roman"/>
          <w:b/>
          <w:bCs/>
          <w:lang w:eastAsia="zh-CN"/>
        </w:rPr>
        <w:t xml:space="preserve">The UE (re)starts the timer after each CG/DG transmission and </w:t>
      </w:r>
      <w:r w:rsidR="00890401" w:rsidRPr="00BB3A0E">
        <w:rPr>
          <w:rFonts w:eastAsia="Times New Roman"/>
          <w:b/>
          <w:bCs/>
          <w:lang w:eastAsia="zh-CN"/>
        </w:rPr>
        <w:t>reception and</w:t>
      </w:r>
      <w:r w:rsidR="00480AE7" w:rsidRPr="00BB3A0E">
        <w:rPr>
          <w:rFonts w:eastAsia="Times New Roman"/>
          <w:b/>
          <w:bCs/>
          <w:lang w:eastAsia="zh-CN"/>
        </w:rPr>
        <w:t xml:space="preserve"> </w:t>
      </w:r>
      <w:r w:rsidRPr="00BB3A0E">
        <w:rPr>
          <w:rFonts w:eastAsia="Times New Roman"/>
          <w:b/>
          <w:bCs/>
          <w:lang w:eastAsia="zh-CN"/>
        </w:rPr>
        <w:t xml:space="preserve">stops it upon </w:t>
      </w:r>
      <w:r w:rsidR="00CA6CEA" w:rsidRPr="00BB3A0E">
        <w:rPr>
          <w:rFonts w:eastAsia="Times New Roman"/>
          <w:b/>
          <w:bCs/>
          <w:lang w:eastAsia="zh-CN"/>
        </w:rPr>
        <w:t>successful termination of the SDT session</w:t>
      </w:r>
      <w:r w:rsidR="00480AE7" w:rsidRPr="00BB3A0E">
        <w:rPr>
          <w:rFonts w:eastAsia="Times New Roman"/>
          <w:b/>
          <w:bCs/>
          <w:lang w:eastAsia="zh-CN"/>
        </w:rPr>
        <w:t>.</w:t>
      </w:r>
      <w:r w:rsidRPr="00BB3A0E">
        <w:rPr>
          <w:rFonts w:eastAsia="Times New Roman"/>
          <w:b/>
          <w:bCs/>
          <w:lang w:eastAsia="zh-CN"/>
        </w:rPr>
        <w:t xml:space="preserve"> </w:t>
      </w:r>
      <w:r w:rsidR="004941C6" w:rsidRPr="00BB3A0E">
        <w:rPr>
          <w:rFonts w:eastAsia="Times New Roman"/>
          <w:b/>
          <w:bCs/>
          <w:lang w:eastAsia="zh-CN"/>
        </w:rPr>
        <w:t>If</w:t>
      </w:r>
      <w:r w:rsidRPr="00BB3A0E">
        <w:rPr>
          <w:rFonts w:eastAsia="Times New Roman"/>
          <w:b/>
          <w:bCs/>
          <w:lang w:eastAsia="zh-CN"/>
        </w:rPr>
        <w:t xml:space="preserve"> the timer expires, SDT failure is declare</w:t>
      </w:r>
      <w:r w:rsidR="004941C6" w:rsidRPr="00BB3A0E">
        <w:rPr>
          <w:rFonts w:eastAsia="Times New Roman"/>
          <w:b/>
          <w:bCs/>
          <w:lang w:eastAsia="zh-CN"/>
        </w:rPr>
        <w:t xml:space="preserve">d and subsequent </w:t>
      </w:r>
      <w:r w:rsidR="000B5F3D" w:rsidRPr="00BB3A0E">
        <w:rPr>
          <w:rFonts w:eastAsia="Times New Roman"/>
          <w:b/>
          <w:bCs/>
          <w:lang w:eastAsia="zh-CN"/>
        </w:rPr>
        <w:t>SDT</w:t>
      </w:r>
      <w:r w:rsidR="004941C6" w:rsidRPr="00BB3A0E">
        <w:rPr>
          <w:rFonts w:eastAsia="Times New Roman"/>
          <w:b/>
          <w:bCs/>
          <w:lang w:eastAsia="zh-CN"/>
        </w:rPr>
        <w:t xml:space="preserve"> failure handling </w:t>
      </w:r>
      <w:r w:rsidR="000B5F3D" w:rsidRPr="00BB3A0E">
        <w:rPr>
          <w:rFonts w:eastAsia="Times New Roman"/>
          <w:b/>
          <w:bCs/>
          <w:lang w:eastAsia="zh-CN"/>
        </w:rPr>
        <w:t>is triggered</w:t>
      </w:r>
      <w:r w:rsidR="004941C6" w:rsidRPr="00603AE4">
        <w:rPr>
          <w:rFonts w:eastAsia="Times New Roman"/>
          <w:b/>
          <w:lang w:eastAsia="zh-CN"/>
        </w:rPr>
        <w:t>.</w:t>
      </w:r>
    </w:p>
    <w:p w14:paraId="5EF2FF9E" w14:textId="2B4548BC" w:rsidR="00E5529B" w:rsidRDefault="00E5529B" w:rsidP="00580BB9"/>
    <w:p w14:paraId="6FA0BCAD" w14:textId="6033BA8B" w:rsidR="00E5529B" w:rsidRPr="00B105D3" w:rsidRDefault="00E5529B" w:rsidP="00E5529B">
      <w:pPr>
        <w:pStyle w:val="Heading2"/>
      </w:pPr>
      <w:r>
        <w:t>TA validity</w:t>
      </w:r>
      <w:r w:rsidR="00FC3F52">
        <w:t xml:space="preserve"> mechanism</w:t>
      </w:r>
    </w:p>
    <w:p w14:paraId="75C25E2C" w14:textId="490887F5" w:rsidR="00480AE7" w:rsidRDefault="00480AE7" w:rsidP="00480AE7">
      <w:pPr>
        <w:spacing w:after="60"/>
        <w:jc w:val="both"/>
        <w:rPr>
          <w:lang w:eastAsia="x-none"/>
        </w:rPr>
      </w:pPr>
      <w:r>
        <w:rPr>
          <w:lang w:eastAsia="x-none"/>
        </w:rPr>
        <w:t>On the TA validation mechanism, RAN2 agreed so far to the following:</w:t>
      </w:r>
    </w:p>
    <w:tbl>
      <w:tblPr>
        <w:tblStyle w:val="TableGrid"/>
        <w:tblW w:w="0" w:type="auto"/>
        <w:tblLook w:val="04A0" w:firstRow="1" w:lastRow="0" w:firstColumn="1" w:lastColumn="0" w:noHBand="0" w:noVBand="1"/>
      </w:tblPr>
      <w:tblGrid>
        <w:gridCol w:w="9350"/>
      </w:tblGrid>
      <w:tr w:rsidR="004941C6" w14:paraId="35A68E2E" w14:textId="77777777" w:rsidTr="004941C6">
        <w:tc>
          <w:tcPr>
            <w:tcW w:w="9350" w:type="dxa"/>
          </w:tcPr>
          <w:p w14:paraId="51A94C88" w14:textId="77777777" w:rsidR="004941C6" w:rsidRDefault="004941C6" w:rsidP="004941C6">
            <w:pPr>
              <w:spacing w:after="0"/>
              <w:ind w:left="360"/>
              <w:jc w:val="both"/>
              <w:rPr>
                <w:lang w:eastAsia="x-none"/>
              </w:rPr>
            </w:pPr>
            <w:r>
              <w:rPr>
                <w:lang w:eastAsia="x-none"/>
              </w:rPr>
              <w:t>In RAN2#113e:</w:t>
            </w:r>
          </w:p>
          <w:p w14:paraId="66E9E4BB" w14:textId="77777777" w:rsidR="004941C6" w:rsidRDefault="004941C6" w:rsidP="004941C6">
            <w:pPr>
              <w:pStyle w:val="ListParagraph"/>
              <w:numPr>
                <w:ilvl w:val="0"/>
                <w:numId w:val="16"/>
              </w:numPr>
              <w:spacing w:after="0" w:line="256" w:lineRule="auto"/>
              <w:jc w:val="both"/>
              <w:rPr>
                <w:rFonts w:cs="Times New Roman"/>
                <w:i/>
                <w:iCs/>
                <w:szCs w:val="20"/>
                <w:lang w:eastAsia="x-none"/>
              </w:rPr>
            </w:pPr>
            <w:r>
              <w:rPr>
                <w:rFonts w:cs="Times New Roman"/>
                <w:i/>
                <w:iCs/>
                <w:szCs w:val="20"/>
                <w:lang w:eastAsia="x-none"/>
              </w:rPr>
              <w:t>“TAT-SDT is started upon receiving the TAT-SDT configuration from gNB, i.e. RRCrelease message, and can be (re)started upon reception of TA command.</w:t>
            </w:r>
          </w:p>
          <w:p w14:paraId="35F8C648" w14:textId="77777777" w:rsidR="004941C6" w:rsidRPr="00603AE4" w:rsidRDefault="004941C6" w:rsidP="004941C6">
            <w:pPr>
              <w:pStyle w:val="ListParagraph"/>
              <w:numPr>
                <w:ilvl w:val="0"/>
                <w:numId w:val="16"/>
              </w:numPr>
              <w:spacing w:after="0" w:line="256" w:lineRule="auto"/>
              <w:jc w:val="both"/>
              <w:rPr>
                <w:rFonts w:cs="Times New Roman"/>
                <w:i/>
                <w:iCs/>
                <w:szCs w:val="20"/>
                <w:lang w:eastAsia="x-none"/>
              </w:rPr>
            </w:pPr>
            <w:r w:rsidRPr="003C6C96">
              <w:rPr>
                <w:rFonts w:cs="Times New Roman"/>
                <w:i/>
                <w:iCs/>
                <w:szCs w:val="20"/>
                <w:lang w:eastAsia="x-none"/>
              </w:rPr>
              <w:t xml:space="preserve">From RAN2 point of view, assume similar to PUR, that we </w:t>
            </w:r>
            <w:r w:rsidRPr="00603AE4">
              <w:rPr>
                <w:rFonts w:cs="Times New Roman"/>
                <w:i/>
                <w:iCs/>
                <w:szCs w:val="20"/>
                <w:lang w:eastAsia="x-none"/>
              </w:rPr>
              <w:t>introduce a TA validation mechanism for SDT based on RSRP change</w:t>
            </w:r>
            <w:r w:rsidRPr="003C6C96">
              <w:rPr>
                <w:rFonts w:cs="Times New Roman"/>
                <w:i/>
                <w:iCs/>
                <w:szCs w:val="20"/>
                <w:lang w:eastAsia="x-none"/>
              </w:rPr>
              <w:t>, i.e.  RSRP-based threshold(s) are configured.  Ask RAN1 to confirm.  FFS on how to handle CG configuration when TA expires or when is invalid due to RSRP threshold.  De</w:t>
            </w:r>
            <w:r w:rsidRPr="00603AE4">
              <w:rPr>
                <w:rFonts w:cs="Times New Roman"/>
                <w:i/>
                <w:iCs/>
                <w:szCs w:val="20"/>
                <w:lang w:eastAsia="x-none"/>
              </w:rPr>
              <w:t>tails of the TA validation procedure can be further discussed.</w:t>
            </w:r>
          </w:p>
          <w:p w14:paraId="23DB84A9" w14:textId="77777777" w:rsidR="004941C6" w:rsidRPr="003C6C96" w:rsidRDefault="004941C6" w:rsidP="004941C6">
            <w:pPr>
              <w:pStyle w:val="ListParagraph"/>
              <w:numPr>
                <w:ilvl w:val="0"/>
                <w:numId w:val="16"/>
              </w:numPr>
              <w:spacing w:after="60" w:line="256" w:lineRule="auto"/>
              <w:jc w:val="both"/>
              <w:rPr>
                <w:rFonts w:cs="Times New Roman"/>
                <w:i/>
                <w:iCs/>
                <w:szCs w:val="20"/>
                <w:lang w:eastAsia="x-none"/>
              </w:rPr>
            </w:pPr>
            <w:r w:rsidRPr="00603AE4">
              <w:rPr>
                <w:rFonts w:cs="Times New Roman"/>
                <w:i/>
                <w:iCs/>
                <w:szCs w:val="20"/>
                <w:lang w:eastAsia="x-none"/>
              </w:rPr>
              <w:t>UE releases CG-SDT resources when TAT expires in RRC_Inactive state”</w:t>
            </w:r>
          </w:p>
          <w:p w14:paraId="377D0C54" w14:textId="77777777" w:rsidR="004941C6" w:rsidRDefault="004941C6" w:rsidP="004941C6">
            <w:pPr>
              <w:spacing w:after="0"/>
              <w:ind w:left="360"/>
              <w:jc w:val="both"/>
              <w:rPr>
                <w:lang w:eastAsia="x-none"/>
              </w:rPr>
            </w:pPr>
            <w:r>
              <w:rPr>
                <w:lang w:eastAsia="x-none"/>
              </w:rPr>
              <w:t>In RAN2#112e:</w:t>
            </w:r>
          </w:p>
          <w:p w14:paraId="21939422" w14:textId="593C4922" w:rsidR="004941C6" w:rsidRPr="004941C6" w:rsidRDefault="004941C6" w:rsidP="004941C6">
            <w:pPr>
              <w:pStyle w:val="ListParagraph"/>
              <w:numPr>
                <w:ilvl w:val="0"/>
                <w:numId w:val="16"/>
              </w:numPr>
              <w:spacing w:line="256" w:lineRule="auto"/>
              <w:jc w:val="both"/>
              <w:rPr>
                <w:rFonts w:cs="Times New Roman"/>
                <w:i/>
                <w:iCs/>
                <w:szCs w:val="20"/>
                <w:lang w:eastAsia="x-none"/>
              </w:rPr>
            </w:pPr>
            <w:r>
              <w:rPr>
                <w:rFonts w:cs="Times New Roman"/>
                <w:i/>
                <w:iCs/>
                <w:szCs w:val="20"/>
                <w:lang w:eastAsia="x-none"/>
              </w:rPr>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tc>
      </w:tr>
    </w:tbl>
    <w:p w14:paraId="6754A7E8" w14:textId="77777777" w:rsidR="004941C6" w:rsidRDefault="004941C6" w:rsidP="00480AE7">
      <w:pPr>
        <w:spacing w:after="60"/>
        <w:jc w:val="both"/>
        <w:rPr>
          <w:lang w:eastAsia="x-none"/>
        </w:rPr>
      </w:pPr>
    </w:p>
    <w:p w14:paraId="78ADF1E1" w14:textId="0E78DE1A" w:rsidR="00A27C92" w:rsidRDefault="00A27C92" w:rsidP="00A27C92">
      <w:pPr>
        <w:jc w:val="both"/>
        <w:rPr>
          <w:lang w:val="en-GB" w:eastAsia="x-none"/>
        </w:rPr>
      </w:pPr>
      <w:r>
        <w:rPr>
          <w:lang w:val="en-GB" w:eastAsia="x-none"/>
        </w:rPr>
        <w:t xml:space="preserve">Furthermore, RAN1 has sent and LS detailing their work on defining the SSB subset for RSRP based TA validation procedure. </w:t>
      </w:r>
      <w:r w:rsidRPr="00A27C92">
        <w:rPr>
          <w:lang w:val="en-GB" w:eastAsia="x-none"/>
        </w:rPr>
        <w:t xml:space="preserve">It is concluded that the SSB subset is determined at least based on a configured absolute RSRP threshold. However, there remains some FFS issues for </w:t>
      </w:r>
      <w:r w:rsidR="004941C6">
        <w:rPr>
          <w:lang w:val="en-GB" w:eastAsia="x-none"/>
        </w:rPr>
        <w:t>TA validation mechanism discussed below</w:t>
      </w:r>
      <w:r>
        <w:rPr>
          <w:lang w:val="en-GB" w:eastAsia="x-none"/>
        </w:rPr>
        <w:t>:</w:t>
      </w:r>
    </w:p>
    <w:tbl>
      <w:tblPr>
        <w:tblStyle w:val="TableGrid"/>
        <w:tblW w:w="0" w:type="auto"/>
        <w:tblLook w:val="04A0" w:firstRow="1" w:lastRow="0" w:firstColumn="1" w:lastColumn="0" w:noHBand="0" w:noVBand="1"/>
      </w:tblPr>
      <w:tblGrid>
        <w:gridCol w:w="9350"/>
      </w:tblGrid>
      <w:tr w:rsidR="00826E2E" w14:paraId="53ABE9E9" w14:textId="77777777" w:rsidTr="007044FC">
        <w:tc>
          <w:tcPr>
            <w:tcW w:w="10141" w:type="dxa"/>
          </w:tcPr>
          <w:p w14:paraId="2AE105AF" w14:textId="77777777" w:rsidR="00826E2E" w:rsidRPr="004608CB" w:rsidRDefault="00826E2E" w:rsidP="008279DA">
            <w:pPr>
              <w:pStyle w:val="ListParagraph"/>
              <w:numPr>
                <w:ilvl w:val="0"/>
                <w:numId w:val="20"/>
              </w:numPr>
              <w:spacing w:after="0" w:line="240" w:lineRule="auto"/>
              <w:contextualSpacing w:val="0"/>
            </w:pPr>
            <w:r w:rsidRPr="004608CB">
              <w:t>The SSB subset for RSRP based TA validation is determined at least based on a configured absolute RSRP threshold.</w:t>
            </w:r>
          </w:p>
          <w:p w14:paraId="58C7738A" w14:textId="77777777" w:rsidR="008279DA" w:rsidRPr="008279DA" w:rsidRDefault="008279DA" w:rsidP="008279DA">
            <w:pPr>
              <w:pStyle w:val="ListParagraph"/>
              <w:numPr>
                <w:ilvl w:val="0"/>
                <w:numId w:val="20"/>
              </w:numPr>
              <w:rPr>
                <w:bCs/>
                <w:iCs/>
                <w:lang w:eastAsia="zh-CN"/>
              </w:rPr>
            </w:pPr>
            <w:r>
              <w:t>The SSB subset for RSRP based TA validation is determined as</w:t>
            </w:r>
          </w:p>
          <w:p w14:paraId="76A854AA" w14:textId="77777777" w:rsidR="008279DA" w:rsidRDefault="008279DA" w:rsidP="008279DA">
            <w:pPr>
              <w:numPr>
                <w:ilvl w:val="1"/>
                <w:numId w:val="20"/>
              </w:numPr>
              <w:overflowPunct/>
              <w:autoSpaceDE/>
              <w:autoSpaceDN/>
              <w:adjustRightInd/>
              <w:spacing w:after="0"/>
              <w:rPr>
                <w:bCs/>
                <w:iCs/>
                <w:lang w:eastAsia="zh-CN"/>
              </w:rPr>
            </w:pPr>
            <w:r>
              <w:rPr>
                <w:rFonts w:hint="eastAsia"/>
                <w:bCs/>
                <w:iCs/>
                <w:lang w:eastAsia="zh-CN"/>
              </w:rPr>
              <w:t>Option 1: W</w:t>
            </w:r>
            <w:r>
              <w:rPr>
                <w:bCs/>
                <w:iCs/>
                <w:lang w:eastAsia="zh-CN"/>
              </w:rPr>
              <w:t>ithin a set of SSBs configured per CG configuration</w:t>
            </w:r>
          </w:p>
          <w:p w14:paraId="32C4EE4D" w14:textId="77777777" w:rsidR="008279DA" w:rsidRDefault="008279DA" w:rsidP="008279DA">
            <w:pPr>
              <w:numPr>
                <w:ilvl w:val="1"/>
                <w:numId w:val="20"/>
              </w:numPr>
              <w:overflowPunct/>
              <w:autoSpaceDE/>
              <w:autoSpaceDN/>
              <w:adjustRightInd/>
              <w:spacing w:after="0"/>
              <w:rPr>
                <w:bCs/>
                <w:iCs/>
                <w:lang w:eastAsia="zh-CN"/>
              </w:rPr>
            </w:pPr>
            <w:r>
              <w:rPr>
                <w:rFonts w:hint="eastAsia"/>
                <w:bCs/>
                <w:iCs/>
                <w:lang w:eastAsia="zh-CN"/>
              </w:rPr>
              <w:t>Option 2: W</w:t>
            </w:r>
            <w:r>
              <w:rPr>
                <w:bCs/>
                <w:iCs/>
                <w:lang w:eastAsia="zh-CN"/>
              </w:rPr>
              <w:t>ithin a set of SSBs configured for all CG configurations</w:t>
            </w:r>
          </w:p>
          <w:p w14:paraId="47F6D338" w14:textId="77777777" w:rsidR="008279DA" w:rsidRDefault="008279DA" w:rsidP="008279DA">
            <w:pPr>
              <w:numPr>
                <w:ilvl w:val="1"/>
                <w:numId w:val="20"/>
              </w:numPr>
              <w:overflowPunct/>
              <w:autoSpaceDE/>
              <w:autoSpaceDN/>
              <w:adjustRightInd/>
              <w:spacing w:after="0"/>
              <w:rPr>
                <w:bCs/>
                <w:iCs/>
                <w:lang w:eastAsia="zh-CN"/>
              </w:rPr>
            </w:pPr>
            <w:r>
              <w:rPr>
                <w:rFonts w:hint="eastAsia"/>
                <w:bCs/>
                <w:iCs/>
                <w:lang w:eastAsia="zh-CN"/>
              </w:rPr>
              <w:t>Option 3: W</w:t>
            </w:r>
            <w:r>
              <w:rPr>
                <w:bCs/>
                <w:iCs/>
                <w:lang w:eastAsia="zh-CN"/>
              </w:rPr>
              <w:t>ithin a set of all SSBs actually transmitted as indicated in SIB1</w:t>
            </w:r>
          </w:p>
          <w:p w14:paraId="1578BB08" w14:textId="3191A203" w:rsidR="00826E2E" w:rsidRPr="004608CB" w:rsidRDefault="008279DA" w:rsidP="008279DA">
            <w:pPr>
              <w:numPr>
                <w:ilvl w:val="1"/>
                <w:numId w:val="20"/>
              </w:numPr>
              <w:overflowPunct/>
              <w:autoSpaceDE/>
              <w:autoSpaceDN/>
              <w:adjustRightInd/>
              <w:spacing w:after="0"/>
            </w:pPr>
            <w:r>
              <w:rPr>
                <w:rFonts w:hint="eastAsia"/>
                <w:bCs/>
                <w:iCs/>
                <w:lang w:eastAsia="zh-CN"/>
              </w:rPr>
              <w:t xml:space="preserve">Option </w:t>
            </w:r>
            <w:r w:rsidRPr="00693FA2">
              <w:rPr>
                <w:rFonts w:hint="eastAsia"/>
                <w:bCs/>
                <w:iCs/>
                <w:lang w:eastAsia="zh-CN"/>
              </w:rPr>
              <w:t>4</w:t>
            </w:r>
            <w:r>
              <w:rPr>
                <w:rFonts w:hint="eastAsia"/>
                <w:bCs/>
                <w:iCs/>
                <w:lang w:eastAsia="zh-CN"/>
              </w:rPr>
              <w:t>: Highest N SSBs of all SSBs actually transmitted as indicated in SIB1</w:t>
            </w:r>
          </w:p>
        </w:tc>
      </w:tr>
    </w:tbl>
    <w:p w14:paraId="6303D831" w14:textId="77777777" w:rsidR="00A27C92" w:rsidRDefault="00A27C92" w:rsidP="00480AE7">
      <w:pPr>
        <w:jc w:val="both"/>
        <w:rPr>
          <w:lang w:val="en-GB" w:eastAsia="x-none"/>
        </w:rPr>
      </w:pPr>
    </w:p>
    <w:p w14:paraId="442C5804" w14:textId="442538E1" w:rsidR="00480AE7" w:rsidRDefault="00480AE7" w:rsidP="00480AE7">
      <w:pPr>
        <w:jc w:val="both"/>
        <w:rPr>
          <w:lang w:val="en-GB" w:eastAsia="x-none"/>
        </w:rPr>
      </w:pPr>
      <w:r>
        <w:rPr>
          <w:lang w:val="en-GB" w:eastAsia="x-none"/>
        </w:rPr>
        <w:t>Assuming that UE is still in the same cell where the CG-SDT configuration was provided, TA validation mechanism will require the UE to check two criteria:</w:t>
      </w:r>
    </w:p>
    <w:p w14:paraId="74396140" w14:textId="77777777" w:rsidR="00480AE7" w:rsidRDefault="00480AE7" w:rsidP="00480AE7">
      <w:pPr>
        <w:pStyle w:val="ListParagraph"/>
        <w:numPr>
          <w:ilvl w:val="0"/>
          <w:numId w:val="17"/>
        </w:numPr>
        <w:spacing w:line="256" w:lineRule="auto"/>
        <w:jc w:val="both"/>
        <w:rPr>
          <w:rFonts w:cs="Times New Roman"/>
          <w:szCs w:val="20"/>
          <w:lang w:val="en-GB" w:eastAsia="x-none"/>
        </w:rPr>
      </w:pPr>
      <w:r>
        <w:rPr>
          <w:rFonts w:cs="Times New Roman"/>
          <w:b/>
          <w:bCs/>
          <w:szCs w:val="20"/>
          <w:lang w:val="en-GB" w:eastAsia="x-none"/>
        </w:rPr>
        <w:t>Criterion 1)</w:t>
      </w:r>
      <w:r>
        <w:rPr>
          <w:rFonts w:cs="Times New Roman"/>
          <w:szCs w:val="20"/>
          <w:lang w:val="en-GB" w:eastAsia="x-none"/>
        </w:rPr>
        <w:t xml:space="preserve"> whether TA timer has expired or not</w:t>
      </w:r>
    </w:p>
    <w:p w14:paraId="5854BF3F" w14:textId="77777777" w:rsidR="00480AE7" w:rsidRDefault="00480AE7" w:rsidP="00480AE7">
      <w:pPr>
        <w:pStyle w:val="ListParagraph"/>
        <w:numPr>
          <w:ilvl w:val="0"/>
          <w:numId w:val="17"/>
        </w:numPr>
        <w:spacing w:line="256" w:lineRule="auto"/>
        <w:jc w:val="both"/>
        <w:rPr>
          <w:rFonts w:cs="Times New Roman"/>
          <w:szCs w:val="20"/>
          <w:lang w:eastAsia="x-none"/>
        </w:rPr>
      </w:pPr>
      <w:r>
        <w:rPr>
          <w:rFonts w:cs="Times New Roman"/>
          <w:b/>
          <w:bCs/>
          <w:szCs w:val="20"/>
          <w:lang w:eastAsia="x-none"/>
        </w:rPr>
        <w:t>Criterion 2)</w:t>
      </w:r>
      <w:r>
        <w:rPr>
          <w:rFonts w:cs="Times New Roman"/>
          <w:szCs w:val="20"/>
          <w:lang w:eastAsia="x-none"/>
        </w:rPr>
        <w:t xml:space="preserve"> whether RSRP delta meets or not the configured threshold for the delta.</w:t>
      </w:r>
    </w:p>
    <w:p w14:paraId="2DC2BB95" w14:textId="37669A99" w:rsidR="0042058F" w:rsidRDefault="009D0A0E" w:rsidP="00480AE7">
      <w:pPr>
        <w:jc w:val="both"/>
      </w:pPr>
      <w:r>
        <w:rPr>
          <w:rFonts w:eastAsia="Times New Roman"/>
          <w:lang w:eastAsia="zh-CN"/>
        </w:rPr>
        <w:t>Based on incoming LS from RAN1 (</w:t>
      </w:r>
      <w:r w:rsidRPr="00196F5B">
        <w:t>R1-2108649</w:t>
      </w:r>
      <w:r>
        <w:t xml:space="preserve">), it seems like RAN1 cannot make a consensus </w:t>
      </w:r>
      <w:r w:rsidR="00B141EA">
        <w:t xml:space="preserve">on which of the above options </w:t>
      </w:r>
      <w:r w:rsidR="0042058F">
        <w:t>is selected and leaves it to RAN2 to decide. From our perspective</w:t>
      </w:r>
      <w:r w:rsidR="000D0C0F">
        <w:t>, option 1 offers the most flexible approach, i.e. set of SSBs configured per CG configuration.</w:t>
      </w:r>
      <w:r w:rsidR="008279DA">
        <w:t xml:space="preserve"> Hence, we propose to go with Option 1 above, i.e. </w:t>
      </w:r>
      <w:r w:rsidR="0089242C">
        <w:t xml:space="preserve">the SSB subset of RSRP based TA validation is determined from within a set of SSBs configured </w:t>
      </w:r>
      <w:r w:rsidR="00FC6E02">
        <w:t>per CG configuration.</w:t>
      </w:r>
    </w:p>
    <w:p w14:paraId="5FE00833" w14:textId="5E414021" w:rsidR="00FC6E02" w:rsidRPr="00A04A8E" w:rsidRDefault="00714527" w:rsidP="00A04A8E">
      <w:pPr>
        <w:ind w:left="1350" w:hanging="1350"/>
        <w:jc w:val="both"/>
        <w:rPr>
          <w:rFonts w:eastAsia="Times New Roman"/>
          <w:b/>
          <w:bCs/>
          <w:lang w:val="en-GB" w:eastAsia="zh-CN"/>
        </w:rPr>
      </w:pPr>
      <w:r>
        <w:rPr>
          <w:rFonts w:eastAsia="Times New Roman"/>
          <w:b/>
          <w:bCs/>
          <w:u w:val="single"/>
          <w:lang w:val="en-GB" w:eastAsia="zh-CN"/>
        </w:rPr>
        <w:lastRenderedPageBreak/>
        <w:t xml:space="preserve">Proposal </w:t>
      </w:r>
      <w:r w:rsidR="00A04A8E">
        <w:rPr>
          <w:rFonts w:eastAsia="Times New Roman"/>
          <w:b/>
          <w:bCs/>
          <w:u w:val="single"/>
          <w:lang w:val="en-GB" w:eastAsia="zh-CN"/>
        </w:rPr>
        <w:t>5</w:t>
      </w:r>
      <w:r>
        <w:rPr>
          <w:rFonts w:eastAsia="Times New Roman"/>
          <w:b/>
          <w:bCs/>
          <w:u w:val="single"/>
          <w:lang w:val="en-GB" w:eastAsia="zh-CN"/>
        </w:rPr>
        <w:t>:</w:t>
      </w:r>
      <w:r>
        <w:tab/>
      </w:r>
      <w:r>
        <w:rPr>
          <w:rFonts w:eastAsia="Times New Roman"/>
          <w:b/>
          <w:bCs/>
          <w:lang w:val="en-GB" w:eastAsia="zh-CN"/>
        </w:rPr>
        <w:t xml:space="preserve">Regarding the </w:t>
      </w:r>
      <w:r w:rsidR="00424041">
        <w:rPr>
          <w:rFonts w:eastAsia="Times New Roman"/>
          <w:b/>
          <w:bCs/>
          <w:lang w:val="en-GB" w:eastAsia="zh-CN"/>
        </w:rPr>
        <w:t xml:space="preserve">selection of SSB for RSRP based TA validation, </w:t>
      </w:r>
      <w:r w:rsidR="00AF5522" w:rsidRPr="00AF5522">
        <w:rPr>
          <w:rFonts w:eastAsia="Times New Roman"/>
          <w:b/>
          <w:bCs/>
          <w:lang w:val="en-GB" w:eastAsia="zh-CN"/>
        </w:rPr>
        <w:t xml:space="preserve">the SSB subset for RSRP based TA validation is </w:t>
      </w:r>
      <w:r w:rsidR="00B75F2A">
        <w:rPr>
          <w:rFonts w:eastAsia="Times New Roman"/>
          <w:b/>
          <w:bCs/>
          <w:lang w:val="en-GB" w:eastAsia="zh-CN"/>
        </w:rPr>
        <w:t>configured per CG configuration (i.e. Option 1 as per RAN1 LS)</w:t>
      </w:r>
      <w:r w:rsidRPr="004941C6">
        <w:rPr>
          <w:rFonts w:eastAsia="Times New Roman"/>
          <w:b/>
          <w:bCs/>
          <w:lang w:val="en-GB" w:eastAsia="zh-CN"/>
        </w:rPr>
        <w:t>.</w:t>
      </w:r>
    </w:p>
    <w:p w14:paraId="39B71417" w14:textId="4FC22F18" w:rsidR="004941C6" w:rsidRDefault="00FC6E02" w:rsidP="00480AE7">
      <w:pPr>
        <w:jc w:val="both"/>
        <w:rPr>
          <w:rFonts w:eastAsia="Times New Roman"/>
          <w:lang w:eastAsia="zh-CN"/>
        </w:rPr>
      </w:pPr>
      <w:r>
        <w:rPr>
          <w:rFonts w:eastAsia="Times New Roman"/>
          <w:lang w:eastAsia="zh-CN"/>
        </w:rPr>
        <w:t>W</w:t>
      </w:r>
      <w:r w:rsidR="00A27C92">
        <w:rPr>
          <w:rFonts w:eastAsia="Times New Roman"/>
          <w:lang w:eastAsia="zh-CN"/>
        </w:rPr>
        <w:t xml:space="preserve">e should </w:t>
      </w:r>
      <w:r>
        <w:rPr>
          <w:rFonts w:eastAsia="Times New Roman"/>
          <w:lang w:eastAsia="zh-CN"/>
        </w:rPr>
        <w:t xml:space="preserve">also </w:t>
      </w:r>
      <w:r w:rsidR="00A27C92">
        <w:rPr>
          <w:rFonts w:eastAsia="Times New Roman"/>
          <w:lang w:eastAsia="zh-CN"/>
        </w:rPr>
        <w:t xml:space="preserve">discuss the UE behavior when the UE does not meet this RSRP criteria (i.e. Criterion (2)). Specifically, </w:t>
      </w:r>
      <w:r w:rsidR="00480AE7">
        <w:rPr>
          <w:rFonts w:eastAsia="Times New Roman"/>
          <w:lang w:eastAsia="zh-CN"/>
        </w:rPr>
        <w:t xml:space="preserve">when TA validation criteria of the RSRP delta is not met, the handling of the CG-SDT configuration should be discussed. Two options are possible: option (1) UE autonomously releases the CG-SDT configuration and option (2) UE keeps the CG-SDT configuration but considers it as invalid. </w:t>
      </w:r>
    </w:p>
    <w:p w14:paraId="2B275159" w14:textId="23100C5D" w:rsidR="00480AE7" w:rsidRDefault="00480AE7" w:rsidP="00480AE7">
      <w:pPr>
        <w:jc w:val="both"/>
        <w:rPr>
          <w:rFonts w:eastAsia="Times New Roman"/>
          <w:lang w:eastAsia="zh-CN"/>
        </w:rPr>
      </w:pPr>
      <w:r>
        <w:rPr>
          <w:rFonts w:eastAsia="Times New Roman"/>
          <w:lang w:eastAsia="zh-CN"/>
        </w:rPr>
        <w:t>If option (1) were allowed, UE and gNB would have a mismatch of UE’s stored configuration (i.e. UE releases CG-SDT config. vs gNB that assumes it valid while TAT is running). Depending on the TAT value, this mismatch can be substantial and so, from specification point of view, we should avoid creating this mismatch in purpose. Therefore, we suggest enabling option (2). The UE can thus keep the CG-SDT configuration stored but should not use it until it meets the delta RSRP criterion again. By considering stored CG-SDT configuration as not valid, the proposed handling to continue the initiation phase via RA-SDT would also be aligned with previous RAN2 agreement as explained above.</w:t>
      </w:r>
    </w:p>
    <w:p w14:paraId="2D1221CA" w14:textId="66D1E12D" w:rsidR="00480AE7" w:rsidRDefault="00480AE7" w:rsidP="00480AE7">
      <w:pPr>
        <w:ind w:left="1350" w:hanging="1350"/>
        <w:jc w:val="both"/>
        <w:rPr>
          <w:rFonts w:eastAsia="Times New Roman"/>
          <w:b/>
          <w:bCs/>
          <w:lang w:val="en-GB" w:eastAsia="zh-CN"/>
        </w:rPr>
      </w:pPr>
      <w:r>
        <w:rPr>
          <w:rFonts w:eastAsia="Times New Roman"/>
          <w:b/>
          <w:bCs/>
          <w:u w:val="single"/>
          <w:lang w:val="en-GB" w:eastAsia="zh-CN"/>
        </w:rPr>
        <w:t>Proposal</w:t>
      </w:r>
      <w:r w:rsidR="00317A99">
        <w:rPr>
          <w:rFonts w:eastAsia="Times New Roman"/>
          <w:b/>
          <w:bCs/>
          <w:u w:val="single"/>
          <w:lang w:val="en-GB" w:eastAsia="zh-CN"/>
        </w:rPr>
        <w:t xml:space="preserve"> </w:t>
      </w:r>
      <w:r w:rsidR="00A93C86">
        <w:rPr>
          <w:rFonts w:eastAsia="Times New Roman"/>
          <w:b/>
          <w:bCs/>
          <w:u w:val="single"/>
          <w:lang w:val="en-GB" w:eastAsia="zh-CN"/>
        </w:rPr>
        <w:t>6</w:t>
      </w:r>
      <w:r>
        <w:rPr>
          <w:rFonts w:eastAsia="Times New Roman"/>
          <w:b/>
          <w:bCs/>
          <w:u w:val="single"/>
          <w:lang w:val="en-GB" w:eastAsia="zh-CN"/>
        </w:rPr>
        <w:t>:</w:t>
      </w:r>
      <w:r>
        <w:tab/>
      </w:r>
      <w:r w:rsidRPr="004941C6">
        <w:rPr>
          <w:rFonts w:eastAsia="Times New Roman"/>
          <w:b/>
          <w:bCs/>
          <w:lang w:val="en-GB" w:eastAsia="zh-CN"/>
        </w:rPr>
        <w:t xml:space="preserve">While the TA validation criteria of the RSRP delta threshold is not met, </w:t>
      </w:r>
      <w:bookmarkStart w:id="3" w:name="_Hlk68094181"/>
      <w:r w:rsidRPr="004941C6">
        <w:rPr>
          <w:rFonts w:eastAsia="Times New Roman"/>
          <w:b/>
          <w:bCs/>
          <w:lang w:val="en-GB" w:eastAsia="zh-CN"/>
        </w:rPr>
        <w:t>UE shall not use the CG resources but keeps stored the CG-SDT configuration (although is considered as not valid</w:t>
      </w:r>
      <w:bookmarkEnd w:id="3"/>
      <w:r w:rsidRPr="004941C6">
        <w:rPr>
          <w:rFonts w:eastAsia="Times New Roman"/>
          <w:b/>
          <w:bCs/>
          <w:lang w:val="en-GB" w:eastAsia="zh-CN"/>
        </w:rPr>
        <w:t>).</w:t>
      </w:r>
    </w:p>
    <w:p w14:paraId="2BA70B37" w14:textId="53977A53" w:rsidR="00480AE7" w:rsidRPr="00A04A8E" w:rsidRDefault="00480AE7" w:rsidP="00480AE7">
      <w:pPr>
        <w:jc w:val="both"/>
        <w:rPr>
          <w:rFonts w:eastAsia="Times New Roman"/>
          <w:lang w:val="en-GB" w:eastAsia="zh-CN"/>
        </w:rPr>
      </w:pPr>
      <w:r>
        <w:rPr>
          <w:rFonts w:eastAsia="Times New Roman"/>
          <w:lang w:val="en-GB" w:eastAsia="zh-CN"/>
        </w:rPr>
        <w:t>It is worth noting that in case one or both of the criteria above are met, the UE can still continue with the SDT session (rather than declaring SDT failure) by using dynamic grants for transmission scheduled by the network. In this scenario, the relevant UE behaviour regarding the keeping or release of the CG-SDT configuration can still apply as reference in proposals above.</w:t>
      </w:r>
      <w:r w:rsidR="00A92C9C">
        <w:rPr>
          <w:rFonts w:eastAsia="Times New Roman"/>
          <w:lang w:val="en-GB" w:eastAsia="zh-CN"/>
        </w:rPr>
        <w:t xml:space="preserve"> It should also be pointed out that the discussion here pertains to the CG-SDT specific </w:t>
      </w:r>
      <w:r w:rsidR="00A92C9C" w:rsidRPr="00A04A8E">
        <w:rPr>
          <w:rFonts w:eastAsia="Times New Roman"/>
          <w:lang w:val="en-GB" w:eastAsia="zh-CN"/>
        </w:rPr>
        <w:t xml:space="preserve">TA timer. In </w:t>
      </w:r>
      <w:r w:rsidR="00643FC3" w:rsidRPr="00A04A8E">
        <w:rPr>
          <w:rFonts w:eastAsia="Times New Roman"/>
          <w:lang w:val="en-GB" w:eastAsia="zh-CN"/>
        </w:rPr>
        <w:t xml:space="preserve">our companion contribution </w:t>
      </w:r>
      <w:sdt>
        <w:sdtPr>
          <w:rPr>
            <w:rFonts w:eastAsia="Times New Roman"/>
            <w:lang w:val="en-GB" w:eastAsia="zh-CN"/>
          </w:rPr>
          <w:id w:val="-1961951916"/>
          <w:citation/>
        </w:sdtPr>
        <w:sdtEndPr/>
        <w:sdtContent>
          <w:r w:rsidR="003E55A0">
            <w:rPr>
              <w:rFonts w:eastAsia="Times New Roman"/>
              <w:lang w:val="en-GB" w:eastAsia="zh-CN"/>
            </w:rPr>
            <w:fldChar w:fldCharType="begin"/>
          </w:r>
          <w:r w:rsidR="003E55A0">
            <w:rPr>
              <w:rFonts w:eastAsia="Times New Roman"/>
              <w:lang w:eastAsia="zh-CN"/>
            </w:rPr>
            <w:instrText xml:space="preserve"> CITATION IntelUP \l 1033 </w:instrText>
          </w:r>
          <w:r w:rsidR="003E55A0">
            <w:rPr>
              <w:rFonts w:eastAsia="Times New Roman"/>
              <w:lang w:val="en-GB" w:eastAsia="zh-CN"/>
            </w:rPr>
            <w:fldChar w:fldCharType="separate"/>
          </w:r>
          <w:r w:rsidR="003E55A0">
            <w:rPr>
              <w:rFonts w:eastAsia="Times New Roman"/>
              <w:noProof/>
              <w:lang w:eastAsia="zh-CN"/>
            </w:rPr>
            <w:t>[4]</w:t>
          </w:r>
          <w:r w:rsidR="003E55A0">
            <w:rPr>
              <w:rFonts w:eastAsia="Times New Roman"/>
              <w:lang w:val="en-GB" w:eastAsia="zh-CN"/>
            </w:rPr>
            <w:fldChar w:fldCharType="end"/>
          </w:r>
        </w:sdtContent>
      </w:sdt>
      <w:r w:rsidR="00643FC3" w:rsidRPr="00A04A8E">
        <w:rPr>
          <w:rFonts w:eastAsia="Times New Roman"/>
          <w:lang w:val="en-GB" w:eastAsia="zh-CN"/>
        </w:rPr>
        <w:t>, we discuss the details of normal/legacy TAT timer</w:t>
      </w:r>
      <w:r w:rsidR="00F52DCF" w:rsidRPr="00A04A8E">
        <w:rPr>
          <w:rFonts w:eastAsia="Times New Roman"/>
          <w:lang w:val="en-GB" w:eastAsia="zh-CN"/>
        </w:rPr>
        <w:t xml:space="preserve"> and how the UE </w:t>
      </w:r>
      <w:r w:rsidR="00937E2C" w:rsidRPr="00A04A8E">
        <w:rPr>
          <w:rFonts w:eastAsia="Times New Roman"/>
          <w:lang w:val="en-GB" w:eastAsia="zh-CN"/>
        </w:rPr>
        <w:t>handling differs</w:t>
      </w:r>
      <w:r w:rsidR="005149DA" w:rsidRPr="00A04A8E">
        <w:rPr>
          <w:rFonts w:eastAsia="Times New Roman"/>
          <w:lang w:val="en-GB" w:eastAsia="zh-CN"/>
        </w:rPr>
        <w:t xml:space="preserve"> with the CG-SDT specific TA timer</w:t>
      </w:r>
      <w:r w:rsidR="00937E2C" w:rsidRPr="00A04A8E">
        <w:rPr>
          <w:rFonts w:eastAsia="Times New Roman"/>
          <w:lang w:val="en-GB" w:eastAsia="zh-CN"/>
        </w:rPr>
        <w:t>.</w:t>
      </w:r>
      <w:r w:rsidR="005149DA" w:rsidRPr="00A04A8E">
        <w:rPr>
          <w:rFonts w:eastAsia="Times New Roman"/>
          <w:lang w:val="en-GB" w:eastAsia="zh-CN"/>
        </w:rPr>
        <w:t xml:space="preserve"> </w:t>
      </w:r>
      <w:r w:rsidR="003D7D66" w:rsidRPr="00A04A8E">
        <w:rPr>
          <w:rFonts w:eastAsia="Times New Roman"/>
          <w:lang w:val="en-GB" w:eastAsia="zh-CN"/>
        </w:rPr>
        <w:t>On summary, a CG-SDT procedure would require both normal/legacy TAT timer and CG-SDT specific TA timer.</w:t>
      </w:r>
    </w:p>
    <w:p w14:paraId="426605BC" w14:textId="346B5F5F" w:rsidR="00480AE7" w:rsidRDefault="273B0E1F" w:rsidP="00480AE7">
      <w:pPr>
        <w:ind w:left="1350" w:hanging="1350"/>
        <w:jc w:val="both"/>
        <w:rPr>
          <w:rFonts w:eastAsia="Times New Roman"/>
          <w:b/>
          <w:bCs/>
          <w:lang w:val="en-GB" w:eastAsia="zh-CN"/>
        </w:rPr>
      </w:pPr>
      <w:r w:rsidRPr="00A04A8E">
        <w:rPr>
          <w:rFonts w:eastAsia="Times New Roman"/>
          <w:b/>
          <w:bCs/>
          <w:u w:val="single"/>
          <w:lang w:val="en-GB" w:eastAsia="zh-CN"/>
        </w:rPr>
        <w:t>Proposal</w:t>
      </w:r>
      <w:r w:rsidR="00317A99" w:rsidRPr="00A04A8E">
        <w:rPr>
          <w:rFonts w:eastAsia="Times New Roman"/>
          <w:b/>
          <w:bCs/>
          <w:u w:val="single"/>
          <w:lang w:val="en-GB" w:eastAsia="zh-CN"/>
        </w:rPr>
        <w:t xml:space="preserve"> </w:t>
      </w:r>
      <w:r w:rsidR="00A93C86" w:rsidRPr="00A04A8E">
        <w:rPr>
          <w:rFonts w:eastAsia="Times New Roman"/>
          <w:b/>
          <w:bCs/>
          <w:u w:val="single"/>
          <w:lang w:val="en-GB" w:eastAsia="zh-CN"/>
        </w:rPr>
        <w:t>7</w:t>
      </w:r>
      <w:r w:rsidRPr="00A04A8E">
        <w:rPr>
          <w:rFonts w:eastAsia="Times New Roman"/>
          <w:b/>
          <w:bCs/>
          <w:u w:val="single"/>
          <w:lang w:val="en-GB" w:eastAsia="zh-CN"/>
        </w:rPr>
        <w:t>:</w:t>
      </w:r>
      <w:r w:rsidR="00480AE7" w:rsidRPr="00A04A8E">
        <w:tab/>
      </w:r>
      <w:r w:rsidRPr="00A04A8E">
        <w:rPr>
          <w:rFonts w:eastAsia="Times New Roman"/>
          <w:b/>
          <w:bCs/>
          <w:lang w:val="en-GB" w:eastAsia="zh-CN"/>
        </w:rPr>
        <w:t xml:space="preserve">During an ongoing SDT session, if </w:t>
      </w:r>
      <w:r w:rsidR="007C1C8C" w:rsidRPr="00A04A8E">
        <w:rPr>
          <w:rFonts w:eastAsia="Times New Roman"/>
          <w:b/>
          <w:bCs/>
          <w:lang w:val="en-GB" w:eastAsia="zh-CN"/>
        </w:rPr>
        <w:t xml:space="preserve">CG-specific </w:t>
      </w:r>
      <w:r w:rsidRPr="00A04A8E">
        <w:rPr>
          <w:rFonts w:eastAsia="Times New Roman"/>
          <w:b/>
          <w:bCs/>
          <w:lang w:val="en-GB" w:eastAsia="zh-CN"/>
        </w:rPr>
        <w:t>TAT expires (or is not running) or TA criterion for RSRP-delta threshold is not met, the SDT session can still continue using DG (understanding that CG-SDT configuration is released upon</w:t>
      </w:r>
      <w:r w:rsidR="00EF65FA" w:rsidRPr="00A04A8E">
        <w:rPr>
          <w:rFonts w:eastAsia="Times New Roman"/>
          <w:b/>
          <w:bCs/>
          <w:lang w:val="en-GB" w:eastAsia="zh-CN"/>
        </w:rPr>
        <w:t xml:space="preserve"> CG-specific</w:t>
      </w:r>
      <w:r w:rsidRPr="00A04A8E">
        <w:rPr>
          <w:rFonts w:eastAsia="Times New Roman"/>
          <w:b/>
          <w:bCs/>
          <w:lang w:val="en-GB" w:eastAsia="zh-CN"/>
        </w:rPr>
        <w:t xml:space="preserve"> TAT expiry and is considered invalid when TA criterion for RSRP-delta is not met).</w:t>
      </w:r>
    </w:p>
    <w:p w14:paraId="798EE407" w14:textId="77777777" w:rsidR="004941C6" w:rsidRDefault="004941C6" w:rsidP="00480AE7">
      <w:pPr>
        <w:ind w:left="1350" w:hanging="1350"/>
        <w:jc w:val="both"/>
        <w:rPr>
          <w:rFonts w:eastAsia="Times New Roman"/>
          <w:b/>
          <w:bCs/>
          <w:lang w:val="en-GB" w:eastAsia="zh-CN"/>
        </w:rPr>
      </w:pPr>
    </w:p>
    <w:p w14:paraId="75062663" w14:textId="590904DC" w:rsidR="007D4239" w:rsidRPr="00B105D3" w:rsidRDefault="003E77C3" w:rsidP="0022381F">
      <w:pPr>
        <w:pStyle w:val="Heading2"/>
      </w:pPr>
      <w:bookmarkStart w:id="4" w:name="_Hlk53994228"/>
      <w:r>
        <w:t>Assistance information</w:t>
      </w:r>
      <w:bookmarkEnd w:id="4"/>
    </w:p>
    <w:p w14:paraId="1F644646" w14:textId="07EDA38C" w:rsidR="00F76866" w:rsidRDefault="00560CC6" w:rsidP="00673993">
      <w:r>
        <w:t xml:space="preserve">The UE can provide some assistance information to the network before moving to RRC_INACTIVE in case it is interested in performing SDT and request </w:t>
      </w:r>
      <w:r w:rsidR="00AA3DAE">
        <w:t>CG configuration by the network</w:t>
      </w:r>
      <w:r w:rsidR="00ED4F87">
        <w:t>.</w:t>
      </w:r>
      <w:r w:rsidR="00AA3DAE">
        <w:t xml:space="preserve"> </w:t>
      </w:r>
      <w:r w:rsidR="00F76866">
        <w:t xml:space="preserve">It seems that while this aspect was originally proposed to be included as part of the email discussion </w:t>
      </w:r>
      <w:sdt>
        <w:sdtPr>
          <w:id w:val="378208231"/>
          <w:citation/>
        </w:sdtPr>
        <w:sdtEndPr/>
        <w:sdtContent>
          <w:r w:rsidR="003E55A0">
            <w:fldChar w:fldCharType="begin"/>
          </w:r>
          <w:r w:rsidR="003E55A0">
            <w:instrText xml:space="preserve"> CITATION emaildisc509 \l 1033 </w:instrText>
          </w:r>
          <w:r w:rsidR="003E55A0">
            <w:fldChar w:fldCharType="separate"/>
          </w:r>
          <w:r w:rsidR="003E55A0" w:rsidRPr="003E55A0">
            <w:rPr>
              <w:noProof/>
            </w:rPr>
            <w:t>[2]</w:t>
          </w:r>
          <w:r w:rsidR="003E55A0">
            <w:fldChar w:fldCharType="end"/>
          </w:r>
        </w:sdtContent>
      </w:sdt>
      <w:r w:rsidR="00F76866">
        <w:t xml:space="preserve"> scope, it was removed since some companies think it should be discussed in RAN3 first since </w:t>
      </w:r>
      <w:r w:rsidR="005E551A" w:rsidRPr="005E551A">
        <w:t>the gNB already has the “TSC Assistance Information” which can be reused for the CG SDT procedure</w:t>
      </w:r>
      <w:r w:rsidR="005E551A">
        <w:t xml:space="preserve">. However, from our perspective, </w:t>
      </w:r>
      <w:r w:rsidR="0032082F">
        <w:t xml:space="preserve">this entire topic falls in the purview of RAN2 and </w:t>
      </w:r>
      <w:r w:rsidR="005E551A" w:rsidRPr="005E551A">
        <w:t>RAN2 is the WG aware of the information helpful for the gNB to configure the proper configuration associated with the CG-SDT procedure.  In addition, if RAN2 preference is to reuse TSCAI related information, we assume that SA2/RAN3 confirmation would be indeed required on its applicability for eMBB (understanding that this container was defined in relation to Rel-17 IIOT and Rel-17 5G-AIS).</w:t>
      </w:r>
      <w:r w:rsidR="0039712B">
        <w:t xml:space="preserve"> </w:t>
      </w:r>
      <w:r w:rsidR="00B36EF9">
        <w:t>S</w:t>
      </w:r>
      <w:r w:rsidR="00C649ED">
        <w:t>ummar</w:t>
      </w:r>
      <w:r w:rsidR="00B36EF9">
        <w:t>izing</w:t>
      </w:r>
      <w:r w:rsidR="00C649ED">
        <w:t>, i</w:t>
      </w:r>
      <w:r w:rsidR="0039712B">
        <w:t>f companies think TSCAI related information is sufficient, then we should get confirmation from SA2 first before agreeing to use it.</w:t>
      </w:r>
    </w:p>
    <w:p w14:paraId="250AA5F0" w14:textId="5E8341BD" w:rsidR="00DE413E" w:rsidRDefault="00D4189A" w:rsidP="00673993">
      <w:r>
        <w:t>In any case, the provision of this assistance information in</w:t>
      </w:r>
      <w:r w:rsidR="00AA3DAE">
        <w:t xml:space="preserve"> LTE can be accomplished by </w:t>
      </w:r>
      <w:r w:rsidR="00B8200A" w:rsidRPr="00B8200A">
        <w:rPr>
          <w:i/>
          <w:iCs/>
        </w:rPr>
        <w:t>PURConfigurationRequest</w:t>
      </w:r>
      <w:r w:rsidR="00B8200A">
        <w:rPr>
          <w:i/>
          <w:iCs/>
        </w:rPr>
        <w:t xml:space="preserve"> </w:t>
      </w:r>
      <w:r w:rsidR="00B8200A">
        <w:t xml:space="preserve">message, which includes information like the </w:t>
      </w:r>
      <w:r w:rsidR="00B620FE">
        <w:t>traffic periodicity</w:t>
      </w:r>
      <w:r w:rsidR="00FC0DB8">
        <w:t xml:space="preserve"> and offset, number of PUR occasions</w:t>
      </w:r>
      <w:r w:rsidR="00B620FE">
        <w:t>,</w:t>
      </w:r>
      <w:r w:rsidR="00FC0DB8">
        <w:t xml:space="preserve"> requested TBS, etc. </w:t>
      </w:r>
      <w:r w:rsidR="00845995">
        <w:t xml:space="preserve">Since the gNB might not be aware of the UE’s expected traffic pattern during RRC_INACTIVE, we think it is useful to be able to </w:t>
      </w:r>
      <w:r w:rsidR="00971129">
        <w:t xml:space="preserve">indicate this information to the gNB, </w:t>
      </w:r>
      <w:r w:rsidR="00C83DF9">
        <w:t xml:space="preserve">to indicate that the UE is interested to be configured with CG-SDT and provide SDT related information to the gNB, </w:t>
      </w:r>
      <w:r w:rsidR="00971129">
        <w:t xml:space="preserve">which can then be taken into consideration when providing a CG configuration to the UE for SDT. </w:t>
      </w:r>
      <w:r w:rsidR="00C83DF9">
        <w:t>It can also indicate if the UE is no longer interested in CG-SDT (</w:t>
      </w:r>
      <w:r w:rsidR="004941C6">
        <w:t xml:space="preserve">i.e. </w:t>
      </w:r>
      <w:r w:rsidR="00C83DF9">
        <w:t xml:space="preserve">via a </w:t>
      </w:r>
      <w:r w:rsidR="00C83DF9" w:rsidRPr="00C83DF9">
        <w:rPr>
          <w:i/>
          <w:iCs/>
        </w:rPr>
        <w:t>ReleaseRequest</w:t>
      </w:r>
      <w:r w:rsidR="00C83DF9">
        <w:t xml:space="preserve">). </w:t>
      </w:r>
      <w:r w:rsidR="00971129">
        <w:t xml:space="preserve">Therefore, we propose to </w:t>
      </w:r>
      <w:r w:rsidR="00E61B2F">
        <w:t xml:space="preserve">consider </w:t>
      </w:r>
      <w:r w:rsidR="006469BB">
        <w:t xml:space="preserve">some </w:t>
      </w:r>
      <w:r w:rsidR="00E61B2F">
        <w:t xml:space="preserve">assistance information </w:t>
      </w:r>
      <w:r w:rsidR="006469BB">
        <w:t xml:space="preserve">by the UE </w:t>
      </w:r>
      <w:r w:rsidR="00420B33">
        <w:t>to the gNB for requesting CG configuration for SDT.</w:t>
      </w:r>
      <w:r w:rsidR="00E85FB2">
        <w:t xml:space="preserve"> </w:t>
      </w:r>
      <w:r w:rsidR="00826E2E">
        <w:t>The assistance information can be part of the legacy UE assistance information framework and t</w:t>
      </w:r>
      <w:r w:rsidR="00E85FB2">
        <w:t xml:space="preserve">he detailed contents of this information can </w:t>
      </w:r>
      <w:r w:rsidR="00C83DF9">
        <w:t>follow PUR related information as a baseline</w:t>
      </w:r>
      <w:r w:rsidR="004941C6">
        <w:t>.</w:t>
      </w:r>
    </w:p>
    <w:tbl>
      <w:tblPr>
        <w:tblStyle w:val="TableGridLight"/>
        <w:tblW w:w="0" w:type="auto"/>
        <w:tblLook w:val="04A0" w:firstRow="1" w:lastRow="0" w:firstColumn="1" w:lastColumn="0" w:noHBand="0" w:noVBand="1"/>
      </w:tblPr>
      <w:tblGrid>
        <w:gridCol w:w="2692"/>
        <w:gridCol w:w="6658"/>
      </w:tblGrid>
      <w:tr w:rsidR="00C83DF9" w14:paraId="7E1665F3" w14:textId="77777777" w:rsidTr="00603AE4">
        <w:tc>
          <w:tcPr>
            <w:tcW w:w="2692" w:type="dxa"/>
          </w:tcPr>
          <w:p w14:paraId="7D29E330" w14:textId="7C8EF747" w:rsidR="00C83DF9" w:rsidRPr="00826E2E" w:rsidRDefault="00C83DF9" w:rsidP="00673993">
            <w:pPr>
              <w:rPr>
                <w:b/>
                <w:bCs/>
              </w:rPr>
            </w:pPr>
            <w:r w:rsidRPr="00826E2E">
              <w:rPr>
                <w:b/>
                <w:bCs/>
              </w:rPr>
              <w:lastRenderedPageBreak/>
              <w:t>Parameter</w:t>
            </w:r>
          </w:p>
        </w:tc>
        <w:tc>
          <w:tcPr>
            <w:tcW w:w="6658" w:type="dxa"/>
          </w:tcPr>
          <w:p w14:paraId="4AFD9A54" w14:textId="56FB0B70" w:rsidR="00C83DF9" w:rsidRPr="00826E2E" w:rsidRDefault="24C63ED1" w:rsidP="00673993">
            <w:pPr>
              <w:rPr>
                <w:b/>
                <w:bCs/>
              </w:rPr>
            </w:pPr>
            <w:r w:rsidRPr="7C7FB5D3">
              <w:rPr>
                <w:b/>
                <w:bCs/>
              </w:rPr>
              <w:t>Usage</w:t>
            </w:r>
          </w:p>
        </w:tc>
      </w:tr>
      <w:tr w:rsidR="00C83DF9" w14:paraId="3CCA08DA" w14:textId="77777777" w:rsidTr="00603AE4">
        <w:tc>
          <w:tcPr>
            <w:tcW w:w="2692" w:type="dxa"/>
          </w:tcPr>
          <w:p w14:paraId="3C520886" w14:textId="3140D643" w:rsidR="00C83DF9" w:rsidRPr="00826E2E" w:rsidRDefault="00C83DF9" w:rsidP="00673993">
            <w:pPr>
              <w:rPr>
                <w:i/>
                <w:iCs/>
              </w:rPr>
            </w:pPr>
            <w:r w:rsidRPr="00826E2E">
              <w:rPr>
                <w:i/>
                <w:iCs/>
              </w:rPr>
              <w:t>requestedNumOccasions</w:t>
            </w:r>
          </w:p>
        </w:tc>
        <w:tc>
          <w:tcPr>
            <w:tcW w:w="6658" w:type="dxa"/>
          </w:tcPr>
          <w:p w14:paraId="321DD03A" w14:textId="4F8A2F13" w:rsidR="00C83DF9" w:rsidRDefault="00C83DF9" w:rsidP="00673993">
            <w:r>
              <w:t>The number of requested CG-SDT occasions (can be one or infinite)</w:t>
            </w:r>
          </w:p>
        </w:tc>
      </w:tr>
      <w:tr w:rsidR="00C83DF9" w14:paraId="6A594948" w14:textId="77777777" w:rsidTr="00603AE4">
        <w:tc>
          <w:tcPr>
            <w:tcW w:w="2692" w:type="dxa"/>
          </w:tcPr>
          <w:p w14:paraId="2DC26D7C" w14:textId="5D56EF15" w:rsidR="00C83DF9" w:rsidRPr="00826E2E" w:rsidRDefault="00C83DF9" w:rsidP="00673993">
            <w:pPr>
              <w:rPr>
                <w:i/>
                <w:iCs/>
              </w:rPr>
            </w:pPr>
            <w:r w:rsidRPr="00826E2E">
              <w:rPr>
                <w:i/>
                <w:iCs/>
              </w:rPr>
              <w:t>requestedPeriodicityAndOffset</w:t>
            </w:r>
          </w:p>
        </w:tc>
        <w:tc>
          <w:tcPr>
            <w:tcW w:w="6658" w:type="dxa"/>
          </w:tcPr>
          <w:p w14:paraId="16EF032B" w14:textId="16B66C91" w:rsidR="00C83DF9" w:rsidRDefault="00C83DF9" w:rsidP="00673993">
            <w:r>
              <w:t xml:space="preserve">Indicates the requested periodicity for the CG-SDT occasions and time offset until the first </w:t>
            </w:r>
            <w:r w:rsidR="007948D8">
              <w:t>CG-SDT</w:t>
            </w:r>
            <w:r>
              <w:t xml:space="preserve"> occasion</w:t>
            </w:r>
          </w:p>
        </w:tc>
      </w:tr>
      <w:tr w:rsidR="00C83DF9" w14:paraId="19F113DA" w14:textId="77777777" w:rsidTr="00603AE4">
        <w:tc>
          <w:tcPr>
            <w:tcW w:w="2692" w:type="dxa"/>
          </w:tcPr>
          <w:p w14:paraId="7E5D45FD" w14:textId="61B1E843" w:rsidR="00C83DF9" w:rsidRPr="00826E2E" w:rsidRDefault="00C83DF9" w:rsidP="00673993">
            <w:pPr>
              <w:rPr>
                <w:i/>
                <w:iCs/>
              </w:rPr>
            </w:pPr>
            <w:r w:rsidRPr="00826E2E">
              <w:rPr>
                <w:i/>
                <w:iCs/>
              </w:rPr>
              <w:t>requestedTBS</w:t>
            </w:r>
          </w:p>
        </w:tc>
        <w:tc>
          <w:tcPr>
            <w:tcW w:w="6658" w:type="dxa"/>
          </w:tcPr>
          <w:p w14:paraId="5B52FE42" w14:textId="326954A6" w:rsidR="00C83DF9" w:rsidRDefault="007948D8" w:rsidP="007948D8">
            <w:r>
              <w:t>Indicates the requested TBS for the CG-SDT. The maximum requested TBS is limited to the UL TBS size supported by the UE.</w:t>
            </w:r>
          </w:p>
        </w:tc>
      </w:tr>
      <w:tr w:rsidR="00C83DF9" w14:paraId="40C885C8" w14:textId="77777777" w:rsidTr="00603AE4">
        <w:tc>
          <w:tcPr>
            <w:tcW w:w="2692" w:type="dxa"/>
          </w:tcPr>
          <w:p w14:paraId="1B3249B1" w14:textId="76CD8B47" w:rsidR="00C83DF9" w:rsidRPr="00826E2E" w:rsidRDefault="00C83DF9" w:rsidP="00673993">
            <w:pPr>
              <w:rPr>
                <w:i/>
                <w:iCs/>
              </w:rPr>
            </w:pPr>
            <w:r w:rsidRPr="00826E2E">
              <w:rPr>
                <w:i/>
                <w:iCs/>
              </w:rPr>
              <w:t>rrc-ACK</w:t>
            </w:r>
          </w:p>
        </w:tc>
        <w:tc>
          <w:tcPr>
            <w:tcW w:w="6658" w:type="dxa"/>
          </w:tcPr>
          <w:p w14:paraId="7341DD02" w14:textId="31BAC4CE" w:rsidR="00C83DF9" w:rsidRDefault="007948D8" w:rsidP="007948D8">
            <w:r>
              <w:t>Indicates RRC response message is preferred by the UE for acknowledging the reception of a transmission using CG-SDT.</w:t>
            </w:r>
          </w:p>
        </w:tc>
      </w:tr>
    </w:tbl>
    <w:p w14:paraId="41E1C639" w14:textId="77777777" w:rsidR="00C83DF9" w:rsidRDefault="00C83DF9" w:rsidP="00673993"/>
    <w:p w14:paraId="601C6171" w14:textId="7A365E60" w:rsidR="00AE4278" w:rsidRPr="0085532A" w:rsidRDefault="00BE64A0" w:rsidP="00AE427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317A99">
        <w:rPr>
          <w:rFonts w:eastAsia="Times New Roman"/>
          <w:b/>
          <w:bCs/>
          <w:u w:val="single"/>
          <w:lang w:val="en-GB" w:eastAsia="zh-CN"/>
        </w:rPr>
        <w:t xml:space="preserve"> </w:t>
      </w:r>
      <w:r w:rsidR="00A93C86">
        <w:rPr>
          <w:rFonts w:eastAsia="Times New Roman"/>
          <w:b/>
          <w:bCs/>
          <w:u w:val="single"/>
          <w:lang w:val="en-GB" w:eastAsia="zh-CN"/>
        </w:rPr>
        <w:t>8</w:t>
      </w:r>
      <w:r w:rsidR="00AE4278" w:rsidRPr="0085532A">
        <w:rPr>
          <w:rFonts w:eastAsia="Times New Roman"/>
          <w:b/>
          <w:bCs/>
          <w:u w:val="single"/>
          <w:lang w:val="en-GB" w:eastAsia="zh-CN"/>
        </w:rPr>
        <w:t>:</w:t>
      </w:r>
      <w:r w:rsidR="00AE4278" w:rsidRPr="0085532A">
        <w:rPr>
          <w:rFonts w:eastAsia="Times New Roman"/>
          <w:b/>
          <w:bCs/>
          <w:lang w:val="en-GB" w:eastAsia="zh-CN"/>
        </w:rPr>
        <w:tab/>
      </w:r>
      <w:r w:rsidR="00AE4278" w:rsidRPr="004941C6">
        <w:rPr>
          <w:rFonts w:eastAsia="Times New Roman"/>
          <w:b/>
          <w:bCs/>
          <w:iCs/>
          <w:lang w:val="en-GB" w:eastAsia="zh-CN"/>
        </w:rPr>
        <w:t xml:space="preserve">RAN2 is proposed to </w:t>
      </w:r>
      <w:r w:rsidR="00C7239A" w:rsidRPr="004941C6">
        <w:rPr>
          <w:rFonts w:eastAsia="Times New Roman"/>
          <w:b/>
          <w:bCs/>
          <w:iCs/>
          <w:lang w:val="en-GB" w:eastAsia="zh-CN"/>
        </w:rPr>
        <w:t>agree that</w:t>
      </w:r>
      <w:r w:rsidR="00AE4278" w:rsidRPr="004941C6">
        <w:rPr>
          <w:rFonts w:eastAsia="Times New Roman"/>
          <w:b/>
          <w:bCs/>
          <w:iCs/>
          <w:lang w:val="en-GB" w:eastAsia="zh-CN"/>
        </w:rPr>
        <w:t xml:space="preserve"> assistance information for </w:t>
      </w:r>
      <w:r w:rsidR="00CA4F87" w:rsidRPr="004941C6">
        <w:rPr>
          <w:rFonts w:eastAsia="Times New Roman"/>
          <w:b/>
          <w:bCs/>
          <w:iCs/>
          <w:lang w:val="en-GB" w:eastAsia="zh-CN"/>
        </w:rPr>
        <w:t xml:space="preserve">configuration of </w:t>
      </w:r>
      <w:r w:rsidR="00C7239A" w:rsidRPr="004941C6">
        <w:rPr>
          <w:rFonts w:eastAsia="Times New Roman"/>
          <w:b/>
          <w:bCs/>
          <w:iCs/>
          <w:lang w:val="en-GB" w:eastAsia="zh-CN"/>
        </w:rPr>
        <w:t>CG-SDT resource can be</w:t>
      </w:r>
      <w:r w:rsidR="00AE4278" w:rsidRPr="004941C6">
        <w:rPr>
          <w:rFonts w:eastAsia="Times New Roman"/>
          <w:b/>
          <w:bCs/>
          <w:iCs/>
          <w:lang w:val="en-GB" w:eastAsia="zh-CN"/>
        </w:rPr>
        <w:t xml:space="preserve"> provided by the UE to the gNB</w:t>
      </w:r>
      <w:r w:rsidR="00C7239A" w:rsidRPr="004941C6">
        <w:rPr>
          <w:rFonts w:eastAsia="Times New Roman"/>
          <w:b/>
          <w:bCs/>
          <w:iCs/>
          <w:lang w:val="en-GB" w:eastAsia="zh-CN"/>
        </w:rPr>
        <w:t xml:space="preserve"> in RRC_CONNECTED</w:t>
      </w:r>
      <w:r w:rsidR="00AE4278" w:rsidRPr="004941C6">
        <w:rPr>
          <w:rFonts w:eastAsia="Times New Roman"/>
          <w:b/>
          <w:bCs/>
          <w:iCs/>
          <w:lang w:val="en-GB" w:eastAsia="zh-CN"/>
        </w:rPr>
        <w:t>.</w:t>
      </w:r>
      <w:r w:rsidR="00E85FB2" w:rsidRPr="004941C6">
        <w:rPr>
          <w:rFonts w:eastAsia="Times New Roman"/>
          <w:b/>
          <w:bCs/>
          <w:iCs/>
          <w:lang w:val="en-GB" w:eastAsia="zh-CN"/>
        </w:rPr>
        <w:t xml:space="preserve"> </w:t>
      </w:r>
      <w:r w:rsidR="007C2331">
        <w:rPr>
          <w:rFonts w:eastAsia="Times New Roman"/>
          <w:b/>
          <w:bCs/>
          <w:iCs/>
          <w:lang w:val="en-GB" w:eastAsia="zh-CN"/>
        </w:rPr>
        <w:t xml:space="preserve">At least </w:t>
      </w:r>
      <w:r w:rsidR="000661E1" w:rsidRPr="000661E1">
        <w:rPr>
          <w:rFonts w:eastAsia="Times New Roman"/>
          <w:b/>
          <w:bCs/>
          <w:iCs/>
          <w:lang w:val="en-GB" w:eastAsia="zh-CN"/>
        </w:rPr>
        <w:t xml:space="preserve">at least </w:t>
      </w:r>
      <w:r w:rsidR="000661E1" w:rsidRPr="00A04A8E">
        <w:rPr>
          <w:rFonts w:eastAsia="Times New Roman"/>
          <w:b/>
          <w:bCs/>
          <w:i/>
          <w:lang w:val="en-GB" w:eastAsia="zh-CN"/>
        </w:rPr>
        <w:t>requestedNumOccasions</w:t>
      </w:r>
      <w:r w:rsidR="00025111">
        <w:rPr>
          <w:rFonts w:eastAsia="Times New Roman"/>
          <w:b/>
          <w:bCs/>
          <w:iCs/>
          <w:lang w:val="en-GB" w:eastAsia="zh-CN"/>
        </w:rPr>
        <w:t xml:space="preserve"> </w:t>
      </w:r>
      <w:r w:rsidR="000661E1" w:rsidRPr="000661E1">
        <w:rPr>
          <w:rFonts w:eastAsia="Times New Roman"/>
          <w:b/>
          <w:bCs/>
          <w:iCs/>
          <w:lang w:val="en-GB" w:eastAsia="zh-CN"/>
        </w:rPr>
        <w:t xml:space="preserve">and </w:t>
      </w:r>
      <w:r w:rsidR="000661E1" w:rsidRPr="00A04A8E">
        <w:rPr>
          <w:rFonts w:eastAsia="Times New Roman"/>
          <w:b/>
          <w:bCs/>
          <w:i/>
          <w:lang w:val="en-GB" w:eastAsia="zh-CN"/>
        </w:rPr>
        <w:t>requestedPeriodicityAndOffset</w:t>
      </w:r>
      <w:r w:rsidR="00025111">
        <w:rPr>
          <w:rFonts w:eastAsia="Times New Roman"/>
          <w:b/>
          <w:bCs/>
          <w:i/>
          <w:lang w:val="en-GB" w:eastAsia="zh-CN"/>
        </w:rPr>
        <w:t xml:space="preserve"> </w:t>
      </w:r>
      <w:r w:rsidR="00025111">
        <w:rPr>
          <w:rFonts w:eastAsia="Times New Roman"/>
          <w:b/>
          <w:bCs/>
          <w:iCs/>
          <w:lang w:val="en-GB" w:eastAsia="zh-CN"/>
        </w:rPr>
        <w:t xml:space="preserve">can be </w:t>
      </w:r>
      <w:r w:rsidR="009A73BE">
        <w:rPr>
          <w:rFonts w:eastAsia="Times New Roman"/>
          <w:b/>
          <w:bCs/>
          <w:iCs/>
          <w:lang w:val="en-GB" w:eastAsia="zh-CN"/>
        </w:rPr>
        <w:t>reused from LTE as baseline</w:t>
      </w:r>
      <w:r w:rsidR="00E85FB2">
        <w:rPr>
          <w:rFonts w:eastAsia="Times New Roman"/>
          <w:b/>
          <w:bCs/>
          <w:i/>
          <w:lang w:val="en-GB" w:eastAsia="zh-CN"/>
        </w:rPr>
        <w:t>.</w:t>
      </w:r>
    </w:p>
    <w:p w14:paraId="196921FB" w14:textId="77777777" w:rsidR="00CA4F87" w:rsidRPr="00B8200A" w:rsidRDefault="00CA4F87" w:rsidP="00A73B7C"/>
    <w:p w14:paraId="5AB4BABA" w14:textId="77777777" w:rsidR="00EB410E" w:rsidRDefault="00EB410E" w:rsidP="00DE1023">
      <w:pPr>
        <w:pStyle w:val="Heading1"/>
        <w:numPr>
          <w:ilvl w:val="0"/>
          <w:numId w:val="2"/>
        </w:numPr>
        <w:jc w:val="both"/>
      </w:pPr>
      <w:bookmarkStart w:id="5" w:name="_Toc465993148"/>
      <w:bookmarkEnd w:id="5"/>
      <w:r>
        <w:t>Conclusion</w:t>
      </w:r>
    </w:p>
    <w:p w14:paraId="0580D4BA" w14:textId="5119AFEB" w:rsidR="00EB410E" w:rsidRDefault="00111A5A" w:rsidP="00DE1023">
      <w:pPr>
        <w:jc w:val="both"/>
        <w:rPr>
          <w:lang w:eastAsia="zh-CN"/>
        </w:rPr>
      </w:pPr>
      <w:r>
        <w:rPr>
          <w:lang w:eastAsia="zh-CN"/>
        </w:rPr>
        <w:t xml:space="preserve">This contribution discusses the </w:t>
      </w:r>
      <w:r w:rsidR="004941C6">
        <w:rPr>
          <w:lang w:eastAsia="zh-CN"/>
        </w:rPr>
        <w:t>open aspects related to usage of</w:t>
      </w:r>
      <w:r w:rsidR="00190095">
        <w:rPr>
          <w:lang w:eastAsia="zh-CN"/>
        </w:rPr>
        <w:t xml:space="preserve"> configured grant for SDT operation</w:t>
      </w:r>
      <w:r w:rsidR="00C0788E">
        <w:rPr>
          <w:lang w:eastAsia="zh-CN"/>
        </w:rPr>
        <w:t xml:space="preserve"> and makes the following proposals:</w:t>
      </w:r>
    </w:p>
    <w:bookmarkEnd w:id="2"/>
    <w:p w14:paraId="5168D63B" w14:textId="77777777" w:rsidR="00A04A8E" w:rsidRPr="00BA1FC2" w:rsidRDefault="00A04A8E" w:rsidP="00A04A8E">
      <w:pPr>
        <w:ind w:left="1350" w:hanging="1350"/>
        <w:jc w:val="both"/>
        <w:rPr>
          <w:rFonts w:eastAsia="Times New Roman"/>
          <w:b/>
          <w:bCs/>
          <w:i/>
          <w:iCs/>
          <w:lang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lang w:eastAsia="zh-CN"/>
        </w:rPr>
        <w:t>For the case when the UE has to re-evaluate the SSBs for subsequent CG transmissions, in case no qualified SSB can be selected for selection of associated CG resources, the UE selects any SSB (as in the case of legacy RA and RA-SDT).</w:t>
      </w:r>
    </w:p>
    <w:p w14:paraId="3DEF7FAF" w14:textId="77777777" w:rsidR="00A04A8E" w:rsidRPr="00A04A8E" w:rsidRDefault="00A04A8E" w:rsidP="00A04A8E">
      <w:pPr>
        <w:ind w:left="1350" w:hanging="1350"/>
        <w:jc w:val="both"/>
        <w:rPr>
          <w:rFonts w:eastAsia="Times New Roman"/>
          <w:b/>
          <w:bCs/>
          <w:i/>
          <w:iCs/>
          <w:lang w:eastAsia="zh-CN"/>
        </w:rPr>
      </w:pPr>
      <w:r>
        <w:rPr>
          <w:rFonts w:eastAsia="Times New Roman"/>
          <w:b/>
          <w:bCs/>
          <w:u w:val="single"/>
          <w:lang w:val="en-GB" w:eastAsia="zh-CN"/>
        </w:rPr>
        <w:t>Proposal 2</w:t>
      </w:r>
      <w:r w:rsidRPr="0085532A">
        <w:rPr>
          <w:rFonts w:eastAsia="Times New Roman"/>
          <w:b/>
          <w:bCs/>
          <w:u w:val="single"/>
          <w:lang w:val="en-GB" w:eastAsia="zh-CN"/>
        </w:rPr>
        <w:t>:</w:t>
      </w:r>
      <w:r>
        <w:tab/>
      </w:r>
      <w:r w:rsidRPr="00A04A8E">
        <w:rPr>
          <w:rFonts w:eastAsia="Times New Roman"/>
          <w:b/>
          <w:lang w:eastAsia="zh-CN"/>
        </w:rPr>
        <w:t>UE should not be allowed to use RA resources allocated for RA-SDT</w:t>
      </w:r>
      <w:r w:rsidRPr="00A04A8E">
        <w:rPr>
          <w:rFonts w:eastAsia="Times New Roman"/>
          <w:b/>
          <w:bCs/>
          <w:lang w:eastAsia="zh-CN"/>
        </w:rPr>
        <w:t xml:space="preserve"> during an ongoing SDT procedure</w:t>
      </w:r>
      <w:r w:rsidRPr="00A04A8E">
        <w:rPr>
          <w:rFonts w:eastAsia="Times New Roman"/>
          <w:b/>
          <w:lang w:eastAsia="zh-CN"/>
        </w:rPr>
        <w:t xml:space="preserve">, </w:t>
      </w:r>
      <w:r w:rsidRPr="00A04A8E">
        <w:rPr>
          <w:rFonts w:eastAsia="Times New Roman"/>
          <w:b/>
          <w:bCs/>
          <w:lang w:eastAsia="zh-CN"/>
        </w:rPr>
        <w:t>irrespective</w:t>
      </w:r>
      <w:r w:rsidRPr="00FD60E0">
        <w:rPr>
          <w:rFonts w:eastAsia="Times New Roman"/>
          <w:b/>
          <w:bCs/>
          <w:lang w:eastAsia="zh-CN"/>
        </w:rPr>
        <w:t xml:space="preserve"> of whether the</w:t>
      </w:r>
      <w:r>
        <w:rPr>
          <w:rFonts w:eastAsia="Times New Roman"/>
          <w:b/>
          <w:bCs/>
          <w:lang w:eastAsia="zh-CN"/>
        </w:rPr>
        <w:t xml:space="preserve"> ongoing SDT procedure was</w:t>
      </w:r>
      <w:r w:rsidRPr="00FD60E0">
        <w:rPr>
          <w:rFonts w:eastAsia="Times New Roman"/>
          <w:b/>
          <w:bCs/>
          <w:lang w:eastAsia="zh-CN"/>
        </w:rPr>
        <w:t xml:space="preserve"> initia</w:t>
      </w:r>
      <w:r>
        <w:rPr>
          <w:rFonts w:eastAsia="Times New Roman"/>
          <w:b/>
          <w:bCs/>
          <w:lang w:eastAsia="zh-CN"/>
        </w:rPr>
        <w:t>ted</w:t>
      </w:r>
      <w:r w:rsidRPr="00FD60E0">
        <w:rPr>
          <w:rFonts w:eastAsia="Times New Roman"/>
          <w:b/>
          <w:bCs/>
          <w:lang w:eastAsia="zh-CN"/>
        </w:rPr>
        <w:t xml:space="preserve"> using RA or CG</w:t>
      </w:r>
      <w:r>
        <w:rPr>
          <w:rFonts w:eastAsia="Times New Roman"/>
          <w:b/>
          <w:bCs/>
          <w:lang w:eastAsia="zh-CN"/>
        </w:rPr>
        <w:t xml:space="preserve"> resources.</w:t>
      </w:r>
    </w:p>
    <w:p w14:paraId="280225C8" w14:textId="77777777" w:rsidR="00A04A8E" w:rsidRPr="004941C6" w:rsidRDefault="00A04A8E" w:rsidP="00A04A8E">
      <w:pPr>
        <w:ind w:left="1350" w:hanging="1350"/>
        <w:jc w:val="both"/>
        <w:rPr>
          <w:rFonts w:eastAsia="Times New Roman"/>
          <w:b/>
          <w:bCs/>
          <w:lang w:eastAsia="zh-CN"/>
        </w:rPr>
      </w:pPr>
      <w:r w:rsidRPr="004941C6">
        <w:rPr>
          <w:rFonts w:eastAsia="Times New Roman"/>
          <w:b/>
          <w:bCs/>
          <w:u w:val="single"/>
          <w:lang w:val="en-GB" w:eastAsia="zh-CN"/>
        </w:rPr>
        <w:t>Proposal</w:t>
      </w:r>
      <w:r>
        <w:rPr>
          <w:rFonts w:eastAsia="Times New Roman"/>
          <w:b/>
          <w:bCs/>
          <w:u w:val="single"/>
          <w:lang w:val="en-GB" w:eastAsia="zh-CN"/>
        </w:rPr>
        <w:t xml:space="preserve"> 3</w:t>
      </w:r>
      <w:r w:rsidRPr="004941C6">
        <w:rPr>
          <w:rFonts w:eastAsia="Times New Roman"/>
          <w:b/>
          <w:bCs/>
          <w:u w:val="single"/>
          <w:lang w:val="en-GB" w:eastAsia="zh-CN"/>
        </w:rPr>
        <w:t>:</w:t>
      </w:r>
      <w:r w:rsidRPr="004941C6">
        <w:rPr>
          <w:rFonts w:eastAsia="Times New Roman"/>
          <w:b/>
          <w:bCs/>
          <w:lang w:val="en-GB" w:eastAsia="zh-CN"/>
        </w:rPr>
        <w:tab/>
      </w:r>
      <w:r w:rsidRPr="004941C6">
        <w:rPr>
          <w:rFonts w:eastAsia="Times New Roman"/>
          <w:b/>
          <w:bCs/>
          <w:lang w:eastAsia="zh-CN"/>
        </w:rPr>
        <w:t>The T319’ (</w:t>
      </w:r>
      <w:r>
        <w:rPr>
          <w:rFonts w:eastAsia="Times New Roman"/>
          <w:b/>
          <w:bCs/>
          <w:lang w:eastAsia="zh-CN"/>
        </w:rPr>
        <w:t xml:space="preserve">i.e. </w:t>
      </w:r>
      <w:r w:rsidRPr="004941C6">
        <w:rPr>
          <w:rFonts w:eastAsia="Times New Roman"/>
          <w:b/>
          <w:bCs/>
          <w:lang w:eastAsia="zh-CN"/>
        </w:rPr>
        <w:t xml:space="preserve">SDT failure detection) timer </w:t>
      </w:r>
      <w:r>
        <w:rPr>
          <w:rFonts w:eastAsia="Times New Roman"/>
          <w:b/>
          <w:bCs/>
          <w:lang w:eastAsia="zh-CN"/>
        </w:rPr>
        <w:t>is</w:t>
      </w:r>
      <w:r w:rsidRPr="004941C6">
        <w:rPr>
          <w:rFonts w:eastAsia="Times New Roman"/>
          <w:b/>
          <w:bCs/>
          <w:lang w:eastAsia="zh-CN"/>
        </w:rPr>
        <w:t xml:space="preserve"> (re)used for PDCCH monitoring after each CG-SDT transmission. </w:t>
      </w:r>
    </w:p>
    <w:p w14:paraId="75702EE3" w14:textId="77777777" w:rsidR="00A04A8E" w:rsidRDefault="00A04A8E" w:rsidP="00A04A8E">
      <w:pPr>
        <w:ind w:left="1350" w:hanging="1350"/>
        <w:jc w:val="both"/>
        <w:rPr>
          <w:rFonts w:eastAsia="Times New Roman"/>
          <w:b/>
          <w:bCs/>
          <w:i/>
          <w:iCs/>
          <w:lang w:eastAsia="zh-CN"/>
        </w:rPr>
      </w:pPr>
      <w:r w:rsidRPr="00BB3A0E">
        <w:rPr>
          <w:rFonts w:eastAsia="Times New Roman"/>
          <w:b/>
          <w:bCs/>
          <w:u w:val="single"/>
          <w:lang w:val="en-GB" w:eastAsia="zh-CN"/>
        </w:rPr>
        <w:t xml:space="preserve">Proposal </w:t>
      </w:r>
      <w:r>
        <w:rPr>
          <w:rFonts w:eastAsia="Times New Roman"/>
          <w:b/>
          <w:bCs/>
          <w:u w:val="single"/>
          <w:lang w:val="en-GB" w:eastAsia="zh-CN"/>
        </w:rPr>
        <w:t>4</w:t>
      </w:r>
      <w:r w:rsidRPr="00BB3A0E">
        <w:rPr>
          <w:rFonts w:eastAsia="Times New Roman"/>
          <w:b/>
          <w:bCs/>
          <w:u w:val="single"/>
          <w:lang w:val="en-GB" w:eastAsia="zh-CN"/>
        </w:rPr>
        <w:t>:</w:t>
      </w:r>
      <w:r w:rsidRPr="00BB3A0E">
        <w:tab/>
      </w:r>
      <w:r w:rsidRPr="00BB3A0E">
        <w:rPr>
          <w:rFonts w:eastAsia="Times New Roman"/>
          <w:b/>
          <w:bCs/>
          <w:lang w:eastAsia="zh-CN"/>
        </w:rPr>
        <w:t>The UE (re)starts the timer after each CG/DG transmission and reception and stops it upon successful termination of the SDT session. If the timer expires, SDT failure is declared and subsequent SDT failure handling is triggered</w:t>
      </w:r>
      <w:r w:rsidRPr="00603AE4">
        <w:rPr>
          <w:rFonts w:eastAsia="Times New Roman"/>
          <w:b/>
          <w:lang w:eastAsia="zh-CN"/>
        </w:rPr>
        <w:t>.</w:t>
      </w:r>
    </w:p>
    <w:p w14:paraId="6BC3B45F" w14:textId="77777777" w:rsidR="00A04A8E" w:rsidRPr="00A04A8E" w:rsidRDefault="00A04A8E" w:rsidP="00A04A8E">
      <w:pPr>
        <w:ind w:left="1350" w:hanging="1350"/>
        <w:jc w:val="both"/>
        <w:rPr>
          <w:rFonts w:eastAsia="Times New Roman"/>
          <w:b/>
          <w:bCs/>
          <w:lang w:val="en-GB" w:eastAsia="zh-CN"/>
        </w:rPr>
      </w:pPr>
      <w:r>
        <w:rPr>
          <w:rFonts w:eastAsia="Times New Roman"/>
          <w:b/>
          <w:bCs/>
          <w:u w:val="single"/>
          <w:lang w:val="en-GB" w:eastAsia="zh-CN"/>
        </w:rPr>
        <w:t>Proposal 5:</w:t>
      </w:r>
      <w:r>
        <w:tab/>
      </w:r>
      <w:r>
        <w:rPr>
          <w:rFonts w:eastAsia="Times New Roman"/>
          <w:b/>
          <w:bCs/>
          <w:lang w:val="en-GB" w:eastAsia="zh-CN"/>
        </w:rPr>
        <w:t xml:space="preserve">Regarding the selection of SSB for RSRP based TA validation, </w:t>
      </w:r>
      <w:r w:rsidRPr="00AF5522">
        <w:rPr>
          <w:rFonts w:eastAsia="Times New Roman"/>
          <w:b/>
          <w:bCs/>
          <w:lang w:val="en-GB" w:eastAsia="zh-CN"/>
        </w:rPr>
        <w:t xml:space="preserve">the SSB subset for RSRP based TA validation is </w:t>
      </w:r>
      <w:r>
        <w:rPr>
          <w:rFonts w:eastAsia="Times New Roman"/>
          <w:b/>
          <w:bCs/>
          <w:lang w:val="en-GB" w:eastAsia="zh-CN"/>
        </w:rPr>
        <w:t>configured per CG configuration (i.e. Option 1 as per RAN1 LS)</w:t>
      </w:r>
      <w:r w:rsidRPr="004941C6">
        <w:rPr>
          <w:rFonts w:eastAsia="Times New Roman"/>
          <w:b/>
          <w:bCs/>
          <w:lang w:val="en-GB" w:eastAsia="zh-CN"/>
        </w:rPr>
        <w:t>.</w:t>
      </w:r>
    </w:p>
    <w:p w14:paraId="4DEB8EBB" w14:textId="77777777" w:rsidR="00A04A8E" w:rsidRDefault="00A04A8E" w:rsidP="00A04A8E">
      <w:pPr>
        <w:ind w:left="1350" w:hanging="1350"/>
        <w:jc w:val="both"/>
        <w:rPr>
          <w:rFonts w:eastAsia="Times New Roman"/>
          <w:b/>
          <w:bCs/>
          <w:lang w:val="en-GB" w:eastAsia="zh-CN"/>
        </w:rPr>
      </w:pPr>
      <w:r>
        <w:rPr>
          <w:rFonts w:eastAsia="Times New Roman"/>
          <w:b/>
          <w:bCs/>
          <w:u w:val="single"/>
          <w:lang w:val="en-GB" w:eastAsia="zh-CN"/>
        </w:rPr>
        <w:t>Proposal 6:</w:t>
      </w:r>
      <w:r>
        <w:tab/>
      </w:r>
      <w:r w:rsidRPr="004941C6">
        <w:rPr>
          <w:rFonts w:eastAsia="Times New Roman"/>
          <w:b/>
          <w:bCs/>
          <w:lang w:val="en-GB" w:eastAsia="zh-CN"/>
        </w:rPr>
        <w:t>While the TA validation criteria of the RSRP delta threshold is not met, UE shall not use the CG resources but keeps stored the CG-SDT configuration (although is considered as not valid).</w:t>
      </w:r>
    </w:p>
    <w:p w14:paraId="60CF7D44" w14:textId="77777777" w:rsidR="00A04A8E" w:rsidRDefault="00A04A8E" w:rsidP="00A04A8E">
      <w:pPr>
        <w:ind w:left="1350" w:hanging="1350"/>
        <w:jc w:val="both"/>
        <w:rPr>
          <w:rFonts w:eastAsia="Times New Roman"/>
          <w:b/>
          <w:bCs/>
          <w:lang w:val="en-GB" w:eastAsia="zh-CN"/>
        </w:rPr>
      </w:pPr>
      <w:r w:rsidRPr="00A04A8E">
        <w:rPr>
          <w:rFonts w:eastAsia="Times New Roman"/>
          <w:b/>
          <w:bCs/>
          <w:u w:val="single"/>
          <w:lang w:val="en-GB" w:eastAsia="zh-CN"/>
        </w:rPr>
        <w:t>Proposal 7:</w:t>
      </w:r>
      <w:r w:rsidRPr="00A04A8E">
        <w:tab/>
      </w:r>
      <w:r w:rsidRPr="00A04A8E">
        <w:rPr>
          <w:rFonts w:eastAsia="Times New Roman"/>
          <w:b/>
          <w:bCs/>
          <w:lang w:val="en-GB" w:eastAsia="zh-CN"/>
        </w:rPr>
        <w:t>During an ongoing SDT session, if CG-specific TAT expires (or is not running) or TA criterion for RSRP-delta threshold is not met, the SDT session can still continue using DG (understanding that CG-SDT configuration is released upon CG-specific TAT expiry and is considered invalid when TA criterion for RSRP-delta is not met).</w:t>
      </w:r>
    </w:p>
    <w:p w14:paraId="130571AC" w14:textId="77777777" w:rsidR="00A04A8E" w:rsidRPr="0085532A" w:rsidRDefault="00A04A8E" w:rsidP="00A04A8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8</w:t>
      </w:r>
      <w:r w:rsidRPr="0085532A">
        <w:rPr>
          <w:rFonts w:eastAsia="Times New Roman"/>
          <w:b/>
          <w:bCs/>
          <w:u w:val="single"/>
          <w:lang w:val="en-GB" w:eastAsia="zh-CN"/>
        </w:rPr>
        <w:t>:</w:t>
      </w:r>
      <w:r w:rsidRPr="0085532A">
        <w:rPr>
          <w:rFonts w:eastAsia="Times New Roman"/>
          <w:b/>
          <w:bCs/>
          <w:lang w:val="en-GB" w:eastAsia="zh-CN"/>
        </w:rPr>
        <w:tab/>
      </w:r>
      <w:r w:rsidRPr="004941C6">
        <w:rPr>
          <w:rFonts w:eastAsia="Times New Roman"/>
          <w:b/>
          <w:bCs/>
          <w:iCs/>
          <w:lang w:val="en-GB" w:eastAsia="zh-CN"/>
        </w:rPr>
        <w:t xml:space="preserve">RAN2 is proposed to agree that assistance information for configuration of CG-SDT resource can be provided by the UE to the gNB in RRC_CONNECTED. </w:t>
      </w:r>
      <w:r>
        <w:rPr>
          <w:rFonts w:eastAsia="Times New Roman"/>
          <w:b/>
          <w:bCs/>
          <w:iCs/>
          <w:lang w:val="en-GB" w:eastAsia="zh-CN"/>
        </w:rPr>
        <w:t xml:space="preserve">At least </w:t>
      </w:r>
      <w:r w:rsidRPr="000661E1">
        <w:rPr>
          <w:rFonts w:eastAsia="Times New Roman"/>
          <w:b/>
          <w:bCs/>
          <w:iCs/>
          <w:lang w:val="en-GB" w:eastAsia="zh-CN"/>
        </w:rPr>
        <w:t xml:space="preserve">at least </w:t>
      </w:r>
      <w:r w:rsidRPr="00A04A8E">
        <w:rPr>
          <w:rFonts w:eastAsia="Times New Roman"/>
          <w:b/>
          <w:bCs/>
          <w:i/>
          <w:lang w:val="en-GB" w:eastAsia="zh-CN"/>
        </w:rPr>
        <w:t>requestedNumOccasions</w:t>
      </w:r>
      <w:r>
        <w:rPr>
          <w:rFonts w:eastAsia="Times New Roman"/>
          <w:b/>
          <w:bCs/>
          <w:iCs/>
          <w:lang w:val="en-GB" w:eastAsia="zh-CN"/>
        </w:rPr>
        <w:t xml:space="preserve"> </w:t>
      </w:r>
      <w:r w:rsidRPr="000661E1">
        <w:rPr>
          <w:rFonts w:eastAsia="Times New Roman"/>
          <w:b/>
          <w:bCs/>
          <w:iCs/>
          <w:lang w:val="en-GB" w:eastAsia="zh-CN"/>
        </w:rPr>
        <w:t xml:space="preserve">and </w:t>
      </w:r>
      <w:r w:rsidRPr="00A04A8E">
        <w:rPr>
          <w:rFonts w:eastAsia="Times New Roman"/>
          <w:b/>
          <w:bCs/>
          <w:i/>
          <w:lang w:val="en-GB" w:eastAsia="zh-CN"/>
        </w:rPr>
        <w:t>requestedPeriodicityAndOffset</w:t>
      </w:r>
      <w:r>
        <w:rPr>
          <w:rFonts w:eastAsia="Times New Roman"/>
          <w:b/>
          <w:bCs/>
          <w:i/>
          <w:lang w:val="en-GB" w:eastAsia="zh-CN"/>
        </w:rPr>
        <w:t xml:space="preserve"> </w:t>
      </w:r>
      <w:r>
        <w:rPr>
          <w:rFonts w:eastAsia="Times New Roman"/>
          <w:b/>
          <w:bCs/>
          <w:iCs/>
          <w:lang w:val="en-GB" w:eastAsia="zh-CN"/>
        </w:rPr>
        <w:t>can be reused from LTE as baseline</w:t>
      </w:r>
      <w:r>
        <w:rPr>
          <w:rFonts w:eastAsia="Times New Roman"/>
          <w:b/>
          <w:bCs/>
          <w:i/>
          <w:lang w:val="en-GB" w:eastAsia="zh-CN"/>
        </w:rPr>
        <w:t>.</w:t>
      </w:r>
    </w:p>
    <w:sdt>
      <w:sdtPr>
        <w:rPr>
          <w:rFonts w:ascii="Times New Roman" w:eastAsia="SimSun" w:hAnsi="Times New Roman"/>
          <w:noProof w:val="0"/>
          <w:sz w:val="20"/>
          <w:lang w:val="en-US" w:eastAsia="en-US"/>
        </w:rPr>
        <w:id w:val="52438684"/>
        <w:docPartObj>
          <w:docPartGallery w:val="Bibliographies"/>
          <w:docPartUnique/>
        </w:docPartObj>
      </w:sdtPr>
      <w:sdtEndPr/>
      <w:sdtContent>
        <w:p w14:paraId="0225B45D" w14:textId="407FCAB4" w:rsidR="003C1DE5" w:rsidRDefault="003C1DE5">
          <w:pPr>
            <w:pStyle w:val="Heading1"/>
          </w:pPr>
          <w:r>
            <w:t>References</w:t>
          </w:r>
        </w:p>
        <w:sdt>
          <w:sdtPr>
            <w:id w:val="-573587230"/>
            <w:bibliography/>
          </w:sdtPr>
          <w:sdtEndPr/>
          <w:sdtContent>
            <w:p w14:paraId="22A519A1" w14:textId="77777777" w:rsidR="003E55A0" w:rsidRDefault="003C1DE5">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E55A0" w14:paraId="7AF82A64" w14:textId="77777777">
                <w:trPr>
                  <w:divId w:val="1290042842"/>
                  <w:tblCellSpacing w:w="15" w:type="dxa"/>
                </w:trPr>
                <w:tc>
                  <w:tcPr>
                    <w:tcW w:w="50" w:type="pct"/>
                    <w:hideMark/>
                  </w:tcPr>
                  <w:p w14:paraId="3E8032FA" w14:textId="737D2298" w:rsidR="003E55A0" w:rsidRDefault="003E55A0">
                    <w:pPr>
                      <w:pStyle w:val="Bibliography"/>
                      <w:rPr>
                        <w:noProof/>
                        <w:sz w:val="24"/>
                        <w:szCs w:val="24"/>
                        <w:lang w:val="en-GB"/>
                      </w:rPr>
                    </w:pPr>
                    <w:r>
                      <w:rPr>
                        <w:noProof/>
                        <w:lang w:val="en-GB"/>
                      </w:rPr>
                      <w:t xml:space="preserve">[1] </w:t>
                    </w:r>
                  </w:p>
                </w:tc>
                <w:tc>
                  <w:tcPr>
                    <w:tcW w:w="0" w:type="auto"/>
                    <w:hideMark/>
                  </w:tcPr>
                  <w:p w14:paraId="57308200" w14:textId="77777777" w:rsidR="003E55A0" w:rsidRDefault="003E55A0">
                    <w:pPr>
                      <w:pStyle w:val="Bibliography"/>
                      <w:rPr>
                        <w:noProof/>
                        <w:lang w:val="en-GB"/>
                      </w:rPr>
                    </w:pPr>
                    <w:r>
                      <w:rPr>
                        <w:noProof/>
                        <w:lang w:val="en-GB"/>
                      </w:rPr>
                      <w:t xml:space="preserve">“RAN2#115 e-Meeting, Chairman Notes”. </w:t>
                    </w:r>
                  </w:p>
                </w:tc>
              </w:tr>
              <w:tr w:rsidR="003E55A0" w14:paraId="5B77C3B4" w14:textId="77777777">
                <w:trPr>
                  <w:divId w:val="1290042842"/>
                  <w:tblCellSpacing w:w="15" w:type="dxa"/>
                </w:trPr>
                <w:tc>
                  <w:tcPr>
                    <w:tcW w:w="50" w:type="pct"/>
                    <w:hideMark/>
                  </w:tcPr>
                  <w:p w14:paraId="1D7F29DA" w14:textId="77777777" w:rsidR="003E55A0" w:rsidRDefault="003E55A0">
                    <w:pPr>
                      <w:pStyle w:val="Bibliography"/>
                      <w:rPr>
                        <w:noProof/>
                        <w:lang w:val="en-GB"/>
                      </w:rPr>
                    </w:pPr>
                    <w:r>
                      <w:rPr>
                        <w:noProof/>
                        <w:lang w:val="en-GB"/>
                      </w:rPr>
                      <w:t xml:space="preserve">[2] </w:t>
                    </w:r>
                  </w:p>
                </w:tc>
                <w:tc>
                  <w:tcPr>
                    <w:tcW w:w="0" w:type="auto"/>
                    <w:hideMark/>
                  </w:tcPr>
                  <w:p w14:paraId="32755CD9" w14:textId="77777777" w:rsidR="003E55A0" w:rsidRDefault="003E55A0">
                    <w:pPr>
                      <w:pStyle w:val="Bibliography"/>
                      <w:rPr>
                        <w:noProof/>
                        <w:lang w:val="en-GB"/>
                      </w:rPr>
                    </w:pPr>
                    <w:r>
                      <w:rPr>
                        <w:noProof/>
                        <w:lang w:val="en-GB"/>
                      </w:rPr>
                      <w:t xml:space="preserve">“R2-210xxxx_Summary_of_[Post115-e][509][SDT]_CG_open_issues_(Xiaomi)”. </w:t>
                    </w:r>
                  </w:p>
                </w:tc>
              </w:tr>
              <w:tr w:rsidR="003E55A0" w14:paraId="1EE56E1B" w14:textId="77777777">
                <w:trPr>
                  <w:divId w:val="1290042842"/>
                  <w:tblCellSpacing w:w="15" w:type="dxa"/>
                </w:trPr>
                <w:tc>
                  <w:tcPr>
                    <w:tcW w:w="50" w:type="pct"/>
                    <w:hideMark/>
                  </w:tcPr>
                  <w:p w14:paraId="1C9BA630" w14:textId="77777777" w:rsidR="003E55A0" w:rsidRDefault="003E55A0">
                    <w:pPr>
                      <w:pStyle w:val="Bibliography"/>
                      <w:rPr>
                        <w:noProof/>
                        <w:lang w:val="en-GB"/>
                      </w:rPr>
                    </w:pPr>
                    <w:r>
                      <w:rPr>
                        <w:noProof/>
                        <w:lang w:val="en-GB"/>
                      </w:rPr>
                      <w:t xml:space="preserve">[3] </w:t>
                    </w:r>
                  </w:p>
                </w:tc>
                <w:tc>
                  <w:tcPr>
                    <w:tcW w:w="0" w:type="auto"/>
                    <w:hideMark/>
                  </w:tcPr>
                  <w:p w14:paraId="1A433217" w14:textId="77777777" w:rsidR="003E55A0" w:rsidRDefault="003E55A0">
                    <w:pPr>
                      <w:pStyle w:val="Bibliography"/>
                      <w:rPr>
                        <w:noProof/>
                        <w:lang w:val="en-GB"/>
                      </w:rPr>
                    </w:pPr>
                    <w:r>
                      <w:rPr>
                        <w:noProof/>
                        <w:lang w:val="en-GB"/>
                      </w:rPr>
                      <w:t xml:space="preserve">“R2-2109620, Control plane leftover issues for SDT procedure (Intel)”. </w:t>
                    </w:r>
                  </w:p>
                </w:tc>
              </w:tr>
              <w:tr w:rsidR="003E55A0" w14:paraId="1403C4AE" w14:textId="77777777">
                <w:trPr>
                  <w:divId w:val="1290042842"/>
                  <w:tblCellSpacing w:w="15" w:type="dxa"/>
                </w:trPr>
                <w:tc>
                  <w:tcPr>
                    <w:tcW w:w="50" w:type="pct"/>
                    <w:hideMark/>
                  </w:tcPr>
                  <w:p w14:paraId="62BDBBCD" w14:textId="77777777" w:rsidR="003E55A0" w:rsidRDefault="003E55A0">
                    <w:pPr>
                      <w:pStyle w:val="Bibliography"/>
                      <w:rPr>
                        <w:noProof/>
                        <w:lang w:val="en-GB"/>
                      </w:rPr>
                    </w:pPr>
                    <w:r>
                      <w:rPr>
                        <w:noProof/>
                        <w:lang w:val="en-GB"/>
                      </w:rPr>
                      <w:t xml:space="preserve">[4] </w:t>
                    </w:r>
                  </w:p>
                </w:tc>
                <w:tc>
                  <w:tcPr>
                    <w:tcW w:w="0" w:type="auto"/>
                    <w:hideMark/>
                  </w:tcPr>
                  <w:p w14:paraId="23DA97F1" w14:textId="77777777" w:rsidR="003E55A0" w:rsidRDefault="003E55A0">
                    <w:pPr>
                      <w:pStyle w:val="Bibliography"/>
                      <w:rPr>
                        <w:noProof/>
                        <w:lang w:val="en-GB"/>
                      </w:rPr>
                    </w:pPr>
                    <w:r>
                      <w:rPr>
                        <w:noProof/>
                        <w:lang w:val="en-GB"/>
                      </w:rPr>
                      <w:t xml:space="preserve">“R2-2109621, User plane leftover issues for SDT procedure (Intel)”. </w:t>
                    </w:r>
                  </w:p>
                </w:tc>
              </w:tr>
            </w:tbl>
            <w:p w14:paraId="6F9D0FAA" w14:textId="77777777" w:rsidR="003E55A0" w:rsidRDefault="003E55A0">
              <w:pPr>
                <w:divId w:val="1290042842"/>
                <w:rPr>
                  <w:rFonts w:eastAsia="Times New Roman"/>
                  <w:noProof/>
                </w:rPr>
              </w:pPr>
            </w:p>
            <w:p w14:paraId="7B84F533" w14:textId="79A16A81" w:rsidR="003C1DE5" w:rsidRDefault="003C1DE5">
              <w:r>
                <w:rPr>
                  <w:b/>
                  <w:bCs/>
                  <w:noProof/>
                </w:rPr>
                <w:fldChar w:fldCharType="end"/>
              </w:r>
            </w:p>
          </w:sdtContent>
        </w:sdt>
      </w:sdtContent>
    </w:sdt>
    <w:p w14:paraId="7D347166" w14:textId="2BB2B710" w:rsidR="003553D4" w:rsidRDefault="003553D4"/>
    <w:p w14:paraId="13A162D6" w14:textId="4851DCA9" w:rsidR="006664E0" w:rsidRDefault="006664E0"/>
    <w:p w14:paraId="24A83A4B" w14:textId="02F0AAAF" w:rsidR="00C00EA7" w:rsidRPr="00C00EA7" w:rsidRDefault="00C00EA7" w:rsidP="00DE1023">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561F0" w14:textId="77777777" w:rsidR="008831E6" w:rsidRDefault="008831E6" w:rsidP="00DD5C83">
      <w:pPr>
        <w:spacing w:after="0"/>
      </w:pPr>
      <w:r>
        <w:separator/>
      </w:r>
    </w:p>
  </w:endnote>
  <w:endnote w:type="continuationSeparator" w:id="0">
    <w:p w14:paraId="1BA2AEAC" w14:textId="77777777" w:rsidR="008831E6" w:rsidRDefault="008831E6" w:rsidP="00DD5C83">
      <w:pPr>
        <w:spacing w:after="0"/>
      </w:pPr>
      <w:r>
        <w:continuationSeparator/>
      </w:r>
    </w:p>
  </w:endnote>
  <w:endnote w:type="continuationNotice" w:id="1">
    <w:p w14:paraId="52292A4C" w14:textId="77777777" w:rsidR="008831E6" w:rsidRDefault="00883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524C5" w14:textId="77777777" w:rsidR="008831E6" w:rsidRDefault="008831E6" w:rsidP="00DD5C83">
      <w:pPr>
        <w:spacing w:after="0"/>
      </w:pPr>
      <w:r>
        <w:separator/>
      </w:r>
    </w:p>
  </w:footnote>
  <w:footnote w:type="continuationSeparator" w:id="0">
    <w:p w14:paraId="14BA3F2E" w14:textId="77777777" w:rsidR="008831E6" w:rsidRDefault="008831E6" w:rsidP="00DD5C83">
      <w:pPr>
        <w:spacing w:after="0"/>
      </w:pPr>
      <w:r>
        <w:continuationSeparator/>
      </w:r>
    </w:p>
  </w:footnote>
  <w:footnote w:type="continuationNotice" w:id="1">
    <w:p w14:paraId="224CC8EE" w14:textId="77777777" w:rsidR="008831E6" w:rsidRDefault="00883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2D77"/>
    <w:multiLevelType w:val="hybridMultilevel"/>
    <w:tmpl w:val="F9BE7102"/>
    <w:lvl w:ilvl="0" w:tplc="B76669F4">
      <w:start w:val="1"/>
      <w:numFmt w:val="decimal"/>
      <w:lvlText w:val="%1)"/>
      <w:lvlJc w:val="left"/>
      <w:pPr>
        <w:ind w:left="720" w:hanging="360"/>
      </w:pPr>
      <w:rPr>
        <w:rFonts w:ascii="Arial" w:hAnsi="Arial" w:cs="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91134"/>
    <w:multiLevelType w:val="hybridMultilevel"/>
    <w:tmpl w:val="78421878"/>
    <w:lvl w:ilvl="0" w:tplc="CEB6C59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B40AC9"/>
    <w:multiLevelType w:val="hybridMultilevel"/>
    <w:tmpl w:val="442A62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D2B06"/>
    <w:multiLevelType w:val="hybridMultilevel"/>
    <w:tmpl w:val="96E65ABA"/>
    <w:lvl w:ilvl="0" w:tplc="32763680">
      <w:start w:val="1"/>
      <w:numFmt w:val="bullet"/>
      <w:lvlText w:val="-"/>
      <w:lvlJc w:val="left"/>
      <w:pPr>
        <w:ind w:left="720" w:hanging="360"/>
      </w:pPr>
      <w:rPr>
        <w:rFonts w:ascii="Courier New" w:hAnsi="Courier New" w:hint="default"/>
      </w:rPr>
    </w:lvl>
    <w:lvl w:ilvl="1" w:tplc="D3BC66C4">
      <w:start w:val="15"/>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9D5C5B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CD038D3"/>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7A83CA7"/>
    <w:multiLevelType w:val="hybridMultilevel"/>
    <w:tmpl w:val="012E9266"/>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D5F98"/>
    <w:multiLevelType w:val="hybridMultilevel"/>
    <w:tmpl w:val="137A918A"/>
    <w:lvl w:ilvl="0" w:tplc="47502430">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73142D7"/>
    <w:multiLevelType w:val="hybridMultilevel"/>
    <w:tmpl w:val="56625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DE0FF8"/>
    <w:multiLevelType w:val="hybridMultilevel"/>
    <w:tmpl w:val="00587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25076"/>
    <w:multiLevelType w:val="hybridMultilevel"/>
    <w:tmpl w:val="22FEDDB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F74A98"/>
    <w:multiLevelType w:val="hybridMultilevel"/>
    <w:tmpl w:val="D6760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2C3E03"/>
    <w:multiLevelType w:val="hybridMultilevel"/>
    <w:tmpl w:val="726ABEFC"/>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C04A7A"/>
    <w:multiLevelType w:val="hybridMultilevel"/>
    <w:tmpl w:val="B550518A"/>
    <w:lvl w:ilvl="0" w:tplc="04090001">
      <w:start w:val="1"/>
      <w:numFmt w:val="bullet"/>
      <w:pStyle w:val="NormalNumbered"/>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9686D"/>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1"/>
  </w:num>
  <w:num w:numId="5">
    <w:abstractNumId w:val="23"/>
  </w:num>
  <w:num w:numId="6">
    <w:abstractNumId w:val="9"/>
  </w:num>
  <w:num w:numId="7">
    <w:abstractNumId w:val="10"/>
  </w:num>
  <w:num w:numId="8">
    <w:abstractNumId w:val="1"/>
  </w:num>
  <w:num w:numId="9">
    <w:abstractNumId w:val="7"/>
  </w:num>
  <w:num w:numId="10">
    <w:abstractNumId w:val="0"/>
  </w:num>
  <w:num w:numId="11">
    <w:abstractNumId w:val="15"/>
  </w:num>
  <w:num w:numId="12">
    <w:abstractNumId w:val="17"/>
  </w:num>
  <w:num w:numId="13">
    <w:abstractNumId w:val="13"/>
  </w:num>
  <w:num w:numId="14">
    <w:abstractNumId w:val="6"/>
  </w:num>
  <w:num w:numId="15">
    <w:abstractNumId w:val="14"/>
  </w:num>
  <w:num w:numId="16">
    <w:abstractNumId w:val="4"/>
  </w:num>
  <w:num w:numId="17">
    <w:abstractNumId w:val="16"/>
  </w:num>
  <w:num w:numId="18">
    <w:abstractNumId w:val="3"/>
  </w:num>
  <w:num w:numId="19">
    <w:abstractNumId w:val="18"/>
  </w:num>
  <w:num w:numId="20">
    <w:abstractNumId w:val="11"/>
  </w:num>
  <w:num w:numId="21">
    <w:abstractNumId w:val="5"/>
  </w:num>
  <w:num w:numId="22">
    <w:abstractNumId w:val="2"/>
  </w:num>
  <w:num w:numId="23">
    <w:abstractNumId w:val="20"/>
  </w:num>
  <w:num w:numId="24">
    <w:abstractNumId w:val="22"/>
  </w:num>
  <w:num w:numId="2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E1F"/>
    <w:rsid w:val="00001EF2"/>
    <w:rsid w:val="00003D3A"/>
    <w:rsid w:val="0000464F"/>
    <w:rsid w:val="00004829"/>
    <w:rsid w:val="00005BF8"/>
    <w:rsid w:val="00005CA3"/>
    <w:rsid w:val="00006B10"/>
    <w:rsid w:val="00006CEA"/>
    <w:rsid w:val="00012815"/>
    <w:rsid w:val="000161B9"/>
    <w:rsid w:val="00016262"/>
    <w:rsid w:val="000176A8"/>
    <w:rsid w:val="00020237"/>
    <w:rsid w:val="000207B8"/>
    <w:rsid w:val="000212D7"/>
    <w:rsid w:val="00022C94"/>
    <w:rsid w:val="000230D3"/>
    <w:rsid w:val="000230F4"/>
    <w:rsid w:val="00024E28"/>
    <w:rsid w:val="00025111"/>
    <w:rsid w:val="00025791"/>
    <w:rsid w:val="00025E3C"/>
    <w:rsid w:val="00026665"/>
    <w:rsid w:val="00026BBD"/>
    <w:rsid w:val="00030E5C"/>
    <w:rsid w:val="00030F64"/>
    <w:rsid w:val="000334C2"/>
    <w:rsid w:val="0003442E"/>
    <w:rsid w:val="000344E4"/>
    <w:rsid w:val="00035853"/>
    <w:rsid w:val="0003634D"/>
    <w:rsid w:val="00036E0E"/>
    <w:rsid w:val="000373E9"/>
    <w:rsid w:val="00040190"/>
    <w:rsid w:val="000401F2"/>
    <w:rsid w:val="00042A07"/>
    <w:rsid w:val="00043954"/>
    <w:rsid w:val="00047828"/>
    <w:rsid w:val="00051996"/>
    <w:rsid w:val="00056F6A"/>
    <w:rsid w:val="0005723F"/>
    <w:rsid w:val="00060413"/>
    <w:rsid w:val="00061B35"/>
    <w:rsid w:val="00061BFD"/>
    <w:rsid w:val="00064752"/>
    <w:rsid w:val="00064EF4"/>
    <w:rsid w:val="00064F1D"/>
    <w:rsid w:val="000661E1"/>
    <w:rsid w:val="000663FC"/>
    <w:rsid w:val="000667D4"/>
    <w:rsid w:val="0007027E"/>
    <w:rsid w:val="00070A3F"/>
    <w:rsid w:val="00071E9A"/>
    <w:rsid w:val="00072D70"/>
    <w:rsid w:val="00072F8D"/>
    <w:rsid w:val="000758AE"/>
    <w:rsid w:val="00075922"/>
    <w:rsid w:val="00076E59"/>
    <w:rsid w:val="0007714A"/>
    <w:rsid w:val="000804CF"/>
    <w:rsid w:val="000807D0"/>
    <w:rsid w:val="00080952"/>
    <w:rsid w:val="00080D43"/>
    <w:rsid w:val="00081B0D"/>
    <w:rsid w:val="00082E46"/>
    <w:rsid w:val="00083974"/>
    <w:rsid w:val="00091340"/>
    <w:rsid w:val="00091887"/>
    <w:rsid w:val="00091DE0"/>
    <w:rsid w:val="0009342F"/>
    <w:rsid w:val="000939AC"/>
    <w:rsid w:val="000941FB"/>
    <w:rsid w:val="00095C31"/>
    <w:rsid w:val="000971A9"/>
    <w:rsid w:val="00097A65"/>
    <w:rsid w:val="000A0C69"/>
    <w:rsid w:val="000A3B0E"/>
    <w:rsid w:val="000A40D3"/>
    <w:rsid w:val="000A5FFE"/>
    <w:rsid w:val="000A6B3B"/>
    <w:rsid w:val="000A7D2D"/>
    <w:rsid w:val="000B017A"/>
    <w:rsid w:val="000B1980"/>
    <w:rsid w:val="000B32D7"/>
    <w:rsid w:val="000B5C76"/>
    <w:rsid w:val="000B5F3D"/>
    <w:rsid w:val="000B74B0"/>
    <w:rsid w:val="000C140A"/>
    <w:rsid w:val="000C20AC"/>
    <w:rsid w:val="000C2692"/>
    <w:rsid w:val="000C28B8"/>
    <w:rsid w:val="000C3473"/>
    <w:rsid w:val="000C41C2"/>
    <w:rsid w:val="000C4265"/>
    <w:rsid w:val="000C48B6"/>
    <w:rsid w:val="000C4D83"/>
    <w:rsid w:val="000C7040"/>
    <w:rsid w:val="000C7D35"/>
    <w:rsid w:val="000D08E5"/>
    <w:rsid w:val="000D0C0F"/>
    <w:rsid w:val="000D1FD8"/>
    <w:rsid w:val="000D2BE9"/>
    <w:rsid w:val="000D4379"/>
    <w:rsid w:val="000D7B92"/>
    <w:rsid w:val="000E0653"/>
    <w:rsid w:val="000E246B"/>
    <w:rsid w:val="000E68B5"/>
    <w:rsid w:val="000F0ABD"/>
    <w:rsid w:val="000F0CDC"/>
    <w:rsid w:val="000F39A4"/>
    <w:rsid w:val="000F39FE"/>
    <w:rsid w:val="000F4918"/>
    <w:rsid w:val="000F4A65"/>
    <w:rsid w:val="000F4FE5"/>
    <w:rsid w:val="000F5BA4"/>
    <w:rsid w:val="000F5F56"/>
    <w:rsid w:val="000F631C"/>
    <w:rsid w:val="000F6824"/>
    <w:rsid w:val="000F6AEF"/>
    <w:rsid w:val="00100858"/>
    <w:rsid w:val="001014CF"/>
    <w:rsid w:val="00102261"/>
    <w:rsid w:val="00102CD3"/>
    <w:rsid w:val="001035C0"/>
    <w:rsid w:val="0010363A"/>
    <w:rsid w:val="00104032"/>
    <w:rsid w:val="00104E06"/>
    <w:rsid w:val="0010636C"/>
    <w:rsid w:val="00106625"/>
    <w:rsid w:val="001068D1"/>
    <w:rsid w:val="001069E2"/>
    <w:rsid w:val="00106D40"/>
    <w:rsid w:val="0010701B"/>
    <w:rsid w:val="00111A5A"/>
    <w:rsid w:val="00113AA4"/>
    <w:rsid w:val="001142E7"/>
    <w:rsid w:val="00114778"/>
    <w:rsid w:val="0012091B"/>
    <w:rsid w:val="00120A81"/>
    <w:rsid w:val="0012112E"/>
    <w:rsid w:val="00121245"/>
    <w:rsid w:val="00123680"/>
    <w:rsid w:val="0012589C"/>
    <w:rsid w:val="00125CE0"/>
    <w:rsid w:val="00130943"/>
    <w:rsid w:val="00131228"/>
    <w:rsid w:val="00131E86"/>
    <w:rsid w:val="00132AA2"/>
    <w:rsid w:val="00133700"/>
    <w:rsid w:val="0013416B"/>
    <w:rsid w:val="00134632"/>
    <w:rsid w:val="001358B1"/>
    <w:rsid w:val="00137DD6"/>
    <w:rsid w:val="00140061"/>
    <w:rsid w:val="001401A6"/>
    <w:rsid w:val="00142E10"/>
    <w:rsid w:val="001538A6"/>
    <w:rsid w:val="00153D25"/>
    <w:rsid w:val="0015402C"/>
    <w:rsid w:val="00156621"/>
    <w:rsid w:val="00157805"/>
    <w:rsid w:val="0016349A"/>
    <w:rsid w:val="00164C91"/>
    <w:rsid w:val="00164FF0"/>
    <w:rsid w:val="00165CA7"/>
    <w:rsid w:val="00172625"/>
    <w:rsid w:val="00174E43"/>
    <w:rsid w:val="00175CBA"/>
    <w:rsid w:val="00175EEE"/>
    <w:rsid w:val="00176DED"/>
    <w:rsid w:val="00177B35"/>
    <w:rsid w:val="0018286D"/>
    <w:rsid w:val="00182BE3"/>
    <w:rsid w:val="00183C5A"/>
    <w:rsid w:val="00185EE8"/>
    <w:rsid w:val="00186AFD"/>
    <w:rsid w:val="001870DC"/>
    <w:rsid w:val="00190095"/>
    <w:rsid w:val="00190096"/>
    <w:rsid w:val="00190AFA"/>
    <w:rsid w:val="00190CC2"/>
    <w:rsid w:val="00190E7D"/>
    <w:rsid w:val="00191BB4"/>
    <w:rsid w:val="001926FC"/>
    <w:rsid w:val="00192E14"/>
    <w:rsid w:val="00194BDC"/>
    <w:rsid w:val="001963A6"/>
    <w:rsid w:val="00196B61"/>
    <w:rsid w:val="00196BB1"/>
    <w:rsid w:val="00196F5B"/>
    <w:rsid w:val="00196F9C"/>
    <w:rsid w:val="001A7220"/>
    <w:rsid w:val="001A7985"/>
    <w:rsid w:val="001A7D0C"/>
    <w:rsid w:val="001B00AF"/>
    <w:rsid w:val="001B0B75"/>
    <w:rsid w:val="001B0EEB"/>
    <w:rsid w:val="001B1436"/>
    <w:rsid w:val="001B5981"/>
    <w:rsid w:val="001B692E"/>
    <w:rsid w:val="001C05A5"/>
    <w:rsid w:val="001C1195"/>
    <w:rsid w:val="001C1396"/>
    <w:rsid w:val="001C2370"/>
    <w:rsid w:val="001C2BB1"/>
    <w:rsid w:val="001C3F36"/>
    <w:rsid w:val="001C4D1D"/>
    <w:rsid w:val="001C5A82"/>
    <w:rsid w:val="001C62FA"/>
    <w:rsid w:val="001C66E8"/>
    <w:rsid w:val="001D136B"/>
    <w:rsid w:val="001D2C79"/>
    <w:rsid w:val="001D442F"/>
    <w:rsid w:val="001E357B"/>
    <w:rsid w:val="001E5F6F"/>
    <w:rsid w:val="001F079A"/>
    <w:rsid w:val="001F1725"/>
    <w:rsid w:val="001F1AEF"/>
    <w:rsid w:val="001F1D20"/>
    <w:rsid w:val="001F3A24"/>
    <w:rsid w:val="001F3DE7"/>
    <w:rsid w:val="001F49F1"/>
    <w:rsid w:val="001F55BE"/>
    <w:rsid w:val="001F6415"/>
    <w:rsid w:val="002003F4"/>
    <w:rsid w:val="00200BC5"/>
    <w:rsid w:val="002026D9"/>
    <w:rsid w:val="0020323B"/>
    <w:rsid w:val="00203D0D"/>
    <w:rsid w:val="00205982"/>
    <w:rsid w:val="002107D8"/>
    <w:rsid w:val="00211496"/>
    <w:rsid w:val="00211B63"/>
    <w:rsid w:val="00213A54"/>
    <w:rsid w:val="00213A6B"/>
    <w:rsid w:val="0021429A"/>
    <w:rsid w:val="00214A58"/>
    <w:rsid w:val="00215879"/>
    <w:rsid w:val="00215AC8"/>
    <w:rsid w:val="00216444"/>
    <w:rsid w:val="002165D9"/>
    <w:rsid w:val="00216FE9"/>
    <w:rsid w:val="00217068"/>
    <w:rsid w:val="002176CB"/>
    <w:rsid w:val="00223085"/>
    <w:rsid w:val="0022381F"/>
    <w:rsid w:val="00224C6E"/>
    <w:rsid w:val="0022560D"/>
    <w:rsid w:val="00225FE5"/>
    <w:rsid w:val="00226198"/>
    <w:rsid w:val="00227246"/>
    <w:rsid w:val="00227EC9"/>
    <w:rsid w:val="002307D3"/>
    <w:rsid w:val="00231703"/>
    <w:rsid w:val="0023192F"/>
    <w:rsid w:val="002332B3"/>
    <w:rsid w:val="0023470A"/>
    <w:rsid w:val="00234FD3"/>
    <w:rsid w:val="00235C71"/>
    <w:rsid w:val="00240434"/>
    <w:rsid w:val="00241C9D"/>
    <w:rsid w:val="002427DF"/>
    <w:rsid w:val="00243D99"/>
    <w:rsid w:val="00246C2B"/>
    <w:rsid w:val="002475F7"/>
    <w:rsid w:val="00250F5F"/>
    <w:rsid w:val="00251709"/>
    <w:rsid w:val="00252F06"/>
    <w:rsid w:val="00253F2F"/>
    <w:rsid w:val="002546F0"/>
    <w:rsid w:val="0025604B"/>
    <w:rsid w:val="00257398"/>
    <w:rsid w:val="00257C47"/>
    <w:rsid w:val="0026236B"/>
    <w:rsid w:val="0026423A"/>
    <w:rsid w:val="00264862"/>
    <w:rsid w:val="00266461"/>
    <w:rsid w:val="00266EA1"/>
    <w:rsid w:val="002704D1"/>
    <w:rsid w:val="002704DA"/>
    <w:rsid w:val="0027207A"/>
    <w:rsid w:val="00274A9F"/>
    <w:rsid w:val="00277E65"/>
    <w:rsid w:val="00282139"/>
    <w:rsid w:val="00282937"/>
    <w:rsid w:val="00283A56"/>
    <w:rsid w:val="0028660E"/>
    <w:rsid w:val="00286807"/>
    <w:rsid w:val="00286D44"/>
    <w:rsid w:val="00286F6A"/>
    <w:rsid w:val="00287CE1"/>
    <w:rsid w:val="00290168"/>
    <w:rsid w:val="002902BF"/>
    <w:rsid w:val="002920BA"/>
    <w:rsid w:val="00292585"/>
    <w:rsid w:val="002932A9"/>
    <w:rsid w:val="00295279"/>
    <w:rsid w:val="002963C2"/>
    <w:rsid w:val="00296F3F"/>
    <w:rsid w:val="002A0E41"/>
    <w:rsid w:val="002A1074"/>
    <w:rsid w:val="002A2DE3"/>
    <w:rsid w:val="002A3D6D"/>
    <w:rsid w:val="002A407E"/>
    <w:rsid w:val="002A5BDB"/>
    <w:rsid w:val="002A6653"/>
    <w:rsid w:val="002A6D44"/>
    <w:rsid w:val="002A6D83"/>
    <w:rsid w:val="002B0B12"/>
    <w:rsid w:val="002B2C52"/>
    <w:rsid w:val="002B509E"/>
    <w:rsid w:val="002B6790"/>
    <w:rsid w:val="002B7B2B"/>
    <w:rsid w:val="002C0465"/>
    <w:rsid w:val="002C19D8"/>
    <w:rsid w:val="002C22D6"/>
    <w:rsid w:val="002C2E73"/>
    <w:rsid w:val="002C3126"/>
    <w:rsid w:val="002C50EB"/>
    <w:rsid w:val="002C6963"/>
    <w:rsid w:val="002C6F54"/>
    <w:rsid w:val="002C7C65"/>
    <w:rsid w:val="002D0BE1"/>
    <w:rsid w:val="002D1D5C"/>
    <w:rsid w:val="002D2E9E"/>
    <w:rsid w:val="002D4248"/>
    <w:rsid w:val="002D567E"/>
    <w:rsid w:val="002D701C"/>
    <w:rsid w:val="002D7822"/>
    <w:rsid w:val="002D7CCB"/>
    <w:rsid w:val="002E0573"/>
    <w:rsid w:val="002E0FC3"/>
    <w:rsid w:val="002E10AE"/>
    <w:rsid w:val="002E1A8D"/>
    <w:rsid w:val="002E226E"/>
    <w:rsid w:val="002E3E2A"/>
    <w:rsid w:val="002E418C"/>
    <w:rsid w:val="002E570E"/>
    <w:rsid w:val="002E6F24"/>
    <w:rsid w:val="002F1BE4"/>
    <w:rsid w:val="002F1C7B"/>
    <w:rsid w:val="002F2B7F"/>
    <w:rsid w:val="002F3BAE"/>
    <w:rsid w:val="002F4CC8"/>
    <w:rsid w:val="002F5B1A"/>
    <w:rsid w:val="002F62DB"/>
    <w:rsid w:val="002F641E"/>
    <w:rsid w:val="002F7680"/>
    <w:rsid w:val="00301981"/>
    <w:rsid w:val="003023C9"/>
    <w:rsid w:val="00302624"/>
    <w:rsid w:val="00303749"/>
    <w:rsid w:val="003040F1"/>
    <w:rsid w:val="0030424B"/>
    <w:rsid w:val="00304546"/>
    <w:rsid w:val="00304EE4"/>
    <w:rsid w:val="003074D7"/>
    <w:rsid w:val="0031015A"/>
    <w:rsid w:val="00310BC0"/>
    <w:rsid w:val="003111AD"/>
    <w:rsid w:val="003146D7"/>
    <w:rsid w:val="00314DAC"/>
    <w:rsid w:val="0031624D"/>
    <w:rsid w:val="00316C8F"/>
    <w:rsid w:val="00317A99"/>
    <w:rsid w:val="0032082F"/>
    <w:rsid w:val="00320C25"/>
    <w:rsid w:val="003213EF"/>
    <w:rsid w:val="00321426"/>
    <w:rsid w:val="00322CB9"/>
    <w:rsid w:val="00322D72"/>
    <w:rsid w:val="003233B5"/>
    <w:rsid w:val="00325550"/>
    <w:rsid w:val="00326828"/>
    <w:rsid w:val="00326AD1"/>
    <w:rsid w:val="00327355"/>
    <w:rsid w:val="00327801"/>
    <w:rsid w:val="00330640"/>
    <w:rsid w:val="003348E9"/>
    <w:rsid w:val="00334ED5"/>
    <w:rsid w:val="003359AE"/>
    <w:rsid w:val="00335DA6"/>
    <w:rsid w:val="00337181"/>
    <w:rsid w:val="00337FE7"/>
    <w:rsid w:val="003403C5"/>
    <w:rsid w:val="00342272"/>
    <w:rsid w:val="003438DC"/>
    <w:rsid w:val="00343ADB"/>
    <w:rsid w:val="003441A9"/>
    <w:rsid w:val="00344721"/>
    <w:rsid w:val="00344C9B"/>
    <w:rsid w:val="00345C61"/>
    <w:rsid w:val="003479F5"/>
    <w:rsid w:val="00347B28"/>
    <w:rsid w:val="003509AD"/>
    <w:rsid w:val="003524B4"/>
    <w:rsid w:val="00352D60"/>
    <w:rsid w:val="003530AC"/>
    <w:rsid w:val="0035320C"/>
    <w:rsid w:val="0035527C"/>
    <w:rsid w:val="003553D4"/>
    <w:rsid w:val="00360EA5"/>
    <w:rsid w:val="00361893"/>
    <w:rsid w:val="0036228D"/>
    <w:rsid w:val="0036251E"/>
    <w:rsid w:val="003629F8"/>
    <w:rsid w:val="00362EC1"/>
    <w:rsid w:val="003635B7"/>
    <w:rsid w:val="00363602"/>
    <w:rsid w:val="003643B0"/>
    <w:rsid w:val="003645DD"/>
    <w:rsid w:val="003663F1"/>
    <w:rsid w:val="00367C28"/>
    <w:rsid w:val="0037092F"/>
    <w:rsid w:val="0037267B"/>
    <w:rsid w:val="00372924"/>
    <w:rsid w:val="003737E7"/>
    <w:rsid w:val="00373D44"/>
    <w:rsid w:val="00374C83"/>
    <w:rsid w:val="00375CB8"/>
    <w:rsid w:val="00375CF8"/>
    <w:rsid w:val="00377454"/>
    <w:rsid w:val="00381431"/>
    <w:rsid w:val="00382601"/>
    <w:rsid w:val="003833B4"/>
    <w:rsid w:val="00383627"/>
    <w:rsid w:val="003839BB"/>
    <w:rsid w:val="003844B1"/>
    <w:rsid w:val="00385849"/>
    <w:rsid w:val="00385C32"/>
    <w:rsid w:val="00386CC2"/>
    <w:rsid w:val="003900D6"/>
    <w:rsid w:val="00390946"/>
    <w:rsid w:val="00390F0A"/>
    <w:rsid w:val="00391F2A"/>
    <w:rsid w:val="00392103"/>
    <w:rsid w:val="003922B1"/>
    <w:rsid w:val="00393462"/>
    <w:rsid w:val="00393F1E"/>
    <w:rsid w:val="00395E4E"/>
    <w:rsid w:val="0039692E"/>
    <w:rsid w:val="003970A3"/>
    <w:rsid w:val="0039712B"/>
    <w:rsid w:val="003A2933"/>
    <w:rsid w:val="003A4929"/>
    <w:rsid w:val="003A5B98"/>
    <w:rsid w:val="003A6682"/>
    <w:rsid w:val="003A6AE5"/>
    <w:rsid w:val="003A7C4E"/>
    <w:rsid w:val="003B0A5C"/>
    <w:rsid w:val="003B1CC6"/>
    <w:rsid w:val="003B1D55"/>
    <w:rsid w:val="003B1E01"/>
    <w:rsid w:val="003B1E35"/>
    <w:rsid w:val="003B25DB"/>
    <w:rsid w:val="003B3193"/>
    <w:rsid w:val="003B38FB"/>
    <w:rsid w:val="003B70B6"/>
    <w:rsid w:val="003C022D"/>
    <w:rsid w:val="003C02D6"/>
    <w:rsid w:val="003C1DE5"/>
    <w:rsid w:val="003C26A1"/>
    <w:rsid w:val="003C418E"/>
    <w:rsid w:val="003C51E8"/>
    <w:rsid w:val="003C6C96"/>
    <w:rsid w:val="003D17B7"/>
    <w:rsid w:val="003D1DCF"/>
    <w:rsid w:val="003D44D3"/>
    <w:rsid w:val="003D5CEB"/>
    <w:rsid w:val="003D5E35"/>
    <w:rsid w:val="003D5EE7"/>
    <w:rsid w:val="003D69BF"/>
    <w:rsid w:val="003D6F65"/>
    <w:rsid w:val="003D7D66"/>
    <w:rsid w:val="003E0727"/>
    <w:rsid w:val="003E08E9"/>
    <w:rsid w:val="003E0EB4"/>
    <w:rsid w:val="003E102F"/>
    <w:rsid w:val="003E1621"/>
    <w:rsid w:val="003E1BDF"/>
    <w:rsid w:val="003E1C6A"/>
    <w:rsid w:val="003E34B8"/>
    <w:rsid w:val="003E3E29"/>
    <w:rsid w:val="003E4296"/>
    <w:rsid w:val="003E4626"/>
    <w:rsid w:val="003E489B"/>
    <w:rsid w:val="003E4BD4"/>
    <w:rsid w:val="003E5359"/>
    <w:rsid w:val="003E55A0"/>
    <w:rsid w:val="003E77C3"/>
    <w:rsid w:val="003F194E"/>
    <w:rsid w:val="003F223F"/>
    <w:rsid w:val="003F23FD"/>
    <w:rsid w:val="003F25E2"/>
    <w:rsid w:val="003F2D65"/>
    <w:rsid w:val="003F50C5"/>
    <w:rsid w:val="003F547A"/>
    <w:rsid w:val="003F6BCC"/>
    <w:rsid w:val="003F7098"/>
    <w:rsid w:val="00401E01"/>
    <w:rsid w:val="00403796"/>
    <w:rsid w:val="00404D22"/>
    <w:rsid w:val="004052E8"/>
    <w:rsid w:val="00405FF6"/>
    <w:rsid w:val="00406D76"/>
    <w:rsid w:val="004106C8"/>
    <w:rsid w:val="00412DBF"/>
    <w:rsid w:val="00413E1A"/>
    <w:rsid w:val="0041474F"/>
    <w:rsid w:val="00415584"/>
    <w:rsid w:val="00415A42"/>
    <w:rsid w:val="004166E3"/>
    <w:rsid w:val="0042058F"/>
    <w:rsid w:val="00420B33"/>
    <w:rsid w:val="0042149C"/>
    <w:rsid w:val="00421D09"/>
    <w:rsid w:val="00421D3B"/>
    <w:rsid w:val="00421FC8"/>
    <w:rsid w:val="0042215A"/>
    <w:rsid w:val="00422852"/>
    <w:rsid w:val="00424041"/>
    <w:rsid w:val="00425C54"/>
    <w:rsid w:val="00425CA0"/>
    <w:rsid w:val="004272D1"/>
    <w:rsid w:val="004328FA"/>
    <w:rsid w:val="004402BD"/>
    <w:rsid w:val="00441780"/>
    <w:rsid w:val="00442179"/>
    <w:rsid w:val="004431EF"/>
    <w:rsid w:val="00444136"/>
    <w:rsid w:val="004443C5"/>
    <w:rsid w:val="00445236"/>
    <w:rsid w:val="00446B90"/>
    <w:rsid w:val="00447FAF"/>
    <w:rsid w:val="004504D8"/>
    <w:rsid w:val="00451BC7"/>
    <w:rsid w:val="00452A49"/>
    <w:rsid w:val="00453092"/>
    <w:rsid w:val="0045541B"/>
    <w:rsid w:val="00455448"/>
    <w:rsid w:val="00455B6A"/>
    <w:rsid w:val="004565BE"/>
    <w:rsid w:val="00457A84"/>
    <w:rsid w:val="00461E9B"/>
    <w:rsid w:val="00462A33"/>
    <w:rsid w:val="004631F7"/>
    <w:rsid w:val="004634BD"/>
    <w:rsid w:val="004648B1"/>
    <w:rsid w:val="00465ACB"/>
    <w:rsid w:val="00466831"/>
    <w:rsid w:val="00467FD9"/>
    <w:rsid w:val="00470814"/>
    <w:rsid w:val="00471374"/>
    <w:rsid w:val="004727D6"/>
    <w:rsid w:val="00473175"/>
    <w:rsid w:val="00473B6C"/>
    <w:rsid w:val="00474686"/>
    <w:rsid w:val="004749CE"/>
    <w:rsid w:val="00480117"/>
    <w:rsid w:val="00480AE7"/>
    <w:rsid w:val="00480F0A"/>
    <w:rsid w:val="00483ACC"/>
    <w:rsid w:val="0048577D"/>
    <w:rsid w:val="00487948"/>
    <w:rsid w:val="0049117D"/>
    <w:rsid w:val="00492FBA"/>
    <w:rsid w:val="004941C6"/>
    <w:rsid w:val="00496417"/>
    <w:rsid w:val="004A0A2B"/>
    <w:rsid w:val="004A3F42"/>
    <w:rsid w:val="004A427D"/>
    <w:rsid w:val="004A4985"/>
    <w:rsid w:val="004A7A5D"/>
    <w:rsid w:val="004B1FC0"/>
    <w:rsid w:val="004B228C"/>
    <w:rsid w:val="004B2805"/>
    <w:rsid w:val="004B2F40"/>
    <w:rsid w:val="004B339C"/>
    <w:rsid w:val="004B4C79"/>
    <w:rsid w:val="004B64A6"/>
    <w:rsid w:val="004C25A7"/>
    <w:rsid w:val="004C55B3"/>
    <w:rsid w:val="004C5D36"/>
    <w:rsid w:val="004C6014"/>
    <w:rsid w:val="004C738A"/>
    <w:rsid w:val="004C7B7B"/>
    <w:rsid w:val="004D2040"/>
    <w:rsid w:val="004D22DB"/>
    <w:rsid w:val="004D278F"/>
    <w:rsid w:val="004D2AF4"/>
    <w:rsid w:val="004E0194"/>
    <w:rsid w:val="004E107B"/>
    <w:rsid w:val="004E32A1"/>
    <w:rsid w:val="004E3477"/>
    <w:rsid w:val="004E50C3"/>
    <w:rsid w:val="004E6E6B"/>
    <w:rsid w:val="004E6EFB"/>
    <w:rsid w:val="004F1BE5"/>
    <w:rsid w:val="004F2FB8"/>
    <w:rsid w:val="004F424F"/>
    <w:rsid w:val="004F4EFE"/>
    <w:rsid w:val="004F612F"/>
    <w:rsid w:val="004F62BD"/>
    <w:rsid w:val="0050293A"/>
    <w:rsid w:val="0050551E"/>
    <w:rsid w:val="00510022"/>
    <w:rsid w:val="005102EB"/>
    <w:rsid w:val="00511AF9"/>
    <w:rsid w:val="00512C75"/>
    <w:rsid w:val="0051416A"/>
    <w:rsid w:val="005149DA"/>
    <w:rsid w:val="00515E0D"/>
    <w:rsid w:val="00515FB3"/>
    <w:rsid w:val="00516BED"/>
    <w:rsid w:val="00521681"/>
    <w:rsid w:val="0052229A"/>
    <w:rsid w:val="0052257A"/>
    <w:rsid w:val="00526907"/>
    <w:rsid w:val="00526A73"/>
    <w:rsid w:val="00526C75"/>
    <w:rsid w:val="005279D5"/>
    <w:rsid w:val="00531CAA"/>
    <w:rsid w:val="00533128"/>
    <w:rsid w:val="0053625C"/>
    <w:rsid w:val="00536AC2"/>
    <w:rsid w:val="0054079E"/>
    <w:rsid w:val="00540A04"/>
    <w:rsid w:val="00541737"/>
    <w:rsid w:val="0054193C"/>
    <w:rsid w:val="00541B79"/>
    <w:rsid w:val="0054217D"/>
    <w:rsid w:val="00542276"/>
    <w:rsid w:val="00545DA7"/>
    <w:rsid w:val="0054693B"/>
    <w:rsid w:val="00546D72"/>
    <w:rsid w:val="00550801"/>
    <w:rsid w:val="00550ACD"/>
    <w:rsid w:val="005510A9"/>
    <w:rsid w:val="00556704"/>
    <w:rsid w:val="00556959"/>
    <w:rsid w:val="00560CC6"/>
    <w:rsid w:val="00561CD8"/>
    <w:rsid w:val="00563DD0"/>
    <w:rsid w:val="00563DEC"/>
    <w:rsid w:val="0056600F"/>
    <w:rsid w:val="0056616B"/>
    <w:rsid w:val="0056745E"/>
    <w:rsid w:val="00571EE7"/>
    <w:rsid w:val="00575CEB"/>
    <w:rsid w:val="00576582"/>
    <w:rsid w:val="00576836"/>
    <w:rsid w:val="0057705A"/>
    <w:rsid w:val="00577372"/>
    <w:rsid w:val="00577713"/>
    <w:rsid w:val="00577B03"/>
    <w:rsid w:val="0058085F"/>
    <w:rsid w:val="00580BB9"/>
    <w:rsid w:val="005816CF"/>
    <w:rsid w:val="005831D0"/>
    <w:rsid w:val="005849B3"/>
    <w:rsid w:val="00590CB2"/>
    <w:rsid w:val="00593CD4"/>
    <w:rsid w:val="0059497A"/>
    <w:rsid w:val="00596DDB"/>
    <w:rsid w:val="005A0D51"/>
    <w:rsid w:val="005A20CB"/>
    <w:rsid w:val="005A618F"/>
    <w:rsid w:val="005B013F"/>
    <w:rsid w:val="005B08FA"/>
    <w:rsid w:val="005B0C39"/>
    <w:rsid w:val="005B11E0"/>
    <w:rsid w:val="005B16E0"/>
    <w:rsid w:val="005B1902"/>
    <w:rsid w:val="005B1DF7"/>
    <w:rsid w:val="005B1E82"/>
    <w:rsid w:val="005B59DB"/>
    <w:rsid w:val="005B6D07"/>
    <w:rsid w:val="005B75E6"/>
    <w:rsid w:val="005C035E"/>
    <w:rsid w:val="005C195E"/>
    <w:rsid w:val="005C1C91"/>
    <w:rsid w:val="005C1F77"/>
    <w:rsid w:val="005C30E2"/>
    <w:rsid w:val="005C4E25"/>
    <w:rsid w:val="005C5815"/>
    <w:rsid w:val="005D11BF"/>
    <w:rsid w:val="005D335E"/>
    <w:rsid w:val="005D65A8"/>
    <w:rsid w:val="005D7BDF"/>
    <w:rsid w:val="005E3F0B"/>
    <w:rsid w:val="005E408D"/>
    <w:rsid w:val="005E551A"/>
    <w:rsid w:val="005E5A46"/>
    <w:rsid w:val="005E5E8D"/>
    <w:rsid w:val="005E5F63"/>
    <w:rsid w:val="005E6439"/>
    <w:rsid w:val="005E70CC"/>
    <w:rsid w:val="005F161F"/>
    <w:rsid w:val="005F17E3"/>
    <w:rsid w:val="005F238D"/>
    <w:rsid w:val="005F3183"/>
    <w:rsid w:val="005F4134"/>
    <w:rsid w:val="005F45B3"/>
    <w:rsid w:val="005F6BBD"/>
    <w:rsid w:val="005F6FC7"/>
    <w:rsid w:val="005F70A0"/>
    <w:rsid w:val="005F7A87"/>
    <w:rsid w:val="005F7AB5"/>
    <w:rsid w:val="00600FAC"/>
    <w:rsid w:val="0060199D"/>
    <w:rsid w:val="00602304"/>
    <w:rsid w:val="00603522"/>
    <w:rsid w:val="00603AE4"/>
    <w:rsid w:val="006052CB"/>
    <w:rsid w:val="006062B3"/>
    <w:rsid w:val="00606986"/>
    <w:rsid w:val="00606B41"/>
    <w:rsid w:val="006075B3"/>
    <w:rsid w:val="00610670"/>
    <w:rsid w:val="0061179E"/>
    <w:rsid w:val="006125DB"/>
    <w:rsid w:val="00612643"/>
    <w:rsid w:val="00612E62"/>
    <w:rsid w:val="00614BAB"/>
    <w:rsid w:val="00614EC7"/>
    <w:rsid w:val="00617147"/>
    <w:rsid w:val="0062118C"/>
    <w:rsid w:val="00626F98"/>
    <w:rsid w:val="00630697"/>
    <w:rsid w:val="00633D9E"/>
    <w:rsid w:val="00634EDF"/>
    <w:rsid w:val="00634F9C"/>
    <w:rsid w:val="0063531B"/>
    <w:rsid w:val="0063697B"/>
    <w:rsid w:val="0063711B"/>
    <w:rsid w:val="0064105C"/>
    <w:rsid w:val="006429C9"/>
    <w:rsid w:val="006439B5"/>
    <w:rsid w:val="00643FC3"/>
    <w:rsid w:val="0064471E"/>
    <w:rsid w:val="006469BB"/>
    <w:rsid w:val="00647031"/>
    <w:rsid w:val="00647C23"/>
    <w:rsid w:val="006501EE"/>
    <w:rsid w:val="006502E5"/>
    <w:rsid w:val="006510F4"/>
    <w:rsid w:val="00652322"/>
    <w:rsid w:val="00653589"/>
    <w:rsid w:val="0065516A"/>
    <w:rsid w:val="0065742E"/>
    <w:rsid w:val="00660479"/>
    <w:rsid w:val="0066060D"/>
    <w:rsid w:val="006626FC"/>
    <w:rsid w:val="00662FD1"/>
    <w:rsid w:val="0066570A"/>
    <w:rsid w:val="006659D5"/>
    <w:rsid w:val="00665AFE"/>
    <w:rsid w:val="006664E0"/>
    <w:rsid w:val="00666C1D"/>
    <w:rsid w:val="0066722D"/>
    <w:rsid w:val="00667379"/>
    <w:rsid w:val="00670209"/>
    <w:rsid w:val="00670628"/>
    <w:rsid w:val="006715D4"/>
    <w:rsid w:val="00672BC2"/>
    <w:rsid w:val="00673993"/>
    <w:rsid w:val="00674550"/>
    <w:rsid w:val="00674B2B"/>
    <w:rsid w:val="006753CD"/>
    <w:rsid w:val="00676495"/>
    <w:rsid w:val="0068038F"/>
    <w:rsid w:val="006805BF"/>
    <w:rsid w:val="006834EA"/>
    <w:rsid w:val="0068399A"/>
    <w:rsid w:val="00687F49"/>
    <w:rsid w:val="00690FFF"/>
    <w:rsid w:val="00692A54"/>
    <w:rsid w:val="00692B6E"/>
    <w:rsid w:val="006932E5"/>
    <w:rsid w:val="0069453F"/>
    <w:rsid w:val="0069732C"/>
    <w:rsid w:val="00697431"/>
    <w:rsid w:val="0069761C"/>
    <w:rsid w:val="00697E25"/>
    <w:rsid w:val="006A097F"/>
    <w:rsid w:val="006A0C4A"/>
    <w:rsid w:val="006A11F1"/>
    <w:rsid w:val="006A213F"/>
    <w:rsid w:val="006A405A"/>
    <w:rsid w:val="006A4E0D"/>
    <w:rsid w:val="006A59DF"/>
    <w:rsid w:val="006B0FBC"/>
    <w:rsid w:val="006B1CC4"/>
    <w:rsid w:val="006B1E6C"/>
    <w:rsid w:val="006B22D5"/>
    <w:rsid w:val="006B29F6"/>
    <w:rsid w:val="006B575C"/>
    <w:rsid w:val="006B6193"/>
    <w:rsid w:val="006B707A"/>
    <w:rsid w:val="006B7C71"/>
    <w:rsid w:val="006C145E"/>
    <w:rsid w:val="006C30EC"/>
    <w:rsid w:val="006C3345"/>
    <w:rsid w:val="006C37B2"/>
    <w:rsid w:val="006C609C"/>
    <w:rsid w:val="006C678B"/>
    <w:rsid w:val="006C7387"/>
    <w:rsid w:val="006C742D"/>
    <w:rsid w:val="006C7886"/>
    <w:rsid w:val="006C7DC4"/>
    <w:rsid w:val="006D08E1"/>
    <w:rsid w:val="006D2CFD"/>
    <w:rsid w:val="006D3E0F"/>
    <w:rsid w:val="006D41B7"/>
    <w:rsid w:val="006D47E9"/>
    <w:rsid w:val="006E5894"/>
    <w:rsid w:val="006E59E0"/>
    <w:rsid w:val="006E61FE"/>
    <w:rsid w:val="006E7D29"/>
    <w:rsid w:val="006F2522"/>
    <w:rsid w:val="006F4F6C"/>
    <w:rsid w:val="006F6E92"/>
    <w:rsid w:val="007008E6"/>
    <w:rsid w:val="00702716"/>
    <w:rsid w:val="00702745"/>
    <w:rsid w:val="00702959"/>
    <w:rsid w:val="00703305"/>
    <w:rsid w:val="007037CC"/>
    <w:rsid w:val="007040B5"/>
    <w:rsid w:val="007044FC"/>
    <w:rsid w:val="00705B58"/>
    <w:rsid w:val="00706737"/>
    <w:rsid w:val="00707534"/>
    <w:rsid w:val="00711E23"/>
    <w:rsid w:val="00712C88"/>
    <w:rsid w:val="007144E5"/>
    <w:rsid w:val="00714527"/>
    <w:rsid w:val="00715918"/>
    <w:rsid w:val="007163AC"/>
    <w:rsid w:val="00716490"/>
    <w:rsid w:val="007207EA"/>
    <w:rsid w:val="007222BF"/>
    <w:rsid w:val="00722699"/>
    <w:rsid w:val="007234BE"/>
    <w:rsid w:val="007237B7"/>
    <w:rsid w:val="00723E79"/>
    <w:rsid w:val="00723F24"/>
    <w:rsid w:val="007252C4"/>
    <w:rsid w:val="00726067"/>
    <w:rsid w:val="007264A3"/>
    <w:rsid w:val="007274FC"/>
    <w:rsid w:val="00727698"/>
    <w:rsid w:val="00730239"/>
    <w:rsid w:val="00730F51"/>
    <w:rsid w:val="00732A8B"/>
    <w:rsid w:val="00732E2B"/>
    <w:rsid w:val="00733CD1"/>
    <w:rsid w:val="007342AA"/>
    <w:rsid w:val="00736C96"/>
    <w:rsid w:val="00743459"/>
    <w:rsid w:val="007435B9"/>
    <w:rsid w:val="0074584A"/>
    <w:rsid w:val="00745B04"/>
    <w:rsid w:val="00747F81"/>
    <w:rsid w:val="00751D84"/>
    <w:rsid w:val="00752344"/>
    <w:rsid w:val="00753653"/>
    <w:rsid w:val="00754712"/>
    <w:rsid w:val="007549AA"/>
    <w:rsid w:val="007579FF"/>
    <w:rsid w:val="0076086E"/>
    <w:rsid w:val="00760F6D"/>
    <w:rsid w:val="00762023"/>
    <w:rsid w:val="00763793"/>
    <w:rsid w:val="007646F4"/>
    <w:rsid w:val="007659E7"/>
    <w:rsid w:val="00770F51"/>
    <w:rsid w:val="0077106B"/>
    <w:rsid w:val="00771549"/>
    <w:rsid w:val="00772E74"/>
    <w:rsid w:val="00773AD5"/>
    <w:rsid w:val="00774233"/>
    <w:rsid w:val="00774CBC"/>
    <w:rsid w:val="00774EF2"/>
    <w:rsid w:val="00774FC8"/>
    <w:rsid w:val="00776AC5"/>
    <w:rsid w:val="00780189"/>
    <w:rsid w:val="00780AD6"/>
    <w:rsid w:val="007814E4"/>
    <w:rsid w:val="007858A7"/>
    <w:rsid w:val="00785FEE"/>
    <w:rsid w:val="00786926"/>
    <w:rsid w:val="00786B38"/>
    <w:rsid w:val="0079108F"/>
    <w:rsid w:val="007912B5"/>
    <w:rsid w:val="00793209"/>
    <w:rsid w:val="007948D8"/>
    <w:rsid w:val="007951A3"/>
    <w:rsid w:val="007965C8"/>
    <w:rsid w:val="007967F3"/>
    <w:rsid w:val="007968EE"/>
    <w:rsid w:val="007A013B"/>
    <w:rsid w:val="007A4E26"/>
    <w:rsid w:val="007A56ED"/>
    <w:rsid w:val="007A65CD"/>
    <w:rsid w:val="007A6843"/>
    <w:rsid w:val="007A698C"/>
    <w:rsid w:val="007A6D83"/>
    <w:rsid w:val="007A74B7"/>
    <w:rsid w:val="007A771D"/>
    <w:rsid w:val="007B06C0"/>
    <w:rsid w:val="007B111F"/>
    <w:rsid w:val="007B29D4"/>
    <w:rsid w:val="007B2F85"/>
    <w:rsid w:val="007B395C"/>
    <w:rsid w:val="007B716C"/>
    <w:rsid w:val="007B73EA"/>
    <w:rsid w:val="007C044E"/>
    <w:rsid w:val="007C1C8C"/>
    <w:rsid w:val="007C2331"/>
    <w:rsid w:val="007C31BC"/>
    <w:rsid w:val="007C4705"/>
    <w:rsid w:val="007C6038"/>
    <w:rsid w:val="007D24CA"/>
    <w:rsid w:val="007D3C6F"/>
    <w:rsid w:val="007D414A"/>
    <w:rsid w:val="007D4239"/>
    <w:rsid w:val="007D620D"/>
    <w:rsid w:val="007D69D2"/>
    <w:rsid w:val="007E074C"/>
    <w:rsid w:val="007E2032"/>
    <w:rsid w:val="007E3DAE"/>
    <w:rsid w:val="007E42BE"/>
    <w:rsid w:val="007E67DE"/>
    <w:rsid w:val="007E7002"/>
    <w:rsid w:val="007F09B3"/>
    <w:rsid w:val="007F102D"/>
    <w:rsid w:val="007F1156"/>
    <w:rsid w:val="007F2227"/>
    <w:rsid w:val="007F2647"/>
    <w:rsid w:val="007F2D20"/>
    <w:rsid w:val="007F2EC9"/>
    <w:rsid w:val="007F4A56"/>
    <w:rsid w:val="007F4E67"/>
    <w:rsid w:val="007F5A72"/>
    <w:rsid w:val="007F5B44"/>
    <w:rsid w:val="007F5D13"/>
    <w:rsid w:val="007F6604"/>
    <w:rsid w:val="0080106E"/>
    <w:rsid w:val="00801EED"/>
    <w:rsid w:val="008022CE"/>
    <w:rsid w:val="00803A3B"/>
    <w:rsid w:val="00804C73"/>
    <w:rsid w:val="00804E36"/>
    <w:rsid w:val="0080796F"/>
    <w:rsid w:val="008113A2"/>
    <w:rsid w:val="0081369B"/>
    <w:rsid w:val="008140A4"/>
    <w:rsid w:val="0082013D"/>
    <w:rsid w:val="00820BB8"/>
    <w:rsid w:val="00821374"/>
    <w:rsid w:val="0082153C"/>
    <w:rsid w:val="00824146"/>
    <w:rsid w:val="00824794"/>
    <w:rsid w:val="00826E2E"/>
    <w:rsid w:val="008279DA"/>
    <w:rsid w:val="00827AA3"/>
    <w:rsid w:val="008315E5"/>
    <w:rsid w:val="008316A6"/>
    <w:rsid w:val="00831D18"/>
    <w:rsid w:val="0083443C"/>
    <w:rsid w:val="00834707"/>
    <w:rsid w:val="008350B1"/>
    <w:rsid w:val="008359E9"/>
    <w:rsid w:val="00836F27"/>
    <w:rsid w:val="00840148"/>
    <w:rsid w:val="00841025"/>
    <w:rsid w:val="00841133"/>
    <w:rsid w:val="008426A4"/>
    <w:rsid w:val="00843ABF"/>
    <w:rsid w:val="008446A2"/>
    <w:rsid w:val="00844927"/>
    <w:rsid w:val="00845736"/>
    <w:rsid w:val="00845995"/>
    <w:rsid w:val="00845F94"/>
    <w:rsid w:val="00850597"/>
    <w:rsid w:val="008512D3"/>
    <w:rsid w:val="00852485"/>
    <w:rsid w:val="00852CEA"/>
    <w:rsid w:val="00853021"/>
    <w:rsid w:val="008537DF"/>
    <w:rsid w:val="00853968"/>
    <w:rsid w:val="0085409D"/>
    <w:rsid w:val="0085412E"/>
    <w:rsid w:val="008541A7"/>
    <w:rsid w:val="00854C3D"/>
    <w:rsid w:val="00854D0C"/>
    <w:rsid w:val="0085532A"/>
    <w:rsid w:val="00855924"/>
    <w:rsid w:val="00856177"/>
    <w:rsid w:val="008574BC"/>
    <w:rsid w:val="00857F74"/>
    <w:rsid w:val="008603F8"/>
    <w:rsid w:val="00860861"/>
    <w:rsid w:val="0086157E"/>
    <w:rsid w:val="008616B8"/>
    <w:rsid w:val="0086181A"/>
    <w:rsid w:val="008627A0"/>
    <w:rsid w:val="00864719"/>
    <w:rsid w:val="008654B4"/>
    <w:rsid w:val="00867ED7"/>
    <w:rsid w:val="008708EA"/>
    <w:rsid w:val="0087096D"/>
    <w:rsid w:val="00871D41"/>
    <w:rsid w:val="00873254"/>
    <w:rsid w:val="00873411"/>
    <w:rsid w:val="00873DB1"/>
    <w:rsid w:val="00873F1C"/>
    <w:rsid w:val="008751BF"/>
    <w:rsid w:val="00875A02"/>
    <w:rsid w:val="00876DFD"/>
    <w:rsid w:val="00877C96"/>
    <w:rsid w:val="00880A59"/>
    <w:rsid w:val="008831E6"/>
    <w:rsid w:val="00883BA7"/>
    <w:rsid w:val="00883CF9"/>
    <w:rsid w:val="00884AC1"/>
    <w:rsid w:val="008858D5"/>
    <w:rsid w:val="008865A3"/>
    <w:rsid w:val="00887729"/>
    <w:rsid w:val="00890401"/>
    <w:rsid w:val="0089076F"/>
    <w:rsid w:val="0089242C"/>
    <w:rsid w:val="0089649D"/>
    <w:rsid w:val="008965EF"/>
    <w:rsid w:val="008A0450"/>
    <w:rsid w:val="008A128C"/>
    <w:rsid w:val="008A1A35"/>
    <w:rsid w:val="008A362C"/>
    <w:rsid w:val="008A3A46"/>
    <w:rsid w:val="008A3F11"/>
    <w:rsid w:val="008A413A"/>
    <w:rsid w:val="008B1FFF"/>
    <w:rsid w:val="008B28E9"/>
    <w:rsid w:val="008B45EF"/>
    <w:rsid w:val="008B56A6"/>
    <w:rsid w:val="008B6CA2"/>
    <w:rsid w:val="008C0E60"/>
    <w:rsid w:val="008C15F5"/>
    <w:rsid w:val="008C268D"/>
    <w:rsid w:val="008C338E"/>
    <w:rsid w:val="008C4437"/>
    <w:rsid w:val="008C6135"/>
    <w:rsid w:val="008C614B"/>
    <w:rsid w:val="008C7713"/>
    <w:rsid w:val="008C7D0C"/>
    <w:rsid w:val="008D086E"/>
    <w:rsid w:val="008D16D0"/>
    <w:rsid w:val="008D22E6"/>
    <w:rsid w:val="008D33CD"/>
    <w:rsid w:val="008D36A7"/>
    <w:rsid w:val="008D4B28"/>
    <w:rsid w:val="008D5E9F"/>
    <w:rsid w:val="008D5F9C"/>
    <w:rsid w:val="008D60F3"/>
    <w:rsid w:val="008D6302"/>
    <w:rsid w:val="008D64EB"/>
    <w:rsid w:val="008D6DD6"/>
    <w:rsid w:val="008D7DCC"/>
    <w:rsid w:val="008E0008"/>
    <w:rsid w:val="008E0482"/>
    <w:rsid w:val="008E1D54"/>
    <w:rsid w:val="008E21B7"/>
    <w:rsid w:val="008E2913"/>
    <w:rsid w:val="008E2F84"/>
    <w:rsid w:val="008E4B7D"/>
    <w:rsid w:val="008E57F7"/>
    <w:rsid w:val="008E5946"/>
    <w:rsid w:val="008E6253"/>
    <w:rsid w:val="008E7E3F"/>
    <w:rsid w:val="008F1117"/>
    <w:rsid w:val="008F240A"/>
    <w:rsid w:val="008F4C35"/>
    <w:rsid w:val="008F599E"/>
    <w:rsid w:val="00900842"/>
    <w:rsid w:val="00900FD3"/>
    <w:rsid w:val="00901054"/>
    <w:rsid w:val="0090196F"/>
    <w:rsid w:val="00901B04"/>
    <w:rsid w:val="0090264F"/>
    <w:rsid w:val="00906A02"/>
    <w:rsid w:val="00907080"/>
    <w:rsid w:val="009072C5"/>
    <w:rsid w:val="009077B2"/>
    <w:rsid w:val="009077CA"/>
    <w:rsid w:val="009079CD"/>
    <w:rsid w:val="00907B51"/>
    <w:rsid w:val="00910C94"/>
    <w:rsid w:val="0091323D"/>
    <w:rsid w:val="00916958"/>
    <w:rsid w:val="00917663"/>
    <w:rsid w:val="009178C2"/>
    <w:rsid w:val="00917ABC"/>
    <w:rsid w:val="00922EFC"/>
    <w:rsid w:val="00923C7A"/>
    <w:rsid w:val="00927FC5"/>
    <w:rsid w:val="00930639"/>
    <w:rsid w:val="00934BEB"/>
    <w:rsid w:val="00935624"/>
    <w:rsid w:val="00936142"/>
    <w:rsid w:val="00936A68"/>
    <w:rsid w:val="00937A54"/>
    <w:rsid w:val="00937DDD"/>
    <w:rsid w:val="00937E2C"/>
    <w:rsid w:val="00942DD7"/>
    <w:rsid w:val="00943108"/>
    <w:rsid w:val="00946113"/>
    <w:rsid w:val="00946125"/>
    <w:rsid w:val="009467B6"/>
    <w:rsid w:val="0095170F"/>
    <w:rsid w:val="00952231"/>
    <w:rsid w:val="00952645"/>
    <w:rsid w:val="00952EED"/>
    <w:rsid w:val="0095470C"/>
    <w:rsid w:val="00954B80"/>
    <w:rsid w:val="0095554F"/>
    <w:rsid w:val="00960852"/>
    <w:rsid w:val="00961280"/>
    <w:rsid w:val="0096153B"/>
    <w:rsid w:val="00962EA9"/>
    <w:rsid w:val="00965CCC"/>
    <w:rsid w:val="0096613C"/>
    <w:rsid w:val="00966429"/>
    <w:rsid w:val="00966FDC"/>
    <w:rsid w:val="00971129"/>
    <w:rsid w:val="00973CCE"/>
    <w:rsid w:val="00973F4D"/>
    <w:rsid w:val="009753F2"/>
    <w:rsid w:val="00976065"/>
    <w:rsid w:val="009771C9"/>
    <w:rsid w:val="00977D46"/>
    <w:rsid w:val="009802AE"/>
    <w:rsid w:val="00980CE7"/>
    <w:rsid w:val="00980F3D"/>
    <w:rsid w:val="00981681"/>
    <w:rsid w:val="00981AB0"/>
    <w:rsid w:val="00981CF6"/>
    <w:rsid w:val="00982142"/>
    <w:rsid w:val="009837EB"/>
    <w:rsid w:val="00984043"/>
    <w:rsid w:val="0098463E"/>
    <w:rsid w:val="00984B04"/>
    <w:rsid w:val="009915AE"/>
    <w:rsid w:val="00993983"/>
    <w:rsid w:val="00993B2C"/>
    <w:rsid w:val="0099450D"/>
    <w:rsid w:val="00995376"/>
    <w:rsid w:val="00996080"/>
    <w:rsid w:val="00997360"/>
    <w:rsid w:val="009A063B"/>
    <w:rsid w:val="009A0C65"/>
    <w:rsid w:val="009A294F"/>
    <w:rsid w:val="009A32D3"/>
    <w:rsid w:val="009A44C9"/>
    <w:rsid w:val="009A6CD7"/>
    <w:rsid w:val="009A73BE"/>
    <w:rsid w:val="009A771C"/>
    <w:rsid w:val="009B00BE"/>
    <w:rsid w:val="009B0818"/>
    <w:rsid w:val="009B11A6"/>
    <w:rsid w:val="009B3C53"/>
    <w:rsid w:val="009B4CB8"/>
    <w:rsid w:val="009B4F31"/>
    <w:rsid w:val="009B5BFC"/>
    <w:rsid w:val="009B67C5"/>
    <w:rsid w:val="009B756D"/>
    <w:rsid w:val="009B7C03"/>
    <w:rsid w:val="009C163C"/>
    <w:rsid w:val="009C21B8"/>
    <w:rsid w:val="009C24B9"/>
    <w:rsid w:val="009C3E1C"/>
    <w:rsid w:val="009C445B"/>
    <w:rsid w:val="009C5102"/>
    <w:rsid w:val="009C5155"/>
    <w:rsid w:val="009C611D"/>
    <w:rsid w:val="009D0A0E"/>
    <w:rsid w:val="009D0AD3"/>
    <w:rsid w:val="009D2C3C"/>
    <w:rsid w:val="009D3883"/>
    <w:rsid w:val="009D71EF"/>
    <w:rsid w:val="009E0821"/>
    <w:rsid w:val="009E0825"/>
    <w:rsid w:val="009E3A4D"/>
    <w:rsid w:val="009E5310"/>
    <w:rsid w:val="009E53DC"/>
    <w:rsid w:val="009E7299"/>
    <w:rsid w:val="009F0696"/>
    <w:rsid w:val="009F099B"/>
    <w:rsid w:val="009F18F5"/>
    <w:rsid w:val="009F1C9F"/>
    <w:rsid w:val="009F2625"/>
    <w:rsid w:val="009F2B83"/>
    <w:rsid w:val="009F3CFA"/>
    <w:rsid w:val="009F5DB1"/>
    <w:rsid w:val="009F63F1"/>
    <w:rsid w:val="009F6A30"/>
    <w:rsid w:val="009F6E4A"/>
    <w:rsid w:val="00A028DD"/>
    <w:rsid w:val="00A02B3A"/>
    <w:rsid w:val="00A03BAC"/>
    <w:rsid w:val="00A04118"/>
    <w:rsid w:val="00A04A8E"/>
    <w:rsid w:val="00A05690"/>
    <w:rsid w:val="00A0706A"/>
    <w:rsid w:val="00A103E5"/>
    <w:rsid w:val="00A104ED"/>
    <w:rsid w:val="00A106C5"/>
    <w:rsid w:val="00A10C39"/>
    <w:rsid w:val="00A11289"/>
    <w:rsid w:val="00A12397"/>
    <w:rsid w:val="00A124AD"/>
    <w:rsid w:val="00A12E38"/>
    <w:rsid w:val="00A13502"/>
    <w:rsid w:val="00A13C5B"/>
    <w:rsid w:val="00A13E26"/>
    <w:rsid w:val="00A14761"/>
    <w:rsid w:val="00A15651"/>
    <w:rsid w:val="00A17E13"/>
    <w:rsid w:val="00A213D2"/>
    <w:rsid w:val="00A22E25"/>
    <w:rsid w:val="00A22FA6"/>
    <w:rsid w:val="00A2506A"/>
    <w:rsid w:val="00A27C92"/>
    <w:rsid w:val="00A30133"/>
    <w:rsid w:val="00A302E4"/>
    <w:rsid w:val="00A30C2E"/>
    <w:rsid w:val="00A31FD7"/>
    <w:rsid w:val="00A32238"/>
    <w:rsid w:val="00A3301C"/>
    <w:rsid w:val="00A356B2"/>
    <w:rsid w:val="00A35B1E"/>
    <w:rsid w:val="00A37DD0"/>
    <w:rsid w:val="00A40627"/>
    <w:rsid w:val="00A41856"/>
    <w:rsid w:val="00A42A48"/>
    <w:rsid w:val="00A43FC3"/>
    <w:rsid w:val="00A4565C"/>
    <w:rsid w:val="00A45BBC"/>
    <w:rsid w:val="00A47C9C"/>
    <w:rsid w:val="00A5354E"/>
    <w:rsid w:val="00A547AC"/>
    <w:rsid w:val="00A5545B"/>
    <w:rsid w:val="00A55667"/>
    <w:rsid w:val="00A57579"/>
    <w:rsid w:val="00A616AB"/>
    <w:rsid w:val="00A6307B"/>
    <w:rsid w:val="00A63921"/>
    <w:rsid w:val="00A63A75"/>
    <w:rsid w:val="00A64D57"/>
    <w:rsid w:val="00A658F4"/>
    <w:rsid w:val="00A65992"/>
    <w:rsid w:val="00A6711B"/>
    <w:rsid w:val="00A67BC8"/>
    <w:rsid w:val="00A71B81"/>
    <w:rsid w:val="00A72C7B"/>
    <w:rsid w:val="00A73786"/>
    <w:rsid w:val="00A73B7C"/>
    <w:rsid w:val="00A74FA3"/>
    <w:rsid w:val="00A75A0B"/>
    <w:rsid w:val="00A77737"/>
    <w:rsid w:val="00A77EEA"/>
    <w:rsid w:val="00A82596"/>
    <w:rsid w:val="00A8271F"/>
    <w:rsid w:val="00A839CE"/>
    <w:rsid w:val="00A84D2F"/>
    <w:rsid w:val="00A852AF"/>
    <w:rsid w:val="00A85A4E"/>
    <w:rsid w:val="00A867BB"/>
    <w:rsid w:val="00A907B3"/>
    <w:rsid w:val="00A92043"/>
    <w:rsid w:val="00A924CB"/>
    <w:rsid w:val="00A92A8A"/>
    <w:rsid w:val="00A92C9C"/>
    <w:rsid w:val="00A93C86"/>
    <w:rsid w:val="00A95B7C"/>
    <w:rsid w:val="00A9624E"/>
    <w:rsid w:val="00A967CB"/>
    <w:rsid w:val="00A96E11"/>
    <w:rsid w:val="00AA0555"/>
    <w:rsid w:val="00AA140B"/>
    <w:rsid w:val="00AA18F1"/>
    <w:rsid w:val="00AA39D7"/>
    <w:rsid w:val="00AA3C3E"/>
    <w:rsid w:val="00AA3DAE"/>
    <w:rsid w:val="00AA3DF8"/>
    <w:rsid w:val="00AA5DAE"/>
    <w:rsid w:val="00AA639D"/>
    <w:rsid w:val="00AA6642"/>
    <w:rsid w:val="00AB057C"/>
    <w:rsid w:val="00AB0FE4"/>
    <w:rsid w:val="00AB1079"/>
    <w:rsid w:val="00AB150E"/>
    <w:rsid w:val="00AB1924"/>
    <w:rsid w:val="00AB1E55"/>
    <w:rsid w:val="00AB26F2"/>
    <w:rsid w:val="00AB2AD0"/>
    <w:rsid w:val="00AB2F18"/>
    <w:rsid w:val="00AB4165"/>
    <w:rsid w:val="00AB52AA"/>
    <w:rsid w:val="00AB5367"/>
    <w:rsid w:val="00AB5816"/>
    <w:rsid w:val="00AB5D26"/>
    <w:rsid w:val="00AB6B60"/>
    <w:rsid w:val="00AB74A3"/>
    <w:rsid w:val="00AB769E"/>
    <w:rsid w:val="00AC0603"/>
    <w:rsid w:val="00AC1DBC"/>
    <w:rsid w:val="00AC1EDD"/>
    <w:rsid w:val="00AC236D"/>
    <w:rsid w:val="00AC2DE4"/>
    <w:rsid w:val="00AC45A8"/>
    <w:rsid w:val="00AD0208"/>
    <w:rsid w:val="00AD09AB"/>
    <w:rsid w:val="00AD3445"/>
    <w:rsid w:val="00AD53D3"/>
    <w:rsid w:val="00AD749A"/>
    <w:rsid w:val="00AE2113"/>
    <w:rsid w:val="00AE2FE4"/>
    <w:rsid w:val="00AE309D"/>
    <w:rsid w:val="00AE4278"/>
    <w:rsid w:val="00AE45D7"/>
    <w:rsid w:val="00AE75B4"/>
    <w:rsid w:val="00AE7CED"/>
    <w:rsid w:val="00AF267C"/>
    <w:rsid w:val="00AF5522"/>
    <w:rsid w:val="00AF5943"/>
    <w:rsid w:val="00AF6321"/>
    <w:rsid w:val="00AF6C68"/>
    <w:rsid w:val="00B00ABA"/>
    <w:rsid w:val="00B01C60"/>
    <w:rsid w:val="00B026C8"/>
    <w:rsid w:val="00B02E9E"/>
    <w:rsid w:val="00B03411"/>
    <w:rsid w:val="00B043F9"/>
    <w:rsid w:val="00B100F9"/>
    <w:rsid w:val="00B1014D"/>
    <w:rsid w:val="00B105D3"/>
    <w:rsid w:val="00B12747"/>
    <w:rsid w:val="00B12CE2"/>
    <w:rsid w:val="00B12F97"/>
    <w:rsid w:val="00B141EA"/>
    <w:rsid w:val="00B14A5C"/>
    <w:rsid w:val="00B2021F"/>
    <w:rsid w:val="00B20DD6"/>
    <w:rsid w:val="00B2137C"/>
    <w:rsid w:val="00B22390"/>
    <w:rsid w:val="00B24415"/>
    <w:rsid w:val="00B24E87"/>
    <w:rsid w:val="00B304C9"/>
    <w:rsid w:val="00B32BBF"/>
    <w:rsid w:val="00B33FF2"/>
    <w:rsid w:val="00B3565D"/>
    <w:rsid w:val="00B36EF9"/>
    <w:rsid w:val="00B37102"/>
    <w:rsid w:val="00B37259"/>
    <w:rsid w:val="00B375C7"/>
    <w:rsid w:val="00B421D5"/>
    <w:rsid w:val="00B4510A"/>
    <w:rsid w:val="00B455D3"/>
    <w:rsid w:val="00B45D6D"/>
    <w:rsid w:val="00B46220"/>
    <w:rsid w:val="00B4657E"/>
    <w:rsid w:val="00B469D8"/>
    <w:rsid w:val="00B46E6C"/>
    <w:rsid w:val="00B47146"/>
    <w:rsid w:val="00B52D59"/>
    <w:rsid w:val="00B5357B"/>
    <w:rsid w:val="00B53B86"/>
    <w:rsid w:val="00B53F23"/>
    <w:rsid w:val="00B54D8E"/>
    <w:rsid w:val="00B56812"/>
    <w:rsid w:val="00B572E3"/>
    <w:rsid w:val="00B57E5D"/>
    <w:rsid w:val="00B601A6"/>
    <w:rsid w:val="00B603F0"/>
    <w:rsid w:val="00B60546"/>
    <w:rsid w:val="00B61132"/>
    <w:rsid w:val="00B61D43"/>
    <w:rsid w:val="00B620FE"/>
    <w:rsid w:val="00B6415F"/>
    <w:rsid w:val="00B644BC"/>
    <w:rsid w:val="00B65DE4"/>
    <w:rsid w:val="00B663FD"/>
    <w:rsid w:val="00B664AB"/>
    <w:rsid w:val="00B71872"/>
    <w:rsid w:val="00B71FAD"/>
    <w:rsid w:val="00B7237D"/>
    <w:rsid w:val="00B72B27"/>
    <w:rsid w:val="00B72B51"/>
    <w:rsid w:val="00B72B7D"/>
    <w:rsid w:val="00B7326A"/>
    <w:rsid w:val="00B741C7"/>
    <w:rsid w:val="00B7475A"/>
    <w:rsid w:val="00B74D78"/>
    <w:rsid w:val="00B75F2A"/>
    <w:rsid w:val="00B76194"/>
    <w:rsid w:val="00B769E7"/>
    <w:rsid w:val="00B77A38"/>
    <w:rsid w:val="00B80479"/>
    <w:rsid w:val="00B815CA"/>
    <w:rsid w:val="00B81948"/>
    <w:rsid w:val="00B8200A"/>
    <w:rsid w:val="00B84C92"/>
    <w:rsid w:val="00B863D5"/>
    <w:rsid w:val="00B87017"/>
    <w:rsid w:val="00B90DED"/>
    <w:rsid w:val="00B943E6"/>
    <w:rsid w:val="00B95221"/>
    <w:rsid w:val="00B95483"/>
    <w:rsid w:val="00B968C7"/>
    <w:rsid w:val="00BA0C40"/>
    <w:rsid w:val="00BA1FC2"/>
    <w:rsid w:val="00BA2BBB"/>
    <w:rsid w:val="00BA3AC7"/>
    <w:rsid w:val="00BA68C9"/>
    <w:rsid w:val="00BB332A"/>
    <w:rsid w:val="00BB3898"/>
    <w:rsid w:val="00BB3A0E"/>
    <w:rsid w:val="00BB47B5"/>
    <w:rsid w:val="00BB4FAA"/>
    <w:rsid w:val="00BB58F1"/>
    <w:rsid w:val="00BB69E1"/>
    <w:rsid w:val="00BC05F0"/>
    <w:rsid w:val="00BC1490"/>
    <w:rsid w:val="00BC1986"/>
    <w:rsid w:val="00BC3E0B"/>
    <w:rsid w:val="00BC3E77"/>
    <w:rsid w:val="00BC54D1"/>
    <w:rsid w:val="00BC5503"/>
    <w:rsid w:val="00BC6631"/>
    <w:rsid w:val="00BD01F7"/>
    <w:rsid w:val="00BD3B77"/>
    <w:rsid w:val="00BD517C"/>
    <w:rsid w:val="00BD54A3"/>
    <w:rsid w:val="00BD7044"/>
    <w:rsid w:val="00BE0044"/>
    <w:rsid w:val="00BE158F"/>
    <w:rsid w:val="00BE2B27"/>
    <w:rsid w:val="00BE3B23"/>
    <w:rsid w:val="00BE4589"/>
    <w:rsid w:val="00BE64A0"/>
    <w:rsid w:val="00BF2868"/>
    <w:rsid w:val="00BF2B49"/>
    <w:rsid w:val="00BF5FA7"/>
    <w:rsid w:val="00BF7A0D"/>
    <w:rsid w:val="00C004B6"/>
    <w:rsid w:val="00C00802"/>
    <w:rsid w:val="00C00EA7"/>
    <w:rsid w:val="00C0188F"/>
    <w:rsid w:val="00C02B4E"/>
    <w:rsid w:val="00C034EE"/>
    <w:rsid w:val="00C03C2C"/>
    <w:rsid w:val="00C041C1"/>
    <w:rsid w:val="00C04210"/>
    <w:rsid w:val="00C05071"/>
    <w:rsid w:val="00C058D9"/>
    <w:rsid w:val="00C0787B"/>
    <w:rsid w:val="00C0788E"/>
    <w:rsid w:val="00C117FA"/>
    <w:rsid w:val="00C12498"/>
    <w:rsid w:val="00C17BDE"/>
    <w:rsid w:val="00C200EC"/>
    <w:rsid w:val="00C20C4F"/>
    <w:rsid w:val="00C20E87"/>
    <w:rsid w:val="00C26E8A"/>
    <w:rsid w:val="00C3110F"/>
    <w:rsid w:val="00C33303"/>
    <w:rsid w:val="00C33566"/>
    <w:rsid w:val="00C35B80"/>
    <w:rsid w:val="00C363B3"/>
    <w:rsid w:val="00C364F0"/>
    <w:rsid w:val="00C40113"/>
    <w:rsid w:val="00C41BB8"/>
    <w:rsid w:val="00C42273"/>
    <w:rsid w:val="00C42BC4"/>
    <w:rsid w:val="00C45DA1"/>
    <w:rsid w:val="00C47604"/>
    <w:rsid w:val="00C4784B"/>
    <w:rsid w:val="00C47D3C"/>
    <w:rsid w:val="00C5163F"/>
    <w:rsid w:val="00C520E9"/>
    <w:rsid w:val="00C523CA"/>
    <w:rsid w:val="00C527DD"/>
    <w:rsid w:val="00C53228"/>
    <w:rsid w:val="00C539B2"/>
    <w:rsid w:val="00C53C0C"/>
    <w:rsid w:val="00C557EC"/>
    <w:rsid w:val="00C55BDF"/>
    <w:rsid w:val="00C55C07"/>
    <w:rsid w:val="00C57106"/>
    <w:rsid w:val="00C571AF"/>
    <w:rsid w:val="00C57C9C"/>
    <w:rsid w:val="00C6133F"/>
    <w:rsid w:val="00C61A9D"/>
    <w:rsid w:val="00C63308"/>
    <w:rsid w:val="00C6454D"/>
    <w:rsid w:val="00C649ED"/>
    <w:rsid w:val="00C65CF8"/>
    <w:rsid w:val="00C66B58"/>
    <w:rsid w:val="00C67049"/>
    <w:rsid w:val="00C7037F"/>
    <w:rsid w:val="00C70897"/>
    <w:rsid w:val="00C70C99"/>
    <w:rsid w:val="00C713F7"/>
    <w:rsid w:val="00C7239A"/>
    <w:rsid w:val="00C728D4"/>
    <w:rsid w:val="00C7425A"/>
    <w:rsid w:val="00C80533"/>
    <w:rsid w:val="00C8299E"/>
    <w:rsid w:val="00C837D9"/>
    <w:rsid w:val="00C83DF9"/>
    <w:rsid w:val="00C87027"/>
    <w:rsid w:val="00C91734"/>
    <w:rsid w:val="00C968EB"/>
    <w:rsid w:val="00C9712B"/>
    <w:rsid w:val="00CA013E"/>
    <w:rsid w:val="00CA20D9"/>
    <w:rsid w:val="00CA21E1"/>
    <w:rsid w:val="00CA252B"/>
    <w:rsid w:val="00CA25E2"/>
    <w:rsid w:val="00CA3C6F"/>
    <w:rsid w:val="00CA4F87"/>
    <w:rsid w:val="00CA6CEA"/>
    <w:rsid w:val="00CA7396"/>
    <w:rsid w:val="00CA7DDF"/>
    <w:rsid w:val="00CB0D15"/>
    <w:rsid w:val="00CB2146"/>
    <w:rsid w:val="00CB2A30"/>
    <w:rsid w:val="00CB39A9"/>
    <w:rsid w:val="00CB3E30"/>
    <w:rsid w:val="00CB4A31"/>
    <w:rsid w:val="00CB4F29"/>
    <w:rsid w:val="00CB7814"/>
    <w:rsid w:val="00CC11AF"/>
    <w:rsid w:val="00CC1969"/>
    <w:rsid w:val="00CC6313"/>
    <w:rsid w:val="00CD14A3"/>
    <w:rsid w:val="00CD3665"/>
    <w:rsid w:val="00CD424F"/>
    <w:rsid w:val="00CD4724"/>
    <w:rsid w:val="00CD4E4B"/>
    <w:rsid w:val="00CD5906"/>
    <w:rsid w:val="00CD7A64"/>
    <w:rsid w:val="00CE103C"/>
    <w:rsid w:val="00CE1054"/>
    <w:rsid w:val="00CE2441"/>
    <w:rsid w:val="00CE6DAC"/>
    <w:rsid w:val="00CF2A4C"/>
    <w:rsid w:val="00CF53AE"/>
    <w:rsid w:val="00D016F0"/>
    <w:rsid w:val="00D02B41"/>
    <w:rsid w:val="00D0653A"/>
    <w:rsid w:val="00D06657"/>
    <w:rsid w:val="00D0720F"/>
    <w:rsid w:val="00D10121"/>
    <w:rsid w:val="00D10966"/>
    <w:rsid w:val="00D15114"/>
    <w:rsid w:val="00D15C45"/>
    <w:rsid w:val="00D16234"/>
    <w:rsid w:val="00D16320"/>
    <w:rsid w:val="00D16417"/>
    <w:rsid w:val="00D16713"/>
    <w:rsid w:val="00D16B59"/>
    <w:rsid w:val="00D16E7E"/>
    <w:rsid w:val="00D203F6"/>
    <w:rsid w:val="00D2133D"/>
    <w:rsid w:val="00D23581"/>
    <w:rsid w:val="00D23A7E"/>
    <w:rsid w:val="00D240D2"/>
    <w:rsid w:val="00D25A12"/>
    <w:rsid w:val="00D31F5D"/>
    <w:rsid w:val="00D32A33"/>
    <w:rsid w:val="00D32BD7"/>
    <w:rsid w:val="00D34C47"/>
    <w:rsid w:val="00D34CA8"/>
    <w:rsid w:val="00D4112E"/>
    <w:rsid w:val="00D41177"/>
    <w:rsid w:val="00D4189A"/>
    <w:rsid w:val="00D439BB"/>
    <w:rsid w:val="00D443C2"/>
    <w:rsid w:val="00D4515F"/>
    <w:rsid w:val="00D45B51"/>
    <w:rsid w:val="00D45CE5"/>
    <w:rsid w:val="00D504E5"/>
    <w:rsid w:val="00D52AAD"/>
    <w:rsid w:val="00D52E90"/>
    <w:rsid w:val="00D54FB2"/>
    <w:rsid w:val="00D573DC"/>
    <w:rsid w:val="00D57D24"/>
    <w:rsid w:val="00D601B7"/>
    <w:rsid w:val="00D60658"/>
    <w:rsid w:val="00D61CD7"/>
    <w:rsid w:val="00D62302"/>
    <w:rsid w:val="00D64176"/>
    <w:rsid w:val="00D66507"/>
    <w:rsid w:val="00D66F4C"/>
    <w:rsid w:val="00D67AE0"/>
    <w:rsid w:val="00D72F44"/>
    <w:rsid w:val="00D73B75"/>
    <w:rsid w:val="00D73F25"/>
    <w:rsid w:val="00D74441"/>
    <w:rsid w:val="00D74F4D"/>
    <w:rsid w:val="00D754D1"/>
    <w:rsid w:val="00D75DFF"/>
    <w:rsid w:val="00D75F8E"/>
    <w:rsid w:val="00D7713E"/>
    <w:rsid w:val="00D77FC2"/>
    <w:rsid w:val="00D828C1"/>
    <w:rsid w:val="00D83DFA"/>
    <w:rsid w:val="00D84141"/>
    <w:rsid w:val="00D8425E"/>
    <w:rsid w:val="00D84CED"/>
    <w:rsid w:val="00D85F90"/>
    <w:rsid w:val="00D86967"/>
    <w:rsid w:val="00D93719"/>
    <w:rsid w:val="00D9423A"/>
    <w:rsid w:val="00D94AAE"/>
    <w:rsid w:val="00D957C7"/>
    <w:rsid w:val="00D95D9B"/>
    <w:rsid w:val="00D96118"/>
    <w:rsid w:val="00D97F92"/>
    <w:rsid w:val="00DA0064"/>
    <w:rsid w:val="00DA01BB"/>
    <w:rsid w:val="00DA0D25"/>
    <w:rsid w:val="00DA127D"/>
    <w:rsid w:val="00DA1E6B"/>
    <w:rsid w:val="00DA21A4"/>
    <w:rsid w:val="00DA279C"/>
    <w:rsid w:val="00DA2DCC"/>
    <w:rsid w:val="00DA367D"/>
    <w:rsid w:val="00DA4678"/>
    <w:rsid w:val="00DB056D"/>
    <w:rsid w:val="00DB05AC"/>
    <w:rsid w:val="00DB06A3"/>
    <w:rsid w:val="00DB0E08"/>
    <w:rsid w:val="00DB0F50"/>
    <w:rsid w:val="00DB34F3"/>
    <w:rsid w:val="00DB3CD6"/>
    <w:rsid w:val="00DB6243"/>
    <w:rsid w:val="00DB6F0C"/>
    <w:rsid w:val="00DB70DC"/>
    <w:rsid w:val="00DB79B7"/>
    <w:rsid w:val="00DC0700"/>
    <w:rsid w:val="00DC429F"/>
    <w:rsid w:val="00DC582D"/>
    <w:rsid w:val="00DC75CE"/>
    <w:rsid w:val="00DD07FE"/>
    <w:rsid w:val="00DD2798"/>
    <w:rsid w:val="00DD2BB4"/>
    <w:rsid w:val="00DD38BD"/>
    <w:rsid w:val="00DD5C83"/>
    <w:rsid w:val="00DD73A2"/>
    <w:rsid w:val="00DE008D"/>
    <w:rsid w:val="00DE1023"/>
    <w:rsid w:val="00DE12EF"/>
    <w:rsid w:val="00DE1526"/>
    <w:rsid w:val="00DE2569"/>
    <w:rsid w:val="00DE2F01"/>
    <w:rsid w:val="00DE413E"/>
    <w:rsid w:val="00DE4DA9"/>
    <w:rsid w:val="00DE4DB0"/>
    <w:rsid w:val="00DE5B60"/>
    <w:rsid w:val="00DE72BB"/>
    <w:rsid w:val="00DF0A93"/>
    <w:rsid w:val="00DF0EA3"/>
    <w:rsid w:val="00DF1F47"/>
    <w:rsid w:val="00DF25FC"/>
    <w:rsid w:val="00DF3E17"/>
    <w:rsid w:val="00DF46FF"/>
    <w:rsid w:val="00DF522F"/>
    <w:rsid w:val="00DF53E6"/>
    <w:rsid w:val="00DF551D"/>
    <w:rsid w:val="00DF77AC"/>
    <w:rsid w:val="00DF7E0D"/>
    <w:rsid w:val="00E006BC"/>
    <w:rsid w:val="00E02A6D"/>
    <w:rsid w:val="00E0446D"/>
    <w:rsid w:val="00E04DE3"/>
    <w:rsid w:val="00E057B2"/>
    <w:rsid w:val="00E05FF3"/>
    <w:rsid w:val="00E10D5E"/>
    <w:rsid w:val="00E11288"/>
    <w:rsid w:val="00E13481"/>
    <w:rsid w:val="00E15446"/>
    <w:rsid w:val="00E16019"/>
    <w:rsid w:val="00E16B93"/>
    <w:rsid w:val="00E16FF3"/>
    <w:rsid w:val="00E17E2F"/>
    <w:rsid w:val="00E21271"/>
    <w:rsid w:val="00E2288A"/>
    <w:rsid w:val="00E23003"/>
    <w:rsid w:val="00E2317D"/>
    <w:rsid w:val="00E246F3"/>
    <w:rsid w:val="00E24B43"/>
    <w:rsid w:val="00E31145"/>
    <w:rsid w:val="00E33196"/>
    <w:rsid w:val="00E33B40"/>
    <w:rsid w:val="00E34056"/>
    <w:rsid w:val="00E3456C"/>
    <w:rsid w:val="00E376BB"/>
    <w:rsid w:val="00E37CA7"/>
    <w:rsid w:val="00E37FED"/>
    <w:rsid w:val="00E4115A"/>
    <w:rsid w:val="00E42DE6"/>
    <w:rsid w:val="00E4384E"/>
    <w:rsid w:val="00E447C5"/>
    <w:rsid w:val="00E44DA4"/>
    <w:rsid w:val="00E54E30"/>
    <w:rsid w:val="00E55117"/>
    <w:rsid w:val="00E5529B"/>
    <w:rsid w:val="00E56232"/>
    <w:rsid w:val="00E56743"/>
    <w:rsid w:val="00E61B2F"/>
    <w:rsid w:val="00E61C9D"/>
    <w:rsid w:val="00E6222A"/>
    <w:rsid w:val="00E62FFA"/>
    <w:rsid w:val="00E636CC"/>
    <w:rsid w:val="00E6370C"/>
    <w:rsid w:val="00E643DC"/>
    <w:rsid w:val="00E64622"/>
    <w:rsid w:val="00E65BF7"/>
    <w:rsid w:val="00E6626E"/>
    <w:rsid w:val="00E66A9B"/>
    <w:rsid w:val="00E66D10"/>
    <w:rsid w:val="00E66F9F"/>
    <w:rsid w:val="00E72578"/>
    <w:rsid w:val="00E737E4"/>
    <w:rsid w:val="00E775D4"/>
    <w:rsid w:val="00E83860"/>
    <w:rsid w:val="00E85FB2"/>
    <w:rsid w:val="00E86955"/>
    <w:rsid w:val="00E86ECA"/>
    <w:rsid w:val="00E86FBE"/>
    <w:rsid w:val="00E87F92"/>
    <w:rsid w:val="00E90F48"/>
    <w:rsid w:val="00E92CBA"/>
    <w:rsid w:val="00E934FD"/>
    <w:rsid w:val="00E943CE"/>
    <w:rsid w:val="00E95790"/>
    <w:rsid w:val="00E95D80"/>
    <w:rsid w:val="00E97E25"/>
    <w:rsid w:val="00EA0A88"/>
    <w:rsid w:val="00EA0AE0"/>
    <w:rsid w:val="00EA1B9F"/>
    <w:rsid w:val="00EA234F"/>
    <w:rsid w:val="00EA41E6"/>
    <w:rsid w:val="00EA6A59"/>
    <w:rsid w:val="00EB01E8"/>
    <w:rsid w:val="00EB0275"/>
    <w:rsid w:val="00EB2FD6"/>
    <w:rsid w:val="00EB410E"/>
    <w:rsid w:val="00EB4C6F"/>
    <w:rsid w:val="00EB543A"/>
    <w:rsid w:val="00EB5A28"/>
    <w:rsid w:val="00EB5C75"/>
    <w:rsid w:val="00EB6534"/>
    <w:rsid w:val="00EB6DD1"/>
    <w:rsid w:val="00EB7794"/>
    <w:rsid w:val="00EB78C0"/>
    <w:rsid w:val="00EC099B"/>
    <w:rsid w:val="00EC15E9"/>
    <w:rsid w:val="00EC18A3"/>
    <w:rsid w:val="00EC31B6"/>
    <w:rsid w:val="00EC5046"/>
    <w:rsid w:val="00EC5C42"/>
    <w:rsid w:val="00EC76CE"/>
    <w:rsid w:val="00ED1955"/>
    <w:rsid w:val="00ED23C9"/>
    <w:rsid w:val="00ED2708"/>
    <w:rsid w:val="00ED2E2A"/>
    <w:rsid w:val="00ED39D3"/>
    <w:rsid w:val="00ED3E95"/>
    <w:rsid w:val="00ED45F6"/>
    <w:rsid w:val="00ED4F87"/>
    <w:rsid w:val="00ED692D"/>
    <w:rsid w:val="00ED7D99"/>
    <w:rsid w:val="00EE07E1"/>
    <w:rsid w:val="00EE14E5"/>
    <w:rsid w:val="00EE16B6"/>
    <w:rsid w:val="00EE2250"/>
    <w:rsid w:val="00EE4C1E"/>
    <w:rsid w:val="00EE5F43"/>
    <w:rsid w:val="00EE6D9C"/>
    <w:rsid w:val="00EE7DCE"/>
    <w:rsid w:val="00EF0A8D"/>
    <w:rsid w:val="00EF16A8"/>
    <w:rsid w:val="00EF1B2F"/>
    <w:rsid w:val="00EF3A31"/>
    <w:rsid w:val="00EF65FA"/>
    <w:rsid w:val="00F00A03"/>
    <w:rsid w:val="00F00C77"/>
    <w:rsid w:val="00F04DDB"/>
    <w:rsid w:val="00F05616"/>
    <w:rsid w:val="00F0582B"/>
    <w:rsid w:val="00F06F04"/>
    <w:rsid w:val="00F10551"/>
    <w:rsid w:val="00F11BB3"/>
    <w:rsid w:val="00F12070"/>
    <w:rsid w:val="00F15077"/>
    <w:rsid w:val="00F15349"/>
    <w:rsid w:val="00F15F7A"/>
    <w:rsid w:val="00F22E70"/>
    <w:rsid w:val="00F2541C"/>
    <w:rsid w:val="00F25C50"/>
    <w:rsid w:val="00F262CE"/>
    <w:rsid w:val="00F2688E"/>
    <w:rsid w:val="00F310F7"/>
    <w:rsid w:val="00F3206C"/>
    <w:rsid w:val="00F32412"/>
    <w:rsid w:val="00F328EF"/>
    <w:rsid w:val="00F331E1"/>
    <w:rsid w:val="00F3375A"/>
    <w:rsid w:val="00F33E5B"/>
    <w:rsid w:val="00F34D79"/>
    <w:rsid w:val="00F34F8B"/>
    <w:rsid w:val="00F357EB"/>
    <w:rsid w:val="00F35ADA"/>
    <w:rsid w:val="00F36FF5"/>
    <w:rsid w:val="00F37154"/>
    <w:rsid w:val="00F43910"/>
    <w:rsid w:val="00F4420D"/>
    <w:rsid w:val="00F45823"/>
    <w:rsid w:val="00F45AE4"/>
    <w:rsid w:val="00F50D63"/>
    <w:rsid w:val="00F51CE0"/>
    <w:rsid w:val="00F52DCF"/>
    <w:rsid w:val="00F556BD"/>
    <w:rsid w:val="00F557BD"/>
    <w:rsid w:val="00F57517"/>
    <w:rsid w:val="00F618F7"/>
    <w:rsid w:val="00F625C3"/>
    <w:rsid w:val="00F6263E"/>
    <w:rsid w:val="00F639A8"/>
    <w:rsid w:val="00F645F1"/>
    <w:rsid w:val="00F647D4"/>
    <w:rsid w:val="00F651E8"/>
    <w:rsid w:val="00F65C2D"/>
    <w:rsid w:val="00F6626E"/>
    <w:rsid w:val="00F6683B"/>
    <w:rsid w:val="00F66A90"/>
    <w:rsid w:val="00F70CF8"/>
    <w:rsid w:val="00F71946"/>
    <w:rsid w:val="00F71FEE"/>
    <w:rsid w:val="00F72506"/>
    <w:rsid w:val="00F72DD5"/>
    <w:rsid w:val="00F737A3"/>
    <w:rsid w:val="00F73A55"/>
    <w:rsid w:val="00F76866"/>
    <w:rsid w:val="00F801FA"/>
    <w:rsid w:val="00F814A1"/>
    <w:rsid w:val="00F82661"/>
    <w:rsid w:val="00F83473"/>
    <w:rsid w:val="00F83CEB"/>
    <w:rsid w:val="00F84281"/>
    <w:rsid w:val="00F864D3"/>
    <w:rsid w:val="00F871D4"/>
    <w:rsid w:val="00F871FE"/>
    <w:rsid w:val="00F92323"/>
    <w:rsid w:val="00F929EB"/>
    <w:rsid w:val="00F9591B"/>
    <w:rsid w:val="00F97093"/>
    <w:rsid w:val="00FA0847"/>
    <w:rsid w:val="00FA1819"/>
    <w:rsid w:val="00FA1976"/>
    <w:rsid w:val="00FA31A3"/>
    <w:rsid w:val="00FA361D"/>
    <w:rsid w:val="00FA4185"/>
    <w:rsid w:val="00FA4B95"/>
    <w:rsid w:val="00FA69E0"/>
    <w:rsid w:val="00FA6CA3"/>
    <w:rsid w:val="00FA702E"/>
    <w:rsid w:val="00FA7F36"/>
    <w:rsid w:val="00FB17A5"/>
    <w:rsid w:val="00FB19FE"/>
    <w:rsid w:val="00FB20C3"/>
    <w:rsid w:val="00FB2398"/>
    <w:rsid w:val="00FB3DF0"/>
    <w:rsid w:val="00FB42BB"/>
    <w:rsid w:val="00FB5008"/>
    <w:rsid w:val="00FB66FD"/>
    <w:rsid w:val="00FB6FC2"/>
    <w:rsid w:val="00FB771B"/>
    <w:rsid w:val="00FC0DB8"/>
    <w:rsid w:val="00FC1052"/>
    <w:rsid w:val="00FC1CF5"/>
    <w:rsid w:val="00FC311C"/>
    <w:rsid w:val="00FC3727"/>
    <w:rsid w:val="00FC3F52"/>
    <w:rsid w:val="00FC479A"/>
    <w:rsid w:val="00FC57AD"/>
    <w:rsid w:val="00FC6E02"/>
    <w:rsid w:val="00FC70BC"/>
    <w:rsid w:val="00FC7867"/>
    <w:rsid w:val="00FD138F"/>
    <w:rsid w:val="00FD27E5"/>
    <w:rsid w:val="00FD3F52"/>
    <w:rsid w:val="00FD48D4"/>
    <w:rsid w:val="00FD54FE"/>
    <w:rsid w:val="00FD551F"/>
    <w:rsid w:val="00FD5A12"/>
    <w:rsid w:val="00FD5A1C"/>
    <w:rsid w:val="00FD5AA3"/>
    <w:rsid w:val="00FD60E0"/>
    <w:rsid w:val="00FE10FE"/>
    <w:rsid w:val="00FE195C"/>
    <w:rsid w:val="00FE1AF9"/>
    <w:rsid w:val="00FE301B"/>
    <w:rsid w:val="00FE4632"/>
    <w:rsid w:val="00FE4D76"/>
    <w:rsid w:val="00FE4D83"/>
    <w:rsid w:val="00FE4F2D"/>
    <w:rsid w:val="00FE543D"/>
    <w:rsid w:val="00FE72AA"/>
    <w:rsid w:val="00FF03A3"/>
    <w:rsid w:val="00FF13FA"/>
    <w:rsid w:val="00FF1601"/>
    <w:rsid w:val="00FF2E41"/>
    <w:rsid w:val="00FF34E7"/>
    <w:rsid w:val="00FF3B24"/>
    <w:rsid w:val="00FF4CD1"/>
    <w:rsid w:val="00FF62D3"/>
    <w:rsid w:val="00FF6E7A"/>
    <w:rsid w:val="00FF6ED5"/>
    <w:rsid w:val="02C6AD4D"/>
    <w:rsid w:val="05D5B900"/>
    <w:rsid w:val="064154BB"/>
    <w:rsid w:val="084378A0"/>
    <w:rsid w:val="08DCBDEE"/>
    <w:rsid w:val="0C9B2102"/>
    <w:rsid w:val="0F84043A"/>
    <w:rsid w:val="10C75AF6"/>
    <w:rsid w:val="114F8D84"/>
    <w:rsid w:val="11526E84"/>
    <w:rsid w:val="19E2B5A8"/>
    <w:rsid w:val="19F5E744"/>
    <w:rsid w:val="1B3441DF"/>
    <w:rsid w:val="1E45ACDB"/>
    <w:rsid w:val="209B80A7"/>
    <w:rsid w:val="22FB145A"/>
    <w:rsid w:val="24C63ED1"/>
    <w:rsid w:val="25157C8C"/>
    <w:rsid w:val="266ECB2C"/>
    <w:rsid w:val="26AB1D11"/>
    <w:rsid w:val="273B0E1F"/>
    <w:rsid w:val="27FC1C79"/>
    <w:rsid w:val="309A5BCE"/>
    <w:rsid w:val="32F4A1D1"/>
    <w:rsid w:val="39A37B11"/>
    <w:rsid w:val="3A195B5E"/>
    <w:rsid w:val="407CE419"/>
    <w:rsid w:val="43441B6E"/>
    <w:rsid w:val="43C88698"/>
    <w:rsid w:val="43FB4232"/>
    <w:rsid w:val="4B37CB5E"/>
    <w:rsid w:val="4FDA7841"/>
    <w:rsid w:val="5194F353"/>
    <w:rsid w:val="52C91939"/>
    <w:rsid w:val="594D53EE"/>
    <w:rsid w:val="625129B1"/>
    <w:rsid w:val="66AA85E2"/>
    <w:rsid w:val="6F4CA287"/>
    <w:rsid w:val="7283A656"/>
    <w:rsid w:val="73597CD7"/>
    <w:rsid w:val="7990F35A"/>
    <w:rsid w:val="7C7FB5D3"/>
    <w:rsid w:val="7CF470E8"/>
    <w:rsid w:val="7F66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7B62FB04-342F-4B5F-92EC-48DDEF028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7F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CC11AF"/>
    <w:pPr>
      <w:numPr>
        <w:numId w:val="13"/>
      </w:numPr>
      <w:overflowPunct/>
      <w:autoSpaceDE/>
      <w:autoSpaceDN/>
      <w:adjustRightInd/>
      <w:spacing w:after="160" w:line="259" w:lineRule="auto"/>
      <w:contextualSpacing/>
    </w:pPr>
    <w:rPr>
      <w:rFonts w:eastAsiaTheme="minorHAnsi" w:cstheme="minorBidi"/>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CC11AF"/>
    <w:rPr>
      <w:rFonts w:ascii="Times New Roman" w:eastAsiaTheme="minorHAnsi" w:hAnsi="Times New Roman" w:cstheme="minorBidi"/>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qFormat/>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qFormat/>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cs="Times New Roman"/>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styleId="Title">
    <w:name w:val="Title"/>
    <w:basedOn w:val="Normal"/>
    <w:next w:val="Normal"/>
    <w:link w:val="TitleChar"/>
    <w:uiPriority w:val="10"/>
    <w:qFormat/>
    <w:rsid w:val="00AC2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36D"/>
    <w:rPr>
      <w:rFonts w:asciiTheme="majorHAnsi" w:eastAsiaTheme="majorEastAsia" w:hAnsiTheme="majorHAnsi" w:cstheme="majorBidi"/>
      <w:spacing w:val="-10"/>
      <w:kern w:val="28"/>
      <w:sz w:val="56"/>
      <w:szCs w:val="56"/>
    </w:rPr>
  </w:style>
  <w:style w:type="paragraph" w:styleId="Bibliography">
    <w:name w:val="Bibliography"/>
    <w:basedOn w:val="Normal"/>
    <w:next w:val="Normal"/>
    <w:uiPriority w:val="37"/>
    <w:unhideWhenUsed/>
    <w:rsid w:val="006664E0"/>
  </w:style>
  <w:style w:type="paragraph" w:customStyle="1" w:styleId="Doc-text2">
    <w:name w:val="Doc-text2"/>
    <w:basedOn w:val="Normal"/>
    <w:link w:val="Doc-text2Char"/>
    <w:qFormat/>
    <w:rsid w:val="002B2C52"/>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2B2C52"/>
    <w:rPr>
      <w:rFonts w:ascii="Arial" w:eastAsia="Times New Roman" w:hAnsi="Arial"/>
      <w:lang w:val="en-GB" w:eastAsia="ja-JP"/>
    </w:rPr>
  </w:style>
  <w:style w:type="paragraph" w:styleId="NormalWeb">
    <w:name w:val="Normal (Web)"/>
    <w:basedOn w:val="Normal"/>
    <w:uiPriority w:val="99"/>
    <w:semiHidden/>
    <w:unhideWhenUsed/>
    <w:rsid w:val="00C0188F"/>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semiHidden/>
    <w:unhideWhenUsed/>
    <w:rsid w:val="00030E5C"/>
    <w:pPr>
      <w:tabs>
        <w:tab w:val="center" w:pos="4680"/>
        <w:tab w:val="right" w:pos="9360"/>
      </w:tabs>
      <w:spacing w:after="0"/>
    </w:pPr>
  </w:style>
  <w:style w:type="character" w:customStyle="1" w:styleId="FooterChar">
    <w:name w:val="Footer Char"/>
    <w:basedOn w:val="DefaultParagraphFont"/>
    <w:link w:val="Footer"/>
    <w:uiPriority w:val="99"/>
    <w:semiHidden/>
    <w:rsid w:val="00030E5C"/>
    <w:rPr>
      <w:rFonts w:ascii="Times New Roman" w:eastAsia="SimSun" w:hAnsi="Times New Roman"/>
    </w:rPr>
  </w:style>
  <w:style w:type="character" w:styleId="UnresolvedMention">
    <w:name w:val="Unresolved Mention"/>
    <w:basedOn w:val="DefaultParagraphFont"/>
    <w:uiPriority w:val="99"/>
    <w:unhideWhenUsed/>
    <w:rsid w:val="00030E5C"/>
    <w:rPr>
      <w:color w:val="605E5C"/>
      <w:shd w:val="clear" w:color="auto" w:fill="E1DFDD"/>
    </w:rPr>
  </w:style>
  <w:style w:type="character" w:styleId="Mention">
    <w:name w:val="Mention"/>
    <w:basedOn w:val="DefaultParagraphFont"/>
    <w:uiPriority w:val="99"/>
    <w:unhideWhenUsed/>
    <w:rsid w:val="00030E5C"/>
    <w:rPr>
      <w:color w:val="2B579A"/>
      <w:shd w:val="clear" w:color="auto" w:fill="E1DFDD"/>
    </w:rPr>
  </w:style>
  <w:style w:type="paragraph" w:styleId="Revision">
    <w:name w:val="Revision"/>
    <w:hidden/>
    <w:uiPriority w:val="99"/>
    <w:semiHidden/>
    <w:rsid w:val="00B52D59"/>
    <w:rPr>
      <w:rFonts w:ascii="Times New Roman" w:eastAsia="SimSun" w:hAnsi="Times New Roman"/>
    </w:rPr>
  </w:style>
  <w:style w:type="table" w:styleId="TableGridLight">
    <w:name w:val="Grid Table Light"/>
    <w:basedOn w:val="TableNormal"/>
    <w:uiPriority w:val="40"/>
    <w:rsid w:val="003C6C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basedOn w:val="DefaultParagraphFont"/>
    <w:link w:val="TAL"/>
    <w:locked/>
    <w:rsid w:val="009F2625"/>
    <w:rPr>
      <w:rFonts w:ascii="Arial" w:hAnsi="Arial" w:cs="Arial"/>
      <w:lang w:eastAsia="ko-KR"/>
    </w:rPr>
  </w:style>
  <w:style w:type="paragraph" w:customStyle="1" w:styleId="TAL">
    <w:name w:val="TAL"/>
    <w:basedOn w:val="Normal"/>
    <w:link w:val="TALChar"/>
    <w:rsid w:val="009F2625"/>
    <w:pPr>
      <w:keepNext/>
      <w:adjustRightInd/>
      <w:spacing w:after="0"/>
    </w:pPr>
    <w:rPr>
      <w:rFonts w:ascii="Arial" w:eastAsia="Calibri" w:hAnsi="Arial" w:cs="Arial"/>
      <w:lang w:eastAsia="ko-KR"/>
    </w:rPr>
  </w:style>
  <w:style w:type="character" w:customStyle="1" w:styleId="TAHChar">
    <w:name w:val="TAH Char"/>
    <w:basedOn w:val="DefaultParagraphFont"/>
    <w:link w:val="TAH"/>
    <w:locked/>
    <w:rsid w:val="009F2625"/>
    <w:rPr>
      <w:rFonts w:ascii="Arial" w:hAnsi="Arial" w:cs="Arial"/>
      <w:b/>
      <w:bCs/>
      <w:lang w:eastAsia="ko-KR"/>
    </w:rPr>
  </w:style>
  <w:style w:type="paragraph" w:customStyle="1" w:styleId="TAH">
    <w:name w:val="TAH"/>
    <w:basedOn w:val="Normal"/>
    <w:link w:val="TAHChar"/>
    <w:rsid w:val="009F2625"/>
    <w:pPr>
      <w:keepNext/>
      <w:adjustRightInd/>
      <w:spacing w:after="0"/>
      <w:jc w:val="center"/>
    </w:pPr>
    <w:rPr>
      <w:rFonts w:ascii="Arial" w:eastAsia="Calibri" w:hAnsi="Arial" w:cs="Arial"/>
      <w:b/>
      <w:bCs/>
      <w:lang w:eastAsia="ko-KR"/>
    </w:rPr>
  </w:style>
  <w:style w:type="character" w:customStyle="1" w:styleId="normaltextrun">
    <w:name w:val="normaltextrun"/>
    <w:basedOn w:val="DefaultParagraphFont"/>
    <w:rsid w:val="004A0A2B"/>
  </w:style>
  <w:style w:type="character" w:customStyle="1" w:styleId="B1Char1">
    <w:name w:val="B1 Char1"/>
    <w:qFormat/>
    <w:rsid w:val="00D957C7"/>
    <w:rPr>
      <w:rFonts w:eastAsia="Times New Roman"/>
      <w:lang w:val="en-GB" w:eastAsia="ja-JP"/>
    </w:rPr>
  </w:style>
  <w:style w:type="paragraph" w:customStyle="1" w:styleId="B2">
    <w:name w:val="B2"/>
    <w:basedOn w:val="List2"/>
    <w:link w:val="B2Char"/>
    <w:qFormat/>
    <w:rsid w:val="00D957C7"/>
    <w:pPr>
      <w:ind w:left="851" w:hanging="284"/>
      <w:contextualSpacing w:val="0"/>
      <w:textAlignment w:val="baseline"/>
    </w:pPr>
    <w:rPr>
      <w:rFonts w:eastAsia="Times New Roman"/>
      <w:lang w:val="en-GB" w:eastAsia="ja-JP"/>
    </w:rPr>
  </w:style>
  <w:style w:type="character" w:customStyle="1" w:styleId="B2Char">
    <w:name w:val="B2 Char"/>
    <w:link w:val="B2"/>
    <w:qFormat/>
    <w:rsid w:val="00D957C7"/>
    <w:rPr>
      <w:rFonts w:ascii="Times New Roman" w:eastAsia="Times New Roman" w:hAnsi="Times New Roman"/>
      <w:lang w:val="en-GB" w:eastAsia="ja-JP"/>
    </w:rPr>
  </w:style>
  <w:style w:type="paragraph" w:customStyle="1" w:styleId="B3">
    <w:name w:val="B3"/>
    <w:basedOn w:val="List3"/>
    <w:link w:val="B3Char2"/>
    <w:qFormat/>
    <w:rsid w:val="00D957C7"/>
    <w:pPr>
      <w:ind w:left="1135" w:hanging="284"/>
      <w:contextualSpacing w:val="0"/>
      <w:textAlignment w:val="baseline"/>
    </w:pPr>
    <w:rPr>
      <w:rFonts w:eastAsia="Times New Roman"/>
      <w:lang w:val="en-GB" w:eastAsia="ja-JP"/>
    </w:rPr>
  </w:style>
  <w:style w:type="character" w:customStyle="1" w:styleId="B3Char2">
    <w:name w:val="B3 Char2"/>
    <w:link w:val="B3"/>
    <w:qFormat/>
    <w:rsid w:val="00D957C7"/>
    <w:rPr>
      <w:rFonts w:ascii="Times New Roman" w:eastAsia="Times New Roman" w:hAnsi="Times New Roman"/>
      <w:lang w:val="en-GB" w:eastAsia="ja-JP"/>
    </w:rPr>
  </w:style>
  <w:style w:type="paragraph" w:styleId="List2">
    <w:name w:val="List 2"/>
    <w:basedOn w:val="Normal"/>
    <w:uiPriority w:val="99"/>
    <w:semiHidden/>
    <w:unhideWhenUsed/>
    <w:rsid w:val="00D957C7"/>
    <w:pPr>
      <w:ind w:left="720" w:hanging="360"/>
      <w:contextualSpacing/>
    </w:pPr>
  </w:style>
  <w:style w:type="paragraph" w:styleId="List3">
    <w:name w:val="List 3"/>
    <w:basedOn w:val="Normal"/>
    <w:uiPriority w:val="99"/>
    <w:semiHidden/>
    <w:unhideWhenUsed/>
    <w:rsid w:val="00D957C7"/>
    <w:pPr>
      <w:ind w:left="1080" w:hanging="360"/>
      <w:contextualSpacing/>
    </w:pPr>
  </w:style>
  <w:style w:type="paragraph" w:customStyle="1" w:styleId="EditorsNote">
    <w:name w:val="Editor's Note"/>
    <w:basedOn w:val="NO"/>
    <w:link w:val="EditorsNoteChar"/>
    <w:qFormat/>
    <w:rsid w:val="00D957C7"/>
    <w:pPr>
      <w:overflowPunct w:val="0"/>
      <w:autoSpaceDE w:val="0"/>
      <w:autoSpaceDN w:val="0"/>
      <w:adjustRightInd w:val="0"/>
      <w:textAlignment w:val="baseline"/>
    </w:pPr>
    <w:rPr>
      <w:rFonts w:eastAsia="Times New Roman"/>
      <w:color w:val="FF0000"/>
      <w:lang w:eastAsia="ja-JP"/>
    </w:rPr>
  </w:style>
  <w:style w:type="character" w:customStyle="1" w:styleId="EditorsNoteChar">
    <w:name w:val="Editor's Note Char"/>
    <w:aliases w:val="EN Char"/>
    <w:link w:val="EditorsNote"/>
    <w:qFormat/>
    <w:rsid w:val="00D957C7"/>
    <w:rPr>
      <w:rFonts w:ascii="Times New Roman" w:eastAsia="Times New Roman" w:hAnsi="Times New Roman"/>
      <w:color w:val="FF0000"/>
      <w:lang w:val="en-GB" w:eastAsia="ja-JP"/>
    </w:rPr>
  </w:style>
  <w:style w:type="paragraph" w:customStyle="1" w:styleId="B4">
    <w:name w:val="B4"/>
    <w:basedOn w:val="List4"/>
    <w:link w:val="B4Char"/>
    <w:qFormat/>
    <w:rsid w:val="00D957C7"/>
    <w:pPr>
      <w:overflowPunct/>
      <w:autoSpaceDE/>
      <w:autoSpaceDN/>
      <w:adjustRightInd/>
      <w:ind w:left="1418" w:hanging="284"/>
      <w:contextualSpacing w:val="0"/>
    </w:pPr>
    <w:rPr>
      <w:rFonts w:eastAsiaTheme="minorEastAsia"/>
      <w:lang w:val="en-GB"/>
    </w:rPr>
  </w:style>
  <w:style w:type="character" w:customStyle="1" w:styleId="B3Char">
    <w:name w:val="B3 Char"/>
    <w:qFormat/>
    <w:rsid w:val="00D957C7"/>
    <w:rPr>
      <w:rFonts w:ascii="Times New Roman" w:hAnsi="Times New Roman"/>
      <w:lang w:val="en-GB" w:eastAsia="en-US"/>
    </w:rPr>
  </w:style>
  <w:style w:type="character" w:customStyle="1" w:styleId="B4Char">
    <w:name w:val="B4 Char"/>
    <w:link w:val="B4"/>
    <w:qFormat/>
    <w:rsid w:val="00D957C7"/>
    <w:rPr>
      <w:rFonts w:ascii="Times New Roman" w:eastAsiaTheme="minorEastAsia" w:hAnsi="Times New Roman"/>
      <w:lang w:val="en-GB"/>
    </w:rPr>
  </w:style>
  <w:style w:type="paragraph" w:styleId="List4">
    <w:name w:val="List 4"/>
    <w:basedOn w:val="Normal"/>
    <w:uiPriority w:val="99"/>
    <w:semiHidden/>
    <w:unhideWhenUsed/>
    <w:rsid w:val="00D957C7"/>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74309">
      <w:bodyDiv w:val="1"/>
      <w:marLeft w:val="0"/>
      <w:marRight w:val="0"/>
      <w:marTop w:val="0"/>
      <w:marBottom w:val="0"/>
      <w:divBdr>
        <w:top w:val="none" w:sz="0" w:space="0" w:color="auto"/>
        <w:left w:val="none" w:sz="0" w:space="0" w:color="auto"/>
        <w:bottom w:val="none" w:sz="0" w:space="0" w:color="auto"/>
        <w:right w:val="none" w:sz="0" w:space="0" w:color="auto"/>
      </w:divBdr>
    </w:div>
    <w:div w:id="147212358">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77493631">
      <w:bodyDiv w:val="1"/>
      <w:marLeft w:val="0"/>
      <w:marRight w:val="0"/>
      <w:marTop w:val="0"/>
      <w:marBottom w:val="0"/>
      <w:divBdr>
        <w:top w:val="none" w:sz="0" w:space="0" w:color="auto"/>
        <w:left w:val="none" w:sz="0" w:space="0" w:color="auto"/>
        <w:bottom w:val="none" w:sz="0" w:space="0" w:color="auto"/>
        <w:right w:val="none" w:sz="0" w:space="0" w:color="auto"/>
      </w:divBdr>
    </w:div>
    <w:div w:id="314072547">
      <w:bodyDiv w:val="1"/>
      <w:marLeft w:val="0"/>
      <w:marRight w:val="0"/>
      <w:marTop w:val="0"/>
      <w:marBottom w:val="0"/>
      <w:divBdr>
        <w:top w:val="none" w:sz="0" w:space="0" w:color="auto"/>
        <w:left w:val="none" w:sz="0" w:space="0" w:color="auto"/>
        <w:bottom w:val="none" w:sz="0" w:space="0" w:color="auto"/>
        <w:right w:val="none" w:sz="0" w:space="0" w:color="auto"/>
      </w:divBdr>
    </w:div>
    <w:div w:id="319769753">
      <w:bodyDiv w:val="1"/>
      <w:marLeft w:val="0"/>
      <w:marRight w:val="0"/>
      <w:marTop w:val="0"/>
      <w:marBottom w:val="0"/>
      <w:divBdr>
        <w:top w:val="none" w:sz="0" w:space="0" w:color="auto"/>
        <w:left w:val="none" w:sz="0" w:space="0" w:color="auto"/>
        <w:bottom w:val="none" w:sz="0" w:space="0" w:color="auto"/>
        <w:right w:val="none" w:sz="0" w:space="0" w:color="auto"/>
      </w:divBdr>
    </w:div>
    <w:div w:id="350030103">
      <w:bodyDiv w:val="1"/>
      <w:marLeft w:val="0"/>
      <w:marRight w:val="0"/>
      <w:marTop w:val="0"/>
      <w:marBottom w:val="0"/>
      <w:divBdr>
        <w:top w:val="none" w:sz="0" w:space="0" w:color="auto"/>
        <w:left w:val="none" w:sz="0" w:space="0" w:color="auto"/>
        <w:bottom w:val="none" w:sz="0" w:space="0" w:color="auto"/>
        <w:right w:val="none" w:sz="0" w:space="0" w:color="auto"/>
      </w:divBdr>
    </w:div>
    <w:div w:id="491414114">
      <w:bodyDiv w:val="1"/>
      <w:marLeft w:val="0"/>
      <w:marRight w:val="0"/>
      <w:marTop w:val="0"/>
      <w:marBottom w:val="0"/>
      <w:divBdr>
        <w:top w:val="none" w:sz="0" w:space="0" w:color="auto"/>
        <w:left w:val="none" w:sz="0" w:space="0" w:color="auto"/>
        <w:bottom w:val="none" w:sz="0" w:space="0" w:color="auto"/>
        <w:right w:val="none" w:sz="0" w:space="0" w:color="auto"/>
      </w:divBdr>
    </w:div>
    <w:div w:id="499661918">
      <w:bodyDiv w:val="1"/>
      <w:marLeft w:val="0"/>
      <w:marRight w:val="0"/>
      <w:marTop w:val="0"/>
      <w:marBottom w:val="0"/>
      <w:divBdr>
        <w:top w:val="none" w:sz="0" w:space="0" w:color="auto"/>
        <w:left w:val="none" w:sz="0" w:space="0" w:color="auto"/>
        <w:bottom w:val="none" w:sz="0" w:space="0" w:color="auto"/>
        <w:right w:val="none" w:sz="0" w:space="0" w:color="auto"/>
      </w:divBdr>
    </w:div>
    <w:div w:id="528493112">
      <w:bodyDiv w:val="1"/>
      <w:marLeft w:val="0"/>
      <w:marRight w:val="0"/>
      <w:marTop w:val="0"/>
      <w:marBottom w:val="0"/>
      <w:divBdr>
        <w:top w:val="none" w:sz="0" w:space="0" w:color="auto"/>
        <w:left w:val="none" w:sz="0" w:space="0" w:color="auto"/>
        <w:bottom w:val="none" w:sz="0" w:space="0" w:color="auto"/>
        <w:right w:val="none" w:sz="0" w:space="0" w:color="auto"/>
      </w:divBdr>
    </w:div>
    <w:div w:id="559898969">
      <w:bodyDiv w:val="1"/>
      <w:marLeft w:val="0"/>
      <w:marRight w:val="0"/>
      <w:marTop w:val="0"/>
      <w:marBottom w:val="0"/>
      <w:divBdr>
        <w:top w:val="none" w:sz="0" w:space="0" w:color="auto"/>
        <w:left w:val="none" w:sz="0" w:space="0" w:color="auto"/>
        <w:bottom w:val="none" w:sz="0" w:space="0" w:color="auto"/>
        <w:right w:val="none" w:sz="0" w:space="0" w:color="auto"/>
      </w:divBdr>
    </w:div>
    <w:div w:id="567424428">
      <w:bodyDiv w:val="1"/>
      <w:marLeft w:val="0"/>
      <w:marRight w:val="0"/>
      <w:marTop w:val="0"/>
      <w:marBottom w:val="0"/>
      <w:divBdr>
        <w:top w:val="none" w:sz="0" w:space="0" w:color="auto"/>
        <w:left w:val="none" w:sz="0" w:space="0" w:color="auto"/>
        <w:bottom w:val="none" w:sz="0" w:space="0" w:color="auto"/>
        <w:right w:val="none" w:sz="0" w:space="0" w:color="auto"/>
      </w:divBdr>
    </w:div>
    <w:div w:id="722682752">
      <w:bodyDiv w:val="1"/>
      <w:marLeft w:val="0"/>
      <w:marRight w:val="0"/>
      <w:marTop w:val="0"/>
      <w:marBottom w:val="0"/>
      <w:divBdr>
        <w:top w:val="none" w:sz="0" w:space="0" w:color="auto"/>
        <w:left w:val="none" w:sz="0" w:space="0" w:color="auto"/>
        <w:bottom w:val="none" w:sz="0" w:space="0" w:color="auto"/>
        <w:right w:val="none" w:sz="0" w:space="0" w:color="auto"/>
      </w:divBdr>
    </w:div>
    <w:div w:id="735663041">
      <w:bodyDiv w:val="1"/>
      <w:marLeft w:val="0"/>
      <w:marRight w:val="0"/>
      <w:marTop w:val="0"/>
      <w:marBottom w:val="0"/>
      <w:divBdr>
        <w:top w:val="none" w:sz="0" w:space="0" w:color="auto"/>
        <w:left w:val="none" w:sz="0" w:space="0" w:color="auto"/>
        <w:bottom w:val="none" w:sz="0" w:space="0" w:color="auto"/>
        <w:right w:val="none" w:sz="0" w:space="0" w:color="auto"/>
      </w:divBdr>
    </w:div>
    <w:div w:id="848761850">
      <w:bodyDiv w:val="1"/>
      <w:marLeft w:val="0"/>
      <w:marRight w:val="0"/>
      <w:marTop w:val="0"/>
      <w:marBottom w:val="0"/>
      <w:divBdr>
        <w:top w:val="none" w:sz="0" w:space="0" w:color="auto"/>
        <w:left w:val="none" w:sz="0" w:space="0" w:color="auto"/>
        <w:bottom w:val="none" w:sz="0" w:space="0" w:color="auto"/>
        <w:right w:val="none" w:sz="0" w:space="0" w:color="auto"/>
      </w:divBdr>
    </w:div>
    <w:div w:id="857550561">
      <w:bodyDiv w:val="1"/>
      <w:marLeft w:val="0"/>
      <w:marRight w:val="0"/>
      <w:marTop w:val="0"/>
      <w:marBottom w:val="0"/>
      <w:divBdr>
        <w:top w:val="none" w:sz="0" w:space="0" w:color="auto"/>
        <w:left w:val="none" w:sz="0" w:space="0" w:color="auto"/>
        <w:bottom w:val="none" w:sz="0" w:space="0" w:color="auto"/>
        <w:right w:val="none" w:sz="0" w:space="0" w:color="auto"/>
      </w:divBdr>
    </w:div>
    <w:div w:id="908689277">
      <w:bodyDiv w:val="1"/>
      <w:marLeft w:val="0"/>
      <w:marRight w:val="0"/>
      <w:marTop w:val="0"/>
      <w:marBottom w:val="0"/>
      <w:divBdr>
        <w:top w:val="none" w:sz="0" w:space="0" w:color="auto"/>
        <w:left w:val="none" w:sz="0" w:space="0" w:color="auto"/>
        <w:bottom w:val="none" w:sz="0" w:space="0" w:color="auto"/>
        <w:right w:val="none" w:sz="0" w:space="0" w:color="auto"/>
      </w:divBdr>
    </w:div>
    <w:div w:id="94673912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06591089">
      <w:bodyDiv w:val="1"/>
      <w:marLeft w:val="0"/>
      <w:marRight w:val="0"/>
      <w:marTop w:val="0"/>
      <w:marBottom w:val="0"/>
      <w:divBdr>
        <w:top w:val="none" w:sz="0" w:space="0" w:color="auto"/>
        <w:left w:val="none" w:sz="0" w:space="0" w:color="auto"/>
        <w:bottom w:val="none" w:sz="0" w:space="0" w:color="auto"/>
        <w:right w:val="none" w:sz="0" w:space="0" w:color="auto"/>
      </w:divBdr>
    </w:div>
    <w:div w:id="1029641996">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75132945">
      <w:bodyDiv w:val="1"/>
      <w:marLeft w:val="0"/>
      <w:marRight w:val="0"/>
      <w:marTop w:val="0"/>
      <w:marBottom w:val="0"/>
      <w:divBdr>
        <w:top w:val="none" w:sz="0" w:space="0" w:color="auto"/>
        <w:left w:val="none" w:sz="0" w:space="0" w:color="auto"/>
        <w:bottom w:val="none" w:sz="0" w:space="0" w:color="auto"/>
        <w:right w:val="none" w:sz="0" w:space="0" w:color="auto"/>
      </w:divBdr>
    </w:div>
    <w:div w:id="1081021463">
      <w:bodyDiv w:val="1"/>
      <w:marLeft w:val="0"/>
      <w:marRight w:val="0"/>
      <w:marTop w:val="0"/>
      <w:marBottom w:val="0"/>
      <w:divBdr>
        <w:top w:val="none" w:sz="0" w:space="0" w:color="auto"/>
        <w:left w:val="none" w:sz="0" w:space="0" w:color="auto"/>
        <w:bottom w:val="none" w:sz="0" w:space="0" w:color="auto"/>
        <w:right w:val="none" w:sz="0" w:space="0" w:color="auto"/>
      </w:divBdr>
    </w:div>
    <w:div w:id="1101098647">
      <w:bodyDiv w:val="1"/>
      <w:marLeft w:val="0"/>
      <w:marRight w:val="0"/>
      <w:marTop w:val="0"/>
      <w:marBottom w:val="0"/>
      <w:divBdr>
        <w:top w:val="none" w:sz="0" w:space="0" w:color="auto"/>
        <w:left w:val="none" w:sz="0" w:space="0" w:color="auto"/>
        <w:bottom w:val="none" w:sz="0" w:space="0" w:color="auto"/>
        <w:right w:val="none" w:sz="0" w:space="0" w:color="auto"/>
      </w:divBdr>
    </w:div>
    <w:div w:id="1145511561">
      <w:bodyDiv w:val="1"/>
      <w:marLeft w:val="0"/>
      <w:marRight w:val="0"/>
      <w:marTop w:val="0"/>
      <w:marBottom w:val="0"/>
      <w:divBdr>
        <w:top w:val="none" w:sz="0" w:space="0" w:color="auto"/>
        <w:left w:val="none" w:sz="0" w:space="0" w:color="auto"/>
        <w:bottom w:val="none" w:sz="0" w:space="0" w:color="auto"/>
        <w:right w:val="none" w:sz="0" w:space="0" w:color="auto"/>
      </w:divBdr>
    </w:div>
    <w:div w:id="1158619241">
      <w:bodyDiv w:val="1"/>
      <w:marLeft w:val="0"/>
      <w:marRight w:val="0"/>
      <w:marTop w:val="0"/>
      <w:marBottom w:val="0"/>
      <w:divBdr>
        <w:top w:val="none" w:sz="0" w:space="0" w:color="auto"/>
        <w:left w:val="none" w:sz="0" w:space="0" w:color="auto"/>
        <w:bottom w:val="none" w:sz="0" w:space="0" w:color="auto"/>
        <w:right w:val="none" w:sz="0" w:space="0" w:color="auto"/>
      </w:divBdr>
    </w:div>
    <w:div w:id="1212422095">
      <w:bodyDiv w:val="1"/>
      <w:marLeft w:val="0"/>
      <w:marRight w:val="0"/>
      <w:marTop w:val="0"/>
      <w:marBottom w:val="0"/>
      <w:divBdr>
        <w:top w:val="none" w:sz="0" w:space="0" w:color="auto"/>
        <w:left w:val="none" w:sz="0" w:space="0" w:color="auto"/>
        <w:bottom w:val="none" w:sz="0" w:space="0" w:color="auto"/>
        <w:right w:val="none" w:sz="0" w:space="0" w:color="auto"/>
      </w:divBdr>
    </w:div>
    <w:div w:id="1220215401">
      <w:bodyDiv w:val="1"/>
      <w:marLeft w:val="0"/>
      <w:marRight w:val="0"/>
      <w:marTop w:val="0"/>
      <w:marBottom w:val="0"/>
      <w:divBdr>
        <w:top w:val="none" w:sz="0" w:space="0" w:color="auto"/>
        <w:left w:val="none" w:sz="0" w:space="0" w:color="auto"/>
        <w:bottom w:val="none" w:sz="0" w:space="0" w:color="auto"/>
        <w:right w:val="none" w:sz="0" w:space="0" w:color="auto"/>
      </w:divBdr>
    </w:div>
    <w:div w:id="1236932234">
      <w:bodyDiv w:val="1"/>
      <w:marLeft w:val="0"/>
      <w:marRight w:val="0"/>
      <w:marTop w:val="0"/>
      <w:marBottom w:val="0"/>
      <w:divBdr>
        <w:top w:val="none" w:sz="0" w:space="0" w:color="auto"/>
        <w:left w:val="none" w:sz="0" w:space="0" w:color="auto"/>
        <w:bottom w:val="none" w:sz="0" w:space="0" w:color="auto"/>
        <w:right w:val="none" w:sz="0" w:space="0" w:color="auto"/>
      </w:divBdr>
    </w:div>
    <w:div w:id="1290042842">
      <w:bodyDiv w:val="1"/>
      <w:marLeft w:val="0"/>
      <w:marRight w:val="0"/>
      <w:marTop w:val="0"/>
      <w:marBottom w:val="0"/>
      <w:divBdr>
        <w:top w:val="none" w:sz="0" w:space="0" w:color="auto"/>
        <w:left w:val="none" w:sz="0" w:space="0" w:color="auto"/>
        <w:bottom w:val="none" w:sz="0" w:space="0" w:color="auto"/>
        <w:right w:val="none" w:sz="0" w:space="0" w:color="auto"/>
      </w:divBdr>
    </w:div>
    <w:div w:id="135477034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72943213">
      <w:bodyDiv w:val="1"/>
      <w:marLeft w:val="0"/>
      <w:marRight w:val="0"/>
      <w:marTop w:val="0"/>
      <w:marBottom w:val="0"/>
      <w:divBdr>
        <w:top w:val="none" w:sz="0" w:space="0" w:color="auto"/>
        <w:left w:val="none" w:sz="0" w:space="0" w:color="auto"/>
        <w:bottom w:val="none" w:sz="0" w:space="0" w:color="auto"/>
        <w:right w:val="none" w:sz="0" w:space="0" w:color="auto"/>
      </w:divBdr>
    </w:div>
    <w:div w:id="1473984927">
      <w:bodyDiv w:val="1"/>
      <w:marLeft w:val="0"/>
      <w:marRight w:val="0"/>
      <w:marTop w:val="0"/>
      <w:marBottom w:val="0"/>
      <w:divBdr>
        <w:top w:val="none" w:sz="0" w:space="0" w:color="auto"/>
        <w:left w:val="none" w:sz="0" w:space="0" w:color="auto"/>
        <w:bottom w:val="none" w:sz="0" w:space="0" w:color="auto"/>
        <w:right w:val="none" w:sz="0" w:space="0" w:color="auto"/>
      </w:divBdr>
    </w:div>
    <w:div w:id="1559633697">
      <w:bodyDiv w:val="1"/>
      <w:marLeft w:val="0"/>
      <w:marRight w:val="0"/>
      <w:marTop w:val="0"/>
      <w:marBottom w:val="0"/>
      <w:divBdr>
        <w:top w:val="none" w:sz="0" w:space="0" w:color="auto"/>
        <w:left w:val="none" w:sz="0" w:space="0" w:color="auto"/>
        <w:bottom w:val="none" w:sz="0" w:space="0" w:color="auto"/>
        <w:right w:val="none" w:sz="0" w:space="0" w:color="auto"/>
      </w:divBdr>
    </w:div>
    <w:div w:id="1563253576">
      <w:bodyDiv w:val="1"/>
      <w:marLeft w:val="0"/>
      <w:marRight w:val="0"/>
      <w:marTop w:val="0"/>
      <w:marBottom w:val="0"/>
      <w:divBdr>
        <w:top w:val="none" w:sz="0" w:space="0" w:color="auto"/>
        <w:left w:val="none" w:sz="0" w:space="0" w:color="auto"/>
        <w:bottom w:val="none" w:sz="0" w:space="0" w:color="auto"/>
        <w:right w:val="none" w:sz="0" w:space="0" w:color="auto"/>
      </w:divBdr>
    </w:div>
    <w:div w:id="1591233389">
      <w:bodyDiv w:val="1"/>
      <w:marLeft w:val="0"/>
      <w:marRight w:val="0"/>
      <w:marTop w:val="0"/>
      <w:marBottom w:val="0"/>
      <w:divBdr>
        <w:top w:val="none" w:sz="0" w:space="0" w:color="auto"/>
        <w:left w:val="none" w:sz="0" w:space="0" w:color="auto"/>
        <w:bottom w:val="none" w:sz="0" w:space="0" w:color="auto"/>
        <w:right w:val="none" w:sz="0" w:space="0" w:color="auto"/>
      </w:divBdr>
    </w:div>
    <w:div w:id="161031407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47855429">
      <w:bodyDiv w:val="1"/>
      <w:marLeft w:val="0"/>
      <w:marRight w:val="0"/>
      <w:marTop w:val="0"/>
      <w:marBottom w:val="0"/>
      <w:divBdr>
        <w:top w:val="none" w:sz="0" w:space="0" w:color="auto"/>
        <w:left w:val="none" w:sz="0" w:space="0" w:color="auto"/>
        <w:bottom w:val="none" w:sz="0" w:space="0" w:color="auto"/>
        <w:right w:val="none" w:sz="0" w:space="0" w:color="auto"/>
      </w:divBdr>
    </w:div>
    <w:div w:id="1680962237">
      <w:bodyDiv w:val="1"/>
      <w:marLeft w:val="0"/>
      <w:marRight w:val="0"/>
      <w:marTop w:val="0"/>
      <w:marBottom w:val="0"/>
      <w:divBdr>
        <w:top w:val="none" w:sz="0" w:space="0" w:color="auto"/>
        <w:left w:val="none" w:sz="0" w:space="0" w:color="auto"/>
        <w:bottom w:val="none" w:sz="0" w:space="0" w:color="auto"/>
        <w:right w:val="none" w:sz="0" w:space="0" w:color="auto"/>
      </w:divBdr>
    </w:div>
    <w:div w:id="1696615576">
      <w:bodyDiv w:val="1"/>
      <w:marLeft w:val="0"/>
      <w:marRight w:val="0"/>
      <w:marTop w:val="0"/>
      <w:marBottom w:val="0"/>
      <w:divBdr>
        <w:top w:val="none" w:sz="0" w:space="0" w:color="auto"/>
        <w:left w:val="none" w:sz="0" w:space="0" w:color="auto"/>
        <w:bottom w:val="none" w:sz="0" w:space="0" w:color="auto"/>
        <w:right w:val="none" w:sz="0" w:space="0" w:color="auto"/>
      </w:divBdr>
    </w:div>
    <w:div w:id="169915999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85340279">
      <w:bodyDiv w:val="1"/>
      <w:marLeft w:val="0"/>
      <w:marRight w:val="0"/>
      <w:marTop w:val="0"/>
      <w:marBottom w:val="0"/>
      <w:divBdr>
        <w:top w:val="none" w:sz="0" w:space="0" w:color="auto"/>
        <w:left w:val="none" w:sz="0" w:space="0" w:color="auto"/>
        <w:bottom w:val="none" w:sz="0" w:space="0" w:color="auto"/>
        <w:right w:val="none" w:sz="0" w:space="0" w:color="auto"/>
      </w:divBdr>
    </w:div>
    <w:div w:id="1797214290">
      <w:bodyDiv w:val="1"/>
      <w:marLeft w:val="0"/>
      <w:marRight w:val="0"/>
      <w:marTop w:val="0"/>
      <w:marBottom w:val="0"/>
      <w:divBdr>
        <w:top w:val="none" w:sz="0" w:space="0" w:color="auto"/>
        <w:left w:val="none" w:sz="0" w:space="0" w:color="auto"/>
        <w:bottom w:val="none" w:sz="0" w:space="0" w:color="auto"/>
        <w:right w:val="none" w:sz="0" w:space="0" w:color="auto"/>
      </w:divBdr>
    </w:div>
    <w:div w:id="1849441358">
      <w:bodyDiv w:val="1"/>
      <w:marLeft w:val="0"/>
      <w:marRight w:val="0"/>
      <w:marTop w:val="0"/>
      <w:marBottom w:val="0"/>
      <w:divBdr>
        <w:top w:val="none" w:sz="0" w:space="0" w:color="auto"/>
        <w:left w:val="none" w:sz="0" w:space="0" w:color="auto"/>
        <w:bottom w:val="none" w:sz="0" w:space="0" w:color="auto"/>
        <w:right w:val="none" w:sz="0" w:space="0" w:color="auto"/>
      </w:divBdr>
    </w:div>
    <w:div w:id="1861235325">
      <w:bodyDiv w:val="1"/>
      <w:marLeft w:val="0"/>
      <w:marRight w:val="0"/>
      <w:marTop w:val="0"/>
      <w:marBottom w:val="0"/>
      <w:divBdr>
        <w:top w:val="none" w:sz="0" w:space="0" w:color="auto"/>
        <w:left w:val="none" w:sz="0" w:space="0" w:color="auto"/>
        <w:bottom w:val="none" w:sz="0" w:space="0" w:color="auto"/>
        <w:right w:val="none" w:sz="0" w:space="0" w:color="auto"/>
      </w:divBdr>
    </w:div>
    <w:div w:id="1883782777">
      <w:bodyDiv w:val="1"/>
      <w:marLeft w:val="0"/>
      <w:marRight w:val="0"/>
      <w:marTop w:val="0"/>
      <w:marBottom w:val="0"/>
      <w:divBdr>
        <w:top w:val="none" w:sz="0" w:space="0" w:color="auto"/>
        <w:left w:val="none" w:sz="0" w:space="0" w:color="auto"/>
        <w:bottom w:val="none" w:sz="0" w:space="0" w:color="auto"/>
        <w:right w:val="none" w:sz="0" w:space="0" w:color="auto"/>
      </w:divBdr>
    </w:div>
    <w:div w:id="1884900528">
      <w:bodyDiv w:val="1"/>
      <w:marLeft w:val="0"/>
      <w:marRight w:val="0"/>
      <w:marTop w:val="0"/>
      <w:marBottom w:val="0"/>
      <w:divBdr>
        <w:top w:val="none" w:sz="0" w:space="0" w:color="auto"/>
        <w:left w:val="none" w:sz="0" w:space="0" w:color="auto"/>
        <w:bottom w:val="none" w:sz="0" w:space="0" w:color="auto"/>
        <w:right w:val="none" w:sz="0" w:space="0" w:color="auto"/>
      </w:divBdr>
    </w:div>
    <w:div w:id="1930963051">
      <w:bodyDiv w:val="1"/>
      <w:marLeft w:val="0"/>
      <w:marRight w:val="0"/>
      <w:marTop w:val="0"/>
      <w:marBottom w:val="0"/>
      <w:divBdr>
        <w:top w:val="none" w:sz="0" w:space="0" w:color="auto"/>
        <w:left w:val="none" w:sz="0" w:space="0" w:color="auto"/>
        <w:bottom w:val="none" w:sz="0" w:space="0" w:color="auto"/>
        <w:right w:val="none" w:sz="0" w:space="0" w:color="auto"/>
      </w:divBdr>
    </w:div>
    <w:div w:id="1961258909">
      <w:bodyDiv w:val="1"/>
      <w:marLeft w:val="0"/>
      <w:marRight w:val="0"/>
      <w:marTop w:val="0"/>
      <w:marBottom w:val="0"/>
      <w:divBdr>
        <w:top w:val="none" w:sz="0" w:space="0" w:color="auto"/>
        <w:left w:val="none" w:sz="0" w:space="0" w:color="auto"/>
        <w:bottom w:val="none" w:sz="0" w:space="0" w:color="auto"/>
        <w:right w:val="none" w:sz="0" w:space="0" w:color="auto"/>
      </w:divBdr>
    </w:div>
    <w:div w:id="204054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RAN2115</b:Tag>
    <b:SourceType>ConferenceProceedings</b:SourceType>
    <b:Guid>{1E785E46-A45D-4C6A-A719-101ABAF7BB68}</b:Guid>
    <b:Title>RAN2#115 e-Meeting, Chairman Notes</b:Title>
    <b:RefOrder>1</b:RefOrder>
  </b:Source>
  <b:Source>
    <b:Tag>emaildisc509</b:Tag>
    <b:SourceType>ConferenceProceedings</b:SourceType>
    <b:Guid>{096E75B8-F863-4801-A1ED-79B0D430C320}</b:Guid>
    <b:Title>R2-210xxxx_Summary_of_[Post115-e][509][SDT]_CG_open_issues_(Xiaomi)</b:Title>
    <b:RefOrder>2</b:RefOrder>
  </b:Source>
  <b:Source>
    <b:Tag>IntelCP</b:Tag>
    <b:SourceType>ConferenceProceedings</b:SourceType>
    <b:Guid>{95532AC7-63D4-41D8-AF31-9FA652E9861B}</b:Guid>
    <b:Title>R2-2109620, Control plane leftover issues for SDT procedure (Intel)</b:Title>
    <b:RefOrder>3</b:RefOrder>
  </b:Source>
  <b:Source>
    <b:Tag>IntelUP</b:Tag>
    <b:SourceType>ConferenceProceedings</b:SourceType>
    <b:Guid>{231B27D1-63B4-4129-B3D9-C46C30004D4E}</b:Guid>
    <b:Title>R2-2109621, User plane leftover issues for SDT procedure (Intel)</b:Title>
    <b:RefOrder>4</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5D6567-0DB5-4655-82D4-FCA934641E7B}">
  <ds:schemaRefs>
    <ds:schemaRef ds:uri="http://schemas.openxmlformats.org/officeDocument/2006/bibliography"/>
  </ds:schemaRefs>
</ds:datastoreItem>
</file>

<file path=customXml/itemProps2.xml><?xml version="1.0" encoding="utf-8"?>
<ds:datastoreItem xmlns:ds="http://schemas.openxmlformats.org/officeDocument/2006/customXml" ds:itemID="{220CFA80-5AB7-40C2-B370-08D9D9A1F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2744</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18349</CharactersWithSpaces>
  <SharedDoc>false</SharedDoc>
  <HLinks>
    <vt:vector size="30" baseType="variant">
      <vt:variant>
        <vt:i4>6619149</vt:i4>
      </vt:variant>
      <vt:variant>
        <vt:i4>12</vt:i4>
      </vt:variant>
      <vt:variant>
        <vt:i4>0</vt:i4>
      </vt:variant>
      <vt:variant>
        <vt:i4>5</vt:i4>
      </vt:variant>
      <vt:variant>
        <vt:lpwstr>mailto:ansab.ali@intel.com</vt:lpwstr>
      </vt:variant>
      <vt:variant>
        <vt:lpwstr/>
      </vt:variant>
      <vt:variant>
        <vt:i4>6291534</vt:i4>
      </vt:variant>
      <vt:variant>
        <vt:i4>9</vt:i4>
      </vt:variant>
      <vt:variant>
        <vt:i4>0</vt:i4>
      </vt:variant>
      <vt:variant>
        <vt:i4>5</vt:i4>
      </vt:variant>
      <vt:variant>
        <vt:lpwstr>mailto:marta.m.tarradell@intel.com</vt:lpwstr>
      </vt:variant>
      <vt:variant>
        <vt:lpwstr/>
      </vt: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 (Sudeep)</cp:lastModifiedBy>
  <cp:revision>6</cp:revision>
  <dcterms:created xsi:type="dcterms:W3CDTF">2021-10-21T23:48:00Z</dcterms:created>
  <dcterms:modified xsi:type="dcterms:W3CDTF">2021-10-22T03:12:00Z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