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[AT115-e][616][Relay]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Heading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We think it is simple for relay UE implementation to just use fixed/specified option for SRB0 in both PC5 and Uu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xml:space="preserve"> in spec, which can be reconfigured to a dedicated RLC channel by gNB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w:t>
            </w:r>
            <w:r>
              <w:rPr>
                <w:b/>
                <w:bCs/>
                <w:u w:val="single"/>
                <w:lang w:val="en-GB"/>
              </w:rPr>
              <w:t>one</w:t>
            </w:r>
            <w:r w:rsidRPr="00305395">
              <w:rPr>
                <w:b/>
                <w:bCs/>
                <w:u w:val="single"/>
                <w:lang w:val="en-GB"/>
              </w:rPr>
              <w:t xml:space="preserve">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r w:rsidRPr="0042545E">
              <w:rPr>
                <w:lang w:val="en-GB"/>
              </w:rPr>
              <w:t xml:space="preserve">gNB </w:t>
            </w:r>
            <w:r>
              <w:rPr>
                <w:lang w:val="en-GB"/>
              </w:rPr>
              <w:t xml:space="preserve">configures </w:t>
            </w:r>
            <w:r w:rsidRPr="00E72F04">
              <w:rPr>
                <w:b/>
                <w:bCs/>
                <w:u w:val="single"/>
                <w:lang w:val="en-GB"/>
              </w:rPr>
              <w:t xml:space="preserve">different </w:t>
            </w:r>
            <w:r>
              <w:rPr>
                <w:b/>
                <w:bCs/>
                <w:u w:val="single"/>
                <w:lang w:val="en-GB"/>
              </w:rPr>
              <w:t>Uu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Uu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097D6E" w14:paraId="518C6689" w14:textId="77777777" w:rsidTr="005E30BC">
        <w:tc>
          <w:tcPr>
            <w:tcW w:w="1809" w:type="dxa"/>
          </w:tcPr>
          <w:p w14:paraId="4C9E88A5" w14:textId="1D498D26" w:rsidR="00097D6E" w:rsidRDefault="00097D6E" w:rsidP="00024C72">
            <w:pPr>
              <w:jc w:val="center"/>
              <w:rPr>
                <w:rFonts w:cs="Arial"/>
              </w:rPr>
            </w:pPr>
          </w:p>
        </w:tc>
        <w:tc>
          <w:tcPr>
            <w:tcW w:w="1696" w:type="dxa"/>
          </w:tcPr>
          <w:p w14:paraId="78ED0B70" w14:textId="1EC8ED6F" w:rsidR="00097D6E" w:rsidRDefault="00097D6E" w:rsidP="00024C72">
            <w:pPr>
              <w:rPr>
                <w:rFonts w:eastAsia="等线" w:cs="Arial"/>
              </w:rPr>
            </w:pPr>
          </w:p>
        </w:tc>
        <w:tc>
          <w:tcPr>
            <w:tcW w:w="4854" w:type="dxa"/>
          </w:tcPr>
          <w:p w14:paraId="3906B64C" w14:textId="77777777" w:rsidR="00097D6E" w:rsidRDefault="00097D6E" w:rsidP="00024C72">
            <w:pPr>
              <w:rPr>
                <w:rFonts w:eastAsia="等线" w:cs="Arial"/>
              </w:rPr>
            </w:pP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BodyText"/>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RRCResume and RRCReestablishment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BodyText"/>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lastRenderedPageBreak/>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which can be reconfigured to a dedicated RLC channel by gNB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a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bl>
    <w:p w14:paraId="3F0C855B" w14:textId="77777777" w:rsidR="00B5149C" w:rsidRDefault="00B5149C" w:rsidP="007A601C">
      <w:pPr>
        <w:pStyle w:val="BodyText"/>
        <w:rPr>
          <w:lang w:val="en-GB"/>
        </w:rPr>
      </w:pPr>
    </w:p>
    <w:p w14:paraId="5F52141A" w14:textId="2DCE59AA" w:rsidR="00A85C1B" w:rsidRPr="00A85C1B" w:rsidRDefault="00A85C1B" w:rsidP="007A601C">
      <w:pPr>
        <w:pStyle w:val="BodyText"/>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onfigurationComplete in path switch to indirect path.</w:t>
      </w:r>
      <w:r w:rsidR="00B5149C">
        <w:rPr>
          <w:lang w:val="en-GB"/>
        </w:rPr>
        <w:t xml:space="preserve"> P5 in [39] propose RAN2 to discuss following question,</w:t>
      </w:r>
    </w:p>
    <w:p w14:paraId="6ADA13C4" w14:textId="5A0CB175" w:rsidR="00A85C1B" w:rsidRDefault="00097D6E" w:rsidP="007A601C">
      <w:pPr>
        <w:pStyle w:val="BodyText"/>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This can be part of RRCReconfiguration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sidRPr="00AF3E3E">
              <w:rPr>
                <w:rFonts w:cs="Arial"/>
                <w:i/>
                <w:iCs/>
              </w:rPr>
              <w:t>RRCReconfigurationComplete</w:t>
            </w:r>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rsidR="003B183B" w14:paraId="2CF3E4CC" w14:textId="77777777" w:rsidTr="00097D6E">
        <w:tc>
          <w:tcPr>
            <w:tcW w:w="1809" w:type="dxa"/>
          </w:tcPr>
          <w:p w14:paraId="68A7B618" w14:textId="77777777" w:rsidR="003B183B" w:rsidRDefault="003B183B" w:rsidP="003B183B">
            <w:pPr>
              <w:jc w:val="center"/>
              <w:rPr>
                <w:rFonts w:cs="Arial"/>
              </w:rPr>
            </w:pPr>
          </w:p>
        </w:tc>
        <w:tc>
          <w:tcPr>
            <w:tcW w:w="1985" w:type="dxa"/>
          </w:tcPr>
          <w:p w14:paraId="0501943C" w14:textId="77777777" w:rsidR="003B183B" w:rsidRDefault="003B183B" w:rsidP="003B183B">
            <w:pPr>
              <w:rPr>
                <w:rFonts w:eastAsia="等线" w:cs="Arial"/>
              </w:rPr>
            </w:pPr>
          </w:p>
        </w:tc>
        <w:tc>
          <w:tcPr>
            <w:tcW w:w="4423" w:type="dxa"/>
          </w:tcPr>
          <w:p w14:paraId="28A06949" w14:textId="77777777" w:rsidR="003B183B" w:rsidRDefault="003B183B" w:rsidP="003B183B">
            <w:pPr>
              <w:rPr>
                <w:rFonts w:eastAsia="等线" w:cs="Arial"/>
              </w:rPr>
            </w:pPr>
          </w:p>
        </w:tc>
      </w:tr>
    </w:tbl>
    <w:p w14:paraId="1AB1F742" w14:textId="77777777" w:rsidR="00097D6E" w:rsidRDefault="00097D6E" w:rsidP="007A601C">
      <w:pPr>
        <w:pStyle w:val="BodyText"/>
        <w:rPr>
          <w:b/>
          <w:color w:val="000000" w:themeColor="text1"/>
          <w:lang w:val="en-GB"/>
        </w:rPr>
      </w:pPr>
    </w:p>
    <w:p w14:paraId="3ED48CB7" w14:textId="2509DEB2" w:rsidR="003F23DC" w:rsidRDefault="003F23DC" w:rsidP="003F23DC">
      <w:pPr>
        <w:pStyle w:val="Heading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lastRenderedPageBreak/>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BodyText"/>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BodyText"/>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SA3 made an assumption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In addition, please note that SA3 didn’t mention any condition of this trust assumption. Thus, 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to 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Relay UE forwards the paging DRX parameters of Remote UE to the base station i.e. gNB</w:t>
            </w:r>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B5149C" w14:paraId="1A67C100" w14:textId="77777777" w:rsidTr="00024C72">
        <w:tc>
          <w:tcPr>
            <w:tcW w:w="1809" w:type="dxa"/>
          </w:tcPr>
          <w:p w14:paraId="70F952F4" w14:textId="77777777" w:rsidR="00B5149C" w:rsidRDefault="00B5149C" w:rsidP="00024C72">
            <w:pPr>
              <w:jc w:val="center"/>
              <w:rPr>
                <w:rFonts w:cs="Arial"/>
              </w:rPr>
            </w:pPr>
          </w:p>
        </w:tc>
        <w:tc>
          <w:tcPr>
            <w:tcW w:w="1985" w:type="dxa"/>
          </w:tcPr>
          <w:p w14:paraId="27F0487D" w14:textId="77777777" w:rsidR="00B5149C" w:rsidRDefault="00B5149C" w:rsidP="00024C72">
            <w:pPr>
              <w:rPr>
                <w:rFonts w:eastAsia="等线" w:cs="Arial"/>
              </w:rPr>
            </w:pPr>
          </w:p>
        </w:tc>
        <w:tc>
          <w:tcPr>
            <w:tcW w:w="4423" w:type="dxa"/>
          </w:tcPr>
          <w:p w14:paraId="4819A1FA" w14:textId="77777777" w:rsidR="00B5149C" w:rsidRDefault="00B5149C" w:rsidP="00024C72">
            <w:pPr>
              <w:rPr>
                <w:rFonts w:eastAsia="等线" w:cs="Arial"/>
              </w:rPr>
            </w:pPr>
          </w:p>
        </w:tc>
      </w:tr>
    </w:tbl>
    <w:p w14:paraId="252F5ADC" w14:textId="77777777" w:rsidR="00B5149C" w:rsidRDefault="00B5149C" w:rsidP="00CF0FD7">
      <w:pPr>
        <w:pStyle w:val="BodyText"/>
        <w:rPr>
          <w:b/>
          <w:lang w:val="en-GB"/>
        </w:rPr>
      </w:pPr>
    </w:p>
    <w:p w14:paraId="3FC52825" w14:textId="2BDCE327" w:rsidR="001A4BAA" w:rsidRDefault="00B5149C" w:rsidP="00CF0FD7">
      <w:pPr>
        <w:pStyle w:val="BodyText"/>
        <w:rPr>
          <w:b/>
          <w:lang w:val="en-GB"/>
        </w:rPr>
      </w:pPr>
      <w:r>
        <w:rPr>
          <w:b/>
          <w:lang w:val="en-GB"/>
        </w:rPr>
        <w:lastRenderedPageBreak/>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When the Relay UE monitors the PO of a particular Remote UE, the Relay UE can identify 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367E12" w14:paraId="27004A2D" w14:textId="77777777" w:rsidTr="00024C72">
        <w:tc>
          <w:tcPr>
            <w:tcW w:w="1809" w:type="dxa"/>
          </w:tcPr>
          <w:p w14:paraId="43C79C10" w14:textId="77777777" w:rsidR="00367E12" w:rsidRDefault="00367E12" w:rsidP="00367E12">
            <w:pPr>
              <w:jc w:val="center"/>
              <w:rPr>
                <w:rFonts w:cs="Arial"/>
              </w:rPr>
            </w:pPr>
          </w:p>
        </w:tc>
        <w:tc>
          <w:tcPr>
            <w:tcW w:w="1985" w:type="dxa"/>
          </w:tcPr>
          <w:p w14:paraId="5BBAF7DD" w14:textId="77777777" w:rsidR="00367E12" w:rsidRDefault="00367E12" w:rsidP="00367E12">
            <w:pPr>
              <w:rPr>
                <w:rFonts w:eastAsia="等线" w:cs="Arial"/>
              </w:rPr>
            </w:pPr>
          </w:p>
        </w:tc>
        <w:tc>
          <w:tcPr>
            <w:tcW w:w="4423" w:type="dxa"/>
          </w:tcPr>
          <w:p w14:paraId="2EC3C243" w14:textId="77777777" w:rsidR="00367E12" w:rsidRDefault="00367E12" w:rsidP="00367E12">
            <w:pPr>
              <w:rPr>
                <w:rFonts w:eastAsia="等线" w:cs="Arial"/>
              </w:rPr>
            </w:pPr>
          </w:p>
        </w:tc>
      </w:tr>
    </w:tbl>
    <w:p w14:paraId="1963D3ED" w14:textId="77777777" w:rsidR="00B5149C" w:rsidRPr="001A4BAA" w:rsidRDefault="00B5149C" w:rsidP="00CF0FD7">
      <w:pPr>
        <w:pStyle w:val="BodyText"/>
        <w:rPr>
          <w:b/>
          <w:lang w:val="en-GB"/>
        </w:rPr>
      </w:pPr>
    </w:p>
    <w:p w14:paraId="3D47CAD2" w14:textId="70EE6F54" w:rsidR="00CF0FD7" w:rsidRDefault="003D7F6B" w:rsidP="00CF0FD7">
      <w:pPr>
        <w:pStyle w:val="BodyText"/>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BodyText"/>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We are not sure what T means. All the following understandings can work:</w:t>
            </w:r>
          </w:p>
          <w:p w14:paraId="58CE940D" w14:textId="77777777" w:rsidR="00251225" w:rsidRDefault="00251225" w:rsidP="00251225">
            <w:pPr>
              <w:pStyle w:val="ListParagraph"/>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ListParagraph"/>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lastRenderedPageBreak/>
              <w:t>Alt-1: T=min (RAN paging cycle, cycle in NAS)</w:t>
            </w:r>
          </w:p>
          <w:p w14:paraId="03056CE5"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lastRenderedPageBreak/>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bookmarkStart w:id="7" w:name="_GoBack"/>
            <w:bookmarkEnd w:id="7"/>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hint="eastAsia"/>
              </w:rPr>
            </w:pPr>
            <w:r w:rsidRPr="00AD197E">
              <w:rPr>
                <w:rFonts w:eastAsia="等线" w:cs="Arial"/>
              </w:rPr>
              <w:t>-</w:t>
            </w:r>
            <w:r w:rsidRPr="00AD197E">
              <w:rPr>
                <w:rFonts w:eastAsia="等线" w:cs="Arial"/>
              </w:rPr>
              <w:tab/>
              <w:t>i_s value</w:t>
            </w:r>
          </w:p>
        </w:tc>
      </w:tr>
      <w:tr w:rsidR="0026424B" w14:paraId="43C2E127" w14:textId="77777777" w:rsidTr="00D65C06">
        <w:tc>
          <w:tcPr>
            <w:tcW w:w="1809" w:type="dxa"/>
          </w:tcPr>
          <w:p w14:paraId="386B42D8" w14:textId="78535AD0" w:rsidR="0026424B" w:rsidRDefault="0026424B" w:rsidP="0026424B">
            <w:pPr>
              <w:jc w:val="center"/>
              <w:rPr>
                <w:rFonts w:cs="Arial"/>
              </w:rPr>
            </w:pPr>
          </w:p>
        </w:tc>
        <w:tc>
          <w:tcPr>
            <w:tcW w:w="1985" w:type="dxa"/>
          </w:tcPr>
          <w:p w14:paraId="05F0176A" w14:textId="77777777" w:rsidR="0026424B" w:rsidRDefault="0026424B" w:rsidP="0026424B">
            <w:pPr>
              <w:rPr>
                <w:rFonts w:eastAsia="等线" w:cs="Arial"/>
              </w:rPr>
            </w:pPr>
          </w:p>
        </w:tc>
        <w:tc>
          <w:tcPr>
            <w:tcW w:w="4423" w:type="dxa"/>
          </w:tcPr>
          <w:p w14:paraId="66BEE0CC" w14:textId="77777777" w:rsidR="0026424B" w:rsidRDefault="0026424B" w:rsidP="0026424B">
            <w:pPr>
              <w:rPr>
                <w:rFonts w:eastAsia="等线" w:cs="Arial"/>
              </w:rPr>
            </w:pPr>
          </w:p>
        </w:tc>
      </w:tr>
    </w:tbl>
    <w:p w14:paraId="1950922F" w14:textId="0EA9874D" w:rsidR="00830350" w:rsidRDefault="00830350" w:rsidP="00830350">
      <w:pPr>
        <w:pStyle w:val="Heading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7DDB9827" w14:textId="55BC0557" w:rsidR="00830350" w:rsidRDefault="00830350" w:rsidP="00830350">
      <w:pPr>
        <w:pStyle w:val="BodyText"/>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BodyText"/>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77777777" w:rsidR="00830350" w:rsidRDefault="00830350" w:rsidP="00DC2ABE">
            <w:pPr>
              <w:jc w:val="center"/>
              <w:rPr>
                <w:rFonts w:cs="Arial"/>
              </w:rPr>
            </w:pPr>
          </w:p>
        </w:tc>
        <w:tc>
          <w:tcPr>
            <w:tcW w:w="1985" w:type="dxa"/>
          </w:tcPr>
          <w:p w14:paraId="43867136" w14:textId="77777777" w:rsidR="00830350" w:rsidRDefault="00830350" w:rsidP="00DC2ABE">
            <w:pPr>
              <w:rPr>
                <w:rFonts w:eastAsia="等线" w:cs="Arial"/>
              </w:rPr>
            </w:pPr>
          </w:p>
        </w:tc>
        <w:tc>
          <w:tcPr>
            <w:tcW w:w="4423" w:type="dxa"/>
          </w:tcPr>
          <w:p w14:paraId="17B1FC10" w14:textId="77777777" w:rsidR="00830350" w:rsidRDefault="00830350" w:rsidP="00DC2ABE">
            <w:pPr>
              <w:rPr>
                <w:rFonts w:eastAsia="等线" w:cs="Arial"/>
              </w:rPr>
            </w:pPr>
          </w:p>
        </w:tc>
      </w:tr>
    </w:tbl>
    <w:p w14:paraId="7550F3E6" w14:textId="77777777" w:rsidR="00EE49BD" w:rsidRPr="00830350" w:rsidRDefault="00EE49BD" w:rsidP="00CF0FD7">
      <w:pPr>
        <w:pStyle w:val="BodyText"/>
        <w:rPr>
          <w:b/>
          <w:lang w:val="en-GB"/>
        </w:rPr>
      </w:pPr>
    </w:p>
    <w:p w14:paraId="315B8CF4" w14:textId="3A034146" w:rsidR="009928EF" w:rsidRDefault="00B5149C" w:rsidP="009928EF">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Report</w:t>
      </w:r>
    </w:p>
    <w:p w14:paraId="08815492" w14:textId="7E03AC8F" w:rsidR="004E7369" w:rsidRDefault="009928EF" w:rsidP="006F3541">
      <w:pPr>
        <w:pStyle w:val="BodyText"/>
      </w:pPr>
      <w:r>
        <w:rPr>
          <w:rFonts w:hint="eastAsia"/>
        </w:rPr>
        <w:t xml:space="preserve">Following </w:t>
      </w:r>
      <w:r>
        <w:t>proposals are made,</w:t>
      </w:r>
    </w:p>
    <w:p w14:paraId="4E75D41A" w14:textId="77777777" w:rsidR="00821A8D" w:rsidRPr="00821A8D" w:rsidRDefault="00821A8D" w:rsidP="006F3541">
      <w:pPr>
        <w:pStyle w:val="BodyText"/>
        <w:rPr>
          <w:lang w:val="en-GB"/>
        </w:rPr>
      </w:pPr>
    </w:p>
    <w:p w14:paraId="1D886B89" w14:textId="77777777" w:rsidR="00B25D6C" w:rsidRDefault="00B25D6C" w:rsidP="00B25D6C">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lastRenderedPageBreak/>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1A763" w14:textId="77777777" w:rsidR="00614B5B" w:rsidRDefault="00614B5B" w:rsidP="00C3705D">
      <w:r>
        <w:separator/>
      </w:r>
    </w:p>
  </w:endnote>
  <w:endnote w:type="continuationSeparator" w:id="0">
    <w:p w14:paraId="4BAA9102" w14:textId="77777777" w:rsidR="00614B5B" w:rsidRDefault="00614B5B"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7EDC5" w14:textId="77777777" w:rsidR="00614B5B" w:rsidRDefault="00614B5B" w:rsidP="00C3705D">
      <w:r>
        <w:separator/>
      </w:r>
    </w:p>
  </w:footnote>
  <w:footnote w:type="continuationSeparator" w:id="0">
    <w:p w14:paraId="0AFA8729" w14:textId="77777777" w:rsidR="00614B5B" w:rsidRDefault="00614B5B"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2"/>
  </w:num>
  <w:num w:numId="4">
    <w:abstractNumId w:val="16"/>
  </w:num>
  <w:num w:numId="5">
    <w:abstractNumId w:val="4"/>
  </w:num>
  <w:num w:numId="6">
    <w:abstractNumId w:val="7"/>
  </w:num>
  <w:num w:numId="7">
    <w:abstractNumId w:val="11"/>
  </w:num>
  <w:num w:numId="8">
    <w:abstractNumId w:val="14"/>
  </w:num>
  <w:num w:numId="9">
    <w:abstractNumId w:val="8"/>
  </w:num>
  <w:num w:numId="10">
    <w:abstractNumId w:val="0"/>
  </w:num>
  <w:num w:numId="11">
    <w:abstractNumId w:val="15"/>
  </w:num>
  <w:num w:numId="12">
    <w:abstractNumId w:val="9"/>
  </w:num>
  <w:num w:numId="13">
    <w:abstractNumId w:val="10"/>
  </w:num>
  <w:num w:numId="14">
    <w:abstractNumId w:val="3"/>
  </w:num>
  <w:num w:numId="15">
    <w:abstractNumId w:val="1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97D6E"/>
    <w:rsid w:val="000E3305"/>
    <w:rsid w:val="00101CF8"/>
    <w:rsid w:val="0013583E"/>
    <w:rsid w:val="001747D8"/>
    <w:rsid w:val="00185023"/>
    <w:rsid w:val="00192BFA"/>
    <w:rsid w:val="00196299"/>
    <w:rsid w:val="001A4BAA"/>
    <w:rsid w:val="001D0905"/>
    <w:rsid w:val="001D6772"/>
    <w:rsid w:val="001F3468"/>
    <w:rsid w:val="0020641E"/>
    <w:rsid w:val="00225820"/>
    <w:rsid w:val="002445CC"/>
    <w:rsid w:val="00244E99"/>
    <w:rsid w:val="00251225"/>
    <w:rsid w:val="0026424B"/>
    <w:rsid w:val="0029552D"/>
    <w:rsid w:val="0029731D"/>
    <w:rsid w:val="002A557C"/>
    <w:rsid w:val="002F3DA8"/>
    <w:rsid w:val="00326295"/>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A6F47"/>
    <w:rsid w:val="004A7620"/>
    <w:rsid w:val="004D2106"/>
    <w:rsid w:val="004D5C7F"/>
    <w:rsid w:val="004E7369"/>
    <w:rsid w:val="004F47A1"/>
    <w:rsid w:val="005122E9"/>
    <w:rsid w:val="00543BA0"/>
    <w:rsid w:val="00572158"/>
    <w:rsid w:val="00582908"/>
    <w:rsid w:val="005A7D0E"/>
    <w:rsid w:val="005B488B"/>
    <w:rsid w:val="005C56E2"/>
    <w:rsid w:val="005E30BC"/>
    <w:rsid w:val="005E74C4"/>
    <w:rsid w:val="006031D2"/>
    <w:rsid w:val="00614B5B"/>
    <w:rsid w:val="006260AD"/>
    <w:rsid w:val="00643CC8"/>
    <w:rsid w:val="00661D94"/>
    <w:rsid w:val="006703CF"/>
    <w:rsid w:val="006717BE"/>
    <w:rsid w:val="006922E1"/>
    <w:rsid w:val="006D1FF9"/>
    <w:rsid w:val="006F3541"/>
    <w:rsid w:val="0072087C"/>
    <w:rsid w:val="00790318"/>
    <w:rsid w:val="007A0712"/>
    <w:rsid w:val="007A601C"/>
    <w:rsid w:val="007B2ACB"/>
    <w:rsid w:val="00807381"/>
    <w:rsid w:val="00817309"/>
    <w:rsid w:val="00821A8D"/>
    <w:rsid w:val="00821AE5"/>
    <w:rsid w:val="00830350"/>
    <w:rsid w:val="00847076"/>
    <w:rsid w:val="00855467"/>
    <w:rsid w:val="008C1E57"/>
    <w:rsid w:val="00925DD4"/>
    <w:rsid w:val="00943EB2"/>
    <w:rsid w:val="009444E6"/>
    <w:rsid w:val="009928EF"/>
    <w:rsid w:val="00993189"/>
    <w:rsid w:val="009A2F99"/>
    <w:rsid w:val="009A5D60"/>
    <w:rsid w:val="009B138D"/>
    <w:rsid w:val="00A20942"/>
    <w:rsid w:val="00A57E1D"/>
    <w:rsid w:val="00A72C79"/>
    <w:rsid w:val="00A85C1B"/>
    <w:rsid w:val="00AA0E86"/>
    <w:rsid w:val="00AA52F0"/>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DD4ABC"/>
    <w:rsid w:val="00E37E71"/>
    <w:rsid w:val="00E660D7"/>
    <w:rsid w:val="00E9014A"/>
    <w:rsid w:val="00E911A0"/>
    <w:rsid w:val="00EE1C40"/>
    <w:rsid w:val="00EE49BD"/>
    <w:rsid w:val="00F05C9A"/>
    <w:rsid w:val="00F15B4A"/>
    <w:rsid w:val="00F17D05"/>
    <w:rsid w:val="00F4096C"/>
    <w:rsid w:val="00F43FFE"/>
    <w:rsid w:val="00F61566"/>
    <w:rsid w:val="00F62814"/>
    <w:rsid w:val="00F7328C"/>
    <w:rsid w:val="00F800E7"/>
    <w:rsid w:val="00F91449"/>
    <w:rsid w:val="00F929C5"/>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宋体"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D0108EF-7044-4649-94EF-D11AC347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Xuelong Wang</cp:lastModifiedBy>
  <cp:revision>25</cp:revision>
  <dcterms:created xsi:type="dcterms:W3CDTF">2021-08-13T09:44:00Z</dcterms:created>
  <dcterms:modified xsi:type="dcterms:W3CDTF">2021-08-23T02:25:00Z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