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3" w:tooltip="C:Data3GPPExtractsR2-2107677 Constraining of reduced capabilities.docx" w:history="1">
        <w:r w:rsidRPr="00011A77">
          <w:rPr>
            <w:rStyle w:val="af5"/>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5"/>
          <w:highlight w:val="yellow"/>
        </w:rPr>
        <w:t>R2-210</w:t>
      </w:r>
      <w:r>
        <w:rPr>
          <w:rStyle w:val="af5"/>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5"/>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1"/>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0"/>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1"/>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8"/>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8"/>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8"/>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8"/>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8"/>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8"/>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8"/>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8"/>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8"/>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8"/>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8"/>
              <w:numPr>
                <w:ilvl w:val="3"/>
                <w:numId w:val="16"/>
              </w:numPr>
              <w:jc w:val="both"/>
              <w:rPr>
                <w:lang w:val="en-GB"/>
              </w:rPr>
            </w:pPr>
            <w:r>
              <w:rPr>
                <w:i/>
                <w:lang w:eastAsia="zh-CN"/>
              </w:rPr>
              <w:t>No, (ZTE, )</w:t>
            </w:r>
          </w:p>
          <w:p w14:paraId="766E39A0" w14:textId="77777777" w:rsidR="00260293" w:rsidRDefault="00260293" w:rsidP="00260293">
            <w:pPr>
              <w:pStyle w:val="af8"/>
              <w:numPr>
                <w:ilvl w:val="3"/>
                <w:numId w:val="16"/>
              </w:numPr>
              <w:jc w:val="both"/>
              <w:rPr>
                <w:lang w:val="en-GB"/>
              </w:rPr>
            </w:pPr>
            <w:r>
              <w:rPr>
                <w:i/>
                <w:lang w:eastAsia="zh-CN"/>
              </w:rPr>
              <w:t>FFS (China Unicom)</w:t>
            </w:r>
          </w:p>
          <w:p w14:paraId="7DA596BF" w14:textId="77777777" w:rsidR="00260293" w:rsidRDefault="00260293" w:rsidP="00260293">
            <w:pPr>
              <w:pStyle w:val="af8"/>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8"/>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8"/>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8"/>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8"/>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Spreadtrum,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8"/>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8"/>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0"/>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1"/>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8"/>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8"/>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8"/>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8"/>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8"/>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8"/>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8"/>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8"/>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8"/>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8"/>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8"/>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8"/>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8"/>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8"/>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8"/>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8"/>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1"/>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74D278"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74D278"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t>Sequans</w:t>
            </w:r>
          </w:p>
        </w:tc>
        <w:tc>
          <w:tcPr>
            <w:tcW w:w="1288" w:type="dxa"/>
          </w:tcPr>
          <w:p w14:paraId="4C9CCC8C" w14:textId="5414B4AE" w:rsidR="00DD001B" w:rsidRDefault="00DD001B" w:rsidP="00DD001B">
            <w:pPr>
              <w:rPr>
                <w:sz w:val="20"/>
                <w:szCs w:val="20"/>
                <w:lang w:eastAsia="zh-CN"/>
              </w:rPr>
            </w:pPr>
            <w:r>
              <w:rPr>
                <w:sz w:val="20"/>
                <w:szCs w:val="20"/>
                <w:lang w:eastAsia="zh-CN"/>
              </w:rPr>
              <w:t xml:space="preserve">Option 1 </w:t>
            </w:r>
            <w:r>
              <w:rPr>
                <w:sz w:val="20"/>
                <w:szCs w:val="20"/>
                <w:lang w:eastAsia="zh-CN"/>
              </w:rPr>
              <w:lastRenderedPageBreak/>
              <w:t>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lastRenderedPageBreak/>
              <w:t>We</w:t>
            </w:r>
            <w:r>
              <w:rPr>
                <w:sz w:val="20"/>
                <w:szCs w:val="20"/>
                <w:lang w:eastAsia="zh-CN"/>
              </w:rPr>
              <w:t xml:space="preserve"> prefer option 1 (probably with different values) as an option which </w:t>
            </w:r>
            <w:r>
              <w:rPr>
                <w:sz w:val="20"/>
                <w:szCs w:val="20"/>
                <w:lang w:eastAsia="zh-CN"/>
              </w:rPr>
              <w:lastRenderedPageBreak/>
              <w:t>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lastRenderedPageBreak/>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af8"/>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af8"/>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af8"/>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rFonts w:hint="eastAsia"/>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1"/>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8"/>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8"/>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lastRenderedPageBreak/>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8"/>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8"/>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8"/>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8"/>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8"/>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8"/>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8"/>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8"/>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8"/>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8"/>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1"/>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74D278"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74D278"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rFonts w:hint="eastAsia"/>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rFonts w:hint="eastAsia"/>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74D278"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lastRenderedPageBreak/>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rFonts w:hint="eastAsia"/>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bl>
    <w:p w14:paraId="6C8680AB" w14:textId="578CA2EB" w:rsidR="00AF401A" w:rsidRPr="00403406" w:rsidRDefault="00AF401A" w:rsidP="00AF401A">
      <w:pPr>
        <w:tabs>
          <w:tab w:val="left" w:pos="1327"/>
        </w:tabs>
        <w:spacing w:after="60"/>
        <w:jc w:val="both"/>
        <w:rPr>
          <w:rFonts w:ascii="Times New Roman" w:hAnsi="Times New Roman" w:cs="Times New Roman" w:hint="eastAsia"/>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1"/>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8"/>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8"/>
              <w:tabs>
                <w:tab w:val="left" w:pos="1327"/>
              </w:tabs>
              <w:spacing w:after="60"/>
              <w:jc w:val="both"/>
              <w:rPr>
                <w:lang w:val="en-GB"/>
              </w:rPr>
            </w:pPr>
          </w:p>
          <w:p w14:paraId="3603A48E" w14:textId="77777777" w:rsidR="00AF401A" w:rsidRPr="0032041E" w:rsidRDefault="00AF401A" w:rsidP="00AF401A">
            <w:pPr>
              <w:pStyle w:val="af8"/>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0"/>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74D278"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w:t>
            </w:r>
            <w:r>
              <w:rPr>
                <w:sz w:val="20"/>
                <w:szCs w:val="20"/>
                <w:lang w:eastAsia="zh-CN"/>
              </w:rPr>
              <w:lastRenderedPageBreak/>
              <w:t>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lastRenderedPageBreak/>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rFonts w:hint="eastAsia"/>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1"/>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8"/>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74D278"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lastRenderedPageBreak/>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8"/>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8"/>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8"/>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0"/>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74D278"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lastRenderedPageBreak/>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rFonts w:hint="eastAsia"/>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8"/>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8"/>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8"/>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8"/>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0"/>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0"/>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74D278"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w:t>
            </w:r>
            <w:r>
              <w:rPr>
                <w:sz w:val="20"/>
                <w:szCs w:val="20"/>
                <w:lang w:eastAsia="ja-JP"/>
              </w:rPr>
              <w:lastRenderedPageBreak/>
              <w:t xml:space="preserve">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lastRenderedPageBreak/>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1"/>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8"/>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8"/>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0"/>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0"/>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74D278"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5A4C5B">
        <w:tc>
          <w:tcPr>
            <w:tcW w:w="1938" w:type="dxa"/>
          </w:tcPr>
          <w:p w14:paraId="242B1C44" w14:textId="21D26109" w:rsidR="00FF7096" w:rsidRDefault="00FF7096" w:rsidP="0081208C">
            <w:pPr>
              <w:spacing w:after="0"/>
              <w:rPr>
                <w:rFonts w:hint="eastAsia"/>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rFonts w:hint="eastAsia"/>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rFonts w:hint="eastAsia"/>
                <w:sz w:val="20"/>
                <w:szCs w:val="20"/>
                <w:lang w:eastAsia="zh-CN"/>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8"/>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8"/>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8"/>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8"/>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0"/>
              <w:rPr>
                <w:rFonts w:asciiTheme="minorHAnsi" w:eastAsiaTheme="minorEastAsia" w:hAnsiTheme="minorHAnsi" w:cstheme="minorBidi"/>
                <w:noProof/>
                <w:sz w:val="22"/>
                <w:lang w:eastAsia="zh-CN"/>
              </w:rPr>
            </w:pPr>
          </w:p>
          <w:p w14:paraId="273344AC"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0"/>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0"/>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74D278"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74D278"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rFonts w:hint="eastAsia"/>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rFonts w:hint="eastAsia"/>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rFonts w:hint="eastAsia"/>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lastRenderedPageBreak/>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8"/>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1"/>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af8"/>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8"/>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0"/>
              <w:rPr>
                <w:rFonts w:asciiTheme="minorHAnsi" w:eastAsiaTheme="minorEastAsia" w:hAnsiTheme="minorHAnsi" w:cstheme="minorBidi"/>
                <w:noProof/>
                <w:sz w:val="22"/>
                <w:lang w:eastAsia="zh-CN"/>
              </w:rPr>
            </w:pPr>
          </w:p>
          <w:p w14:paraId="545C3C94"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1"/>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74D278"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 xml:space="preserve">We have some reservation on that this seems to preclude the use case </w:t>
            </w:r>
            <w:r>
              <w:rPr>
                <w:sz w:val="20"/>
                <w:szCs w:val="20"/>
                <w:lang w:eastAsia="ja-JP"/>
              </w:rPr>
              <w:lastRenderedPageBreak/>
              <w:t>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lastRenderedPageBreak/>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rFonts w:hint="eastAsia"/>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rFonts w:hint="eastAsia"/>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rFonts w:hint="eastAsia"/>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bl>
    <w:p w14:paraId="3A4489DF" w14:textId="77777777" w:rsidR="005A4C5B" w:rsidRDefault="005A4C5B" w:rsidP="005A4C5B">
      <w:pPr>
        <w:pStyle w:val="10"/>
        <w:rPr>
          <w:szCs w:val="20"/>
          <w:lang w:eastAsia="zh-CN"/>
        </w:rPr>
      </w:pPr>
    </w:p>
    <w:p w14:paraId="7269F41E" w14:textId="49EDD66A" w:rsidR="005A4C5B" w:rsidRDefault="005A4C5B" w:rsidP="005A4C5B">
      <w:pPr>
        <w:pStyle w:val="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1"/>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8"/>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8"/>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8"/>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0"/>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w:t>
            </w:r>
            <w:r w:rsidRPr="00DC212C">
              <w:rPr>
                <w:b/>
                <w:bCs/>
                <w:noProof/>
              </w:rPr>
              <w:lastRenderedPageBreak/>
              <w:t>and MIMO layers:</w:t>
            </w:r>
          </w:p>
          <w:p w14:paraId="041CE427" w14:textId="77777777" w:rsidR="005A4C5B" w:rsidRDefault="005A4C5B" w:rsidP="005A4C5B">
            <w:pPr>
              <w:pStyle w:val="10"/>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a"/>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a"/>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8"/>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8"/>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8"/>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1"/>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74D278"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74D278"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74D278"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lastRenderedPageBreak/>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rFonts w:hint="eastAsia"/>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rFonts w:hint="eastAsia"/>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1"/>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74D278"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w:t>
            </w:r>
            <w:r>
              <w:rPr>
                <w:sz w:val="20"/>
                <w:szCs w:val="20"/>
                <w:lang w:eastAsia="zh-CN"/>
              </w:rPr>
              <w:lastRenderedPageBreak/>
              <w:t xml:space="preserve">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lastRenderedPageBreak/>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rFonts w:hint="eastAsia"/>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rFonts w:hint="eastAsia"/>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rFonts w:hint="eastAsia"/>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1"/>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74D278"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lastRenderedPageBreak/>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1"/>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8"/>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8"/>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8"/>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1"/>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 xml:space="preserve">During Rel-17 SI support of reduced capability NR devices, Subscription validation solution was raised </w:t>
            </w:r>
            <w:r w:rsidRPr="009E6F75">
              <w:rPr>
                <w:i/>
                <w:iCs/>
                <w:lang w:val="en-GB"/>
              </w:rPr>
              <w:lastRenderedPageBreak/>
              <w:t>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1"/>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74D278"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1"/>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w:t>
            </w:r>
            <w:r>
              <w:rPr>
                <w:sz w:val="20"/>
                <w:szCs w:val="20"/>
                <w:lang w:eastAsia="ja-JP"/>
              </w:rPr>
              <w:lastRenderedPageBreak/>
              <w:t xml:space="preserve">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1"/>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74D278"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74D278"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8"/>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0"/>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lastRenderedPageBreak/>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t>Annex: companies’ point of contact</w:t>
      </w:r>
    </w:p>
    <w:tbl>
      <w:tblPr>
        <w:tblStyle w:val="af1"/>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74D278"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74D278"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74D278"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rFonts w:hint="eastAsia"/>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rFonts w:hint="eastAsia"/>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rFonts w:hint="eastAsia"/>
                <w:sz w:val="20"/>
                <w:szCs w:val="20"/>
                <w:lang w:eastAsia="zh-CN"/>
              </w:rPr>
            </w:pPr>
            <w:r>
              <w:rPr>
                <w:rFonts w:hint="eastAsia"/>
                <w:sz w:val="20"/>
                <w:szCs w:val="20"/>
                <w:lang w:eastAsia="zh-CN"/>
              </w:rPr>
              <w:t>erlin.zeng@catt.cn</w:t>
            </w:r>
            <w:bookmarkStart w:id="84" w:name="_GoBack"/>
            <w:bookmarkEnd w:id="84"/>
          </w:p>
        </w:tc>
      </w:tr>
      <w:tr w:rsidR="00DD001B" w14:paraId="0674A3EA" w14:textId="77777777">
        <w:tc>
          <w:tcPr>
            <w:tcW w:w="1760" w:type="dxa"/>
          </w:tcPr>
          <w:p w14:paraId="2A6C9E84" w14:textId="002CA0FD" w:rsidR="00DD001B" w:rsidRDefault="00DD001B" w:rsidP="00DD001B">
            <w:pPr>
              <w:spacing w:after="0"/>
              <w:rPr>
                <w:sz w:val="20"/>
                <w:szCs w:val="20"/>
                <w:lang w:eastAsia="ja-JP"/>
              </w:rPr>
            </w:pPr>
          </w:p>
        </w:tc>
        <w:tc>
          <w:tcPr>
            <w:tcW w:w="2687" w:type="dxa"/>
          </w:tcPr>
          <w:p w14:paraId="2409F8F5" w14:textId="4E071139" w:rsidR="00DD001B" w:rsidRDefault="00DD001B" w:rsidP="00DD001B">
            <w:pPr>
              <w:spacing w:after="0"/>
              <w:rPr>
                <w:sz w:val="20"/>
                <w:szCs w:val="20"/>
                <w:lang w:eastAsia="zh-CN"/>
              </w:rPr>
            </w:pPr>
          </w:p>
        </w:tc>
        <w:tc>
          <w:tcPr>
            <w:tcW w:w="4903" w:type="dxa"/>
          </w:tcPr>
          <w:p w14:paraId="2DA0A207" w14:textId="030410D9" w:rsidR="00DD001B" w:rsidRDefault="00DD001B" w:rsidP="00DD001B">
            <w:pPr>
              <w:spacing w:after="0"/>
              <w:rPr>
                <w:sz w:val="20"/>
                <w:szCs w:val="20"/>
                <w:lang w:eastAsia="zh-CN"/>
              </w:rPr>
            </w:pPr>
          </w:p>
        </w:tc>
      </w:tr>
      <w:tr w:rsidR="00DD001B" w14:paraId="758D1C7C" w14:textId="77777777">
        <w:tc>
          <w:tcPr>
            <w:tcW w:w="1760" w:type="dxa"/>
          </w:tcPr>
          <w:p w14:paraId="43C0F26B" w14:textId="14FF07ED" w:rsidR="00DD001B" w:rsidRDefault="00DD001B" w:rsidP="00DD001B">
            <w:pPr>
              <w:spacing w:after="0"/>
              <w:rPr>
                <w:sz w:val="20"/>
                <w:szCs w:val="20"/>
                <w:lang w:eastAsia="ja-JP"/>
              </w:rPr>
            </w:pPr>
          </w:p>
        </w:tc>
        <w:tc>
          <w:tcPr>
            <w:tcW w:w="2687" w:type="dxa"/>
          </w:tcPr>
          <w:p w14:paraId="5C20C55E" w14:textId="73D6DD91" w:rsidR="00DD001B" w:rsidRDefault="00DD001B" w:rsidP="00DD001B">
            <w:pPr>
              <w:spacing w:after="0"/>
              <w:rPr>
                <w:sz w:val="20"/>
                <w:szCs w:val="20"/>
                <w:lang w:eastAsia="ja-JP"/>
              </w:rPr>
            </w:pPr>
          </w:p>
        </w:tc>
        <w:tc>
          <w:tcPr>
            <w:tcW w:w="4903" w:type="dxa"/>
          </w:tcPr>
          <w:p w14:paraId="70408076" w14:textId="4B28B5E5" w:rsidR="00DD001B" w:rsidRDefault="00DD001B" w:rsidP="00DD001B">
            <w:pPr>
              <w:spacing w:after="0"/>
              <w:rPr>
                <w:sz w:val="20"/>
                <w:szCs w:val="20"/>
                <w:lang w:eastAsia="ja-JP"/>
              </w:rPr>
            </w:pPr>
          </w:p>
        </w:tc>
      </w:tr>
      <w:tr w:rsidR="00DD001B" w14:paraId="078A10FB" w14:textId="77777777">
        <w:tc>
          <w:tcPr>
            <w:tcW w:w="1760" w:type="dxa"/>
          </w:tcPr>
          <w:p w14:paraId="418AB75C" w14:textId="59026BD5" w:rsidR="00DD001B" w:rsidRDefault="00DD001B" w:rsidP="00DD001B">
            <w:pPr>
              <w:spacing w:after="0"/>
              <w:rPr>
                <w:sz w:val="20"/>
                <w:szCs w:val="20"/>
                <w:lang w:eastAsia="ja-JP"/>
              </w:rPr>
            </w:pPr>
          </w:p>
        </w:tc>
        <w:tc>
          <w:tcPr>
            <w:tcW w:w="2687" w:type="dxa"/>
          </w:tcPr>
          <w:p w14:paraId="01A91712" w14:textId="24A7EB81" w:rsidR="00DD001B" w:rsidRDefault="00DD001B" w:rsidP="00DD001B">
            <w:pPr>
              <w:spacing w:after="0"/>
              <w:rPr>
                <w:sz w:val="20"/>
                <w:szCs w:val="20"/>
                <w:lang w:eastAsia="ja-JP"/>
              </w:rPr>
            </w:pPr>
          </w:p>
        </w:tc>
        <w:tc>
          <w:tcPr>
            <w:tcW w:w="4903" w:type="dxa"/>
          </w:tcPr>
          <w:p w14:paraId="4EE6CE6D" w14:textId="16DFD981" w:rsidR="00DD001B" w:rsidRDefault="00DD001B" w:rsidP="00DD001B">
            <w:pPr>
              <w:spacing w:after="0"/>
              <w:rPr>
                <w:sz w:val="20"/>
                <w:szCs w:val="20"/>
                <w:lang w:eastAsia="ja-JP"/>
              </w:rPr>
            </w:pP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587097" w:rsidP="00252A94">
      <w:pPr>
        <w:pStyle w:val="Doc-title"/>
        <w:numPr>
          <w:ilvl w:val="0"/>
          <w:numId w:val="29"/>
        </w:numPr>
        <w:spacing w:after="60"/>
        <w:jc w:val="both"/>
        <w:rPr>
          <w:rFonts w:ascii="Times New Roman" w:hAnsi="Times New Roman" w:cs="Times New Roman"/>
          <w:sz w:val="20"/>
        </w:rPr>
      </w:pPr>
      <w:hyperlink r:id="rId15"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7880" w14:textId="77777777" w:rsidR="00F83A15" w:rsidRDefault="00F83A15">
      <w:pPr>
        <w:spacing w:line="240" w:lineRule="auto"/>
      </w:pPr>
      <w:r>
        <w:separator/>
      </w:r>
    </w:p>
  </w:endnote>
  <w:endnote w:type="continuationSeparator" w:id="0">
    <w:p w14:paraId="1737CC9C" w14:textId="77777777" w:rsidR="00F83A15" w:rsidRDefault="00F83A15">
      <w:pPr>
        <w:spacing w:line="240" w:lineRule="auto"/>
      </w:pPr>
      <w:r>
        <w:continuationSeparator/>
      </w:r>
    </w:p>
  </w:endnote>
  <w:endnote w:type="continuationNotice" w:id="1">
    <w:p w14:paraId="74C45A20" w14:textId="77777777" w:rsidR="00F83A15" w:rsidRDefault="00F8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A729" w14:textId="77777777" w:rsidR="00F83A15" w:rsidRDefault="00F83A15">
      <w:pPr>
        <w:spacing w:after="0" w:line="240" w:lineRule="auto"/>
      </w:pPr>
      <w:r>
        <w:separator/>
      </w:r>
    </w:p>
  </w:footnote>
  <w:footnote w:type="continuationSeparator" w:id="0">
    <w:p w14:paraId="5B74B1D3" w14:textId="77777777" w:rsidR="00F83A15" w:rsidRDefault="00F83A15">
      <w:pPr>
        <w:spacing w:after="0" w:line="240" w:lineRule="auto"/>
      </w:pPr>
      <w:r>
        <w:continuationSeparator/>
      </w:r>
    </w:p>
  </w:footnote>
  <w:footnote w:type="continuationNotice" w:id="1">
    <w:p w14:paraId="195A7953" w14:textId="77777777" w:rsidR="00F83A15" w:rsidRDefault="00F83A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szCs w:val="20"/>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eastAsia="宋体" w:hAnsi="Cambria" w:cs="Times New Roman"/>
      <w:color w:val="243F60"/>
      <w:sz w:val="20"/>
      <w:szCs w:val="20"/>
      <w:lang w:val="zh-CN" w:eastAsia="zh-CN"/>
    </w:rPr>
  </w:style>
  <w:style w:type="character" w:customStyle="1" w:styleId="6Char">
    <w:name w:val="标题 6 Char"/>
    <w:basedOn w:val="a1"/>
    <w:link w:val="6"/>
    <w:qFormat/>
    <w:rPr>
      <w:rFonts w:ascii="Calibri" w:eastAsia="Times New Roman" w:hAnsi="Calibri" w:cs="Times New Roman"/>
      <w:b/>
      <w:bCs/>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lang w:val="zh-CN" w:eastAsia="zh-CN"/>
    </w:rPr>
  </w:style>
  <w:style w:type="character" w:customStyle="1" w:styleId="Char">
    <w:name w:val="页眉 Char"/>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uiPriority w:val="99"/>
    <w:semiHidden/>
    <w:qFormat/>
    <w:rPr>
      <w:rFonts w:ascii="Times New Roman" w:eastAsia="宋体" w:hAnsi="Times New Roman" w:cs="Times New Roman"/>
      <w:sz w:val="20"/>
      <w:szCs w:val="20"/>
    </w:rPr>
  </w:style>
  <w:style w:type="character" w:customStyle="1" w:styleId="Char4">
    <w:name w:val="批注框文本 Char"/>
    <w:basedOn w:val="a1"/>
    <w:link w:val="ab"/>
    <w:qFormat/>
    <w:rPr>
      <w:rFonts w:ascii="Segoe UI" w:eastAsia="宋体"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列表段落"/>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8">
    <w:name w:val="批注主题 Char"/>
    <w:basedOn w:val="Char2"/>
    <w:link w:val="af0"/>
    <w:uiPriority w:val="99"/>
    <w:semiHidden/>
    <w:qFormat/>
    <w:rPr>
      <w:rFonts w:ascii="Times New Roman" w:eastAsia="宋体" w:hAnsi="Times New Roman" w:cs="Times New Roman"/>
      <w:b/>
      <w:bCs/>
      <w:sz w:val="20"/>
      <w:szCs w:val="20"/>
    </w:rPr>
  </w:style>
  <w:style w:type="character" w:customStyle="1" w:styleId="Char5">
    <w:name w:val="页脚 Char"/>
    <w:basedOn w:val="a1"/>
    <w:link w:val="ac"/>
    <w:qFormat/>
    <w:rPr>
      <w:rFonts w:ascii="Times New Roman" w:eastAsia="宋体" w:hAnsi="Times New Roman" w:cs="Times New Roman"/>
      <w:sz w:val="18"/>
      <w:szCs w:val="18"/>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7">
    <w:name w:val="标题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脚注文本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iPriority w:val="99"/>
    <w:semiHidden/>
    <w:unhideWhenUsed/>
    <w:pPr>
      <w:ind w:left="360" w:hanging="36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uiPriority w:val="99"/>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b">
    <w:name w:val="Balloon Text"/>
    <w:basedOn w:val="a"/>
    <w:link w:val="Char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c">
    <w:name w:val="footer"/>
    <w:basedOn w:val="a"/>
    <w:link w:val="Char5"/>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d">
    <w:name w:val="footnote text"/>
    <w:basedOn w:val="a"/>
    <w:link w:val="Char6"/>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0">
    <w:name w:val="toc 9"/>
    <w:basedOn w:val="80"/>
    <w:next w:val="a"/>
    <w:qFormat/>
    <w:pPr>
      <w:ind w:left="1418" w:hanging="1418"/>
    </w:p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
    <w:name w:val="Title"/>
    <w:basedOn w:val="2"/>
    <w:link w:val="Char7"/>
    <w:qFormat/>
    <w:pPr>
      <w:widowControl/>
      <w:numPr>
        <w:ilvl w:val="0"/>
        <w:numId w:val="0"/>
      </w:numPr>
      <w:spacing w:after="120"/>
      <w:textAlignment w:val="baseline"/>
    </w:pPr>
    <w:rPr>
      <w:rFonts w:eastAsia="MS Mincho"/>
      <w:b/>
      <w:sz w:val="24"/>
      <w:lang w:val="de-DE" w:eastAsia="en-US"/>
    </w:rPr>
  </w:style>
  <w:style w:type="paragraph" w:styleId="af0">
    <w:name w:val="annotation subject"/>
    <w:basedOn w:val="a9"/>
    <w:next w:val="a9"/>
    <w:link w:val="Char8"/>
    <w:uiPriority w:val="99"/>
    <w:semiHidden/>
    <w:unhideWhenUsed/>
    <w:qFormat/>
    <w:rPr>
      <w:b/>
      <w:bCs/>
    </w:rPr>
  </w:style>
  <w:style w:type="table" w:styleId="af1">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FollowedHyperlink"/>
    <w:basedOn w:val="a1"/>
    <w:uiPriority w:val="99"/>
    <w:semiHidden/>
    <w:unhideWhenUsed/>
    <w:qFormat/>
    <w:rPr>
      <w:color w:val="954F72" w:themeColor="followedHyperlink"/>
      <w:u w:val="single"/>
    </w:rPr>
  </w:style>
  <w:style w:type="character" w:styleId="af4">
    <w:name w:val="Emphasis"/>
    <w:uiPriority w:val="20"/>
    <w:qFormat/>
    <w:rPr>
      <w:i/>
      <w:iCs/>
    </w:rPr>
  </w:style>
  <w:style w:type="character" w:styleId="af5">
    <w:name w:val="Hyperlink"/>
    <w:uiPriority w:val="99"/>
    <w:qFormat/>
    <w:rPr>
      <w:color w:val="0000FF"/>
      <w:u w:val="single"/>
    </w:rPr>
  </w:style>
  <w:style w:type="character" w:styleId="af6">
    <w:name w:val="annotation reference"/>
    <w:basedOn w:val="a1"/>
    <w:uiPriority w:val="99"/>
    <w:unhideWhenUsed/>
    <w:qFormat/>
    <w:rPr>
      <w:sz w:val="16"/>
      <w:szCs w:val="16"/>
    </w:rPr>
  </w:style>
  <w:style w:type="character" w:styleId="af7">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szCs w:val="20"/>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eastAsia="宋体" w:hAnsi="Cambria" w:cs="Times New Roman"/>
      <w:color w:val="243F60"/>
      <w:sz w:val="20"/>
      <w:szCs w:val="20"/>
      <w:lang w:val="zh-CN" w:eastAsia="zh-CN"/>
    </w:rPr>
  </w:style>
  <w:style w:type="character" w:customStyle="1" w:styleId="6Char">
    <w:name w:val="标题 6 Char"/>
    <w:basedOn w:val="a1"/>
    <w:link w:val="6"/>
    <w:qFormat/>
    <w:rPr>
      <w:rFonts w:ascii="Calibri" w:eastAsia="Times New Roman" w:hAnsi="Calibri" w:cs="Times New Roman"/>
      <w:b/>
      <w:bCs/>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lang w:val="zh-CN" w:eastAsia="zh-CN"/>
    </w:rPr>
  </w:style>
  <w:style w:type="character" w:customStyle="1" w:styleId="Char">
    <w:name w:val="页眉 Char"/>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uiPriority w:val="99"/>
    <w:semiHidden/>
    <w:qFormat/>
    <w:rPr>
      <w:rFonts w:ascii="Times New Roman" w:eastAsia="宋体" w:hAnsi="Times New Roman" w:cs="Times New Roman"/>
      <w:sz w:val="20"/>
      <w:szCs w:val="20"/>
    </w:rPr>
  </w:style>
  <w:style w:type="character" w:customStyle="1" w:styleId="Char4">
    <w:name w:val="批注框文本 Char"/>
    <w:basedOn w:val="a1"/>
    <w:link w:val="ab"/>
    <w:qFormat/>
    <w:rPr>
      <w:rFonts w:ascii="Segoe UI" w:eastAsia="宋体" w:hAnsi="Segoe UI" w:cs="Segoe UI"/>
      <w:sz w:val="18"/>
      <w:szCs w:val="18"/>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列表段落"/>
    <w:basedOn w:val="a"/>
    <w:link w:val="Char9"/>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8">
    <w:name w:val="批注主题 Char"/>
    <w:basedOn w:val="Char2"/>
    <w:link w:val="af0"/>
    <w:uiPriority w:val="99"/>
    <w:semiHidden/>
    <w:qFormat/>
    <w:rPr>
      <w:rFonts w:ascii="Times New Roman" w:eastAsia="宋体" w:hAnsi="Times New Roman" w:cs="Times New Roman"/>
      <w:b/>
      <w:bCs/>
      <w:sz w:val="20"/>
      <w:szCs w:val="20"/>
    </w:rPr>
  </w:style>
  <w:style w:type="character" w:customStyle="1" w:styleId="Char5">
    <w:name w:val="页脚 Char"/>
    <w:basedOn w:val="a1"/>
    <w:link w:val="ac"/>
    <w:qFormat/>
    <w:rPr>
      <w:rFonts w:ascii="Times New Roman" w:eastAsia="宋体" w:hAnsi="Times New Roman" w:cs="Times New Roman"/>
      <w:sz w:val="18"/>
      <w:szCs w:val="18"/>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8"/>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7">
    <w:name w:val="标题 Char"/>
    <w:basedOn w:val="a1"/>
    <w:link w:val="af"/>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Char6">
    <w:name w:val="脚注文本 Char"/>
    <w:basedOn w:val="a1"/>
    <w:link w:val="ad"/>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9">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Extracts\R2-2107677%20Constraining%20of%20reduced%20capabilities.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779823-A7E3-416C-AD2A-E77F6418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9834</Words>
  <Characters>56056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65759</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cp:lastModifiedBy>
  <cp:revision>12</cp:revision>
  <dcterms:created xsi:type="dcterms:W3CDTF">2021-08-23T01:50:00Z</dcterms:created>
  <dcterms:modified xsi:type="dcterms:W3CDTF">2021-08-23T02:04:00Z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