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w:t>
      </w:r>
      <w:proofErr w:type="gramStart"/>
      <w:r>
        <w:rPr>
          <w:rFonts w:eastAsia="SimSun"/>
          <w:bCs/>
          <w:sz w:val="24"/>
          <w:szCs w:val="24"/>
          <w:lang w:eastAsia="zh-CN"/>
        </w:rPr>
        <w:t>August,</w:t>
      </w:r>
      <w:proofErr w:type="gramEnd"/>
      <w:r>
        <w:rPr>
          <w:rFonts w:eastAsia="SimSun"/>
          <w:bCs/>
          <w:sz w:val="24"/>
          <w:szCs w:val="24"/>
          <w:lang w:eastAsia="zh-CN"/>
        </w:rPr>
        <w:t xml:space="preserve">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w:t>
      </w:r>
      <w:proofErr w:type="gramEnd"/>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w:t>
      </w:r>
      <w:proofErr w:type="gramStart"/>
      <w:r>
        <w:t>106][</w:t>
      </w:r>
      <w:proofErr w:type="gramEnd"/>
      <w:r>
        <w:t>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 xml:space="preserve">[Post113bis-e][000] “It is FFS whether the UE reports the UE specific TA pre-compensation at the RACH procedure (MSG3 or MSG5) using a MAC CE. Actual content is FFS </w:t>
      </w:r>
      <w:proofErr w:type="gramStart"/>
      <w:r>
        <w:t>and also</w:t>
      </w:r>
      <w:proofErr w:type="gramEnd"/>
      <w:r>
        <w:t xml:space="preserve">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w:t>
            </w:r>
            <w:proofErr w:type="gramStart"/>
            <w:r>
              <w:rPr>
                <w:rFonts w:eastAsiaTheme="minorEastAsia" w:hint="eastAsia"/>
                <w:b/>
                <w:lang w:eastAsia="zh-CN"/>
              </w:rPr>
              <w:t>network;</w:t>
            </w:r>
            <w:proofErr w:type="gramEnd"/>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w:t>
            </w:r>
            <w:proofErr w:type="gramStart"/>
            <w:r>
              <w:rPr>
                <w:lang w:eastAsia="zh-CN"/>
              </w:rPr>
              <w:t>TA, when</w:t>
            </w:r>
            <w:proofErr w:type="gramEnd"/>
            <w:r>
              <w:rPr>
                <w:lang w:eastAsia="zh-CN"/>
              </w:rPr>
              <w:t xml:space="preserve">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proofErr w:type="spellStart"/>
            <w:r>
              <w:rPr>
                <w:lang w:eastAsia="zh-CN"/>
              </w:rPr>
              <w:t>Convida</w:t>
            </w:r>
            <w:proofErr w:type="spellEnd"/>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rFonts w:hint="eastAsia"/>
                <w:lang w:eastAsia="zh-CN"/>
              </w:rPr>
            </w:pPr>
            <w:r>
              <w:rPr>
                <w:rFonts w:hint="eastAsia"/>
                <w:lang w:eastAsia="zh-CN"/>
              </w:rPr>
              <w:t>R</w:t>
            </w:r>
            <w:r>
              <w:rPr>
                <w:lang w:eastAsia="zh-CN"/>
              </w:rPr>
              <w:t>akuten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9B236A" w14:paraId="52737E15" w14:textId="77777777" w:rsidTr="009562B6">
        <w:tc>
          <w:tcPr>
            <w:tcW w:w="1980" w:type="dxa"/>
          </w:tcPr>
          <w:p w14:paraId="177B200D" w14:textId="77777777" w:rsidR="009B236A" w:rsidRDefault="009B236A" w:rsidP="009B236A">
            <w:pPr>
              <w:rPr>
                <w:lang w:eastAsia="zh-CN"/>
              </w:rPr>
            </w:pPr>
          </w:p>
        </w:tc>
        <w:tc>
          <w:tcPr>
            <w:tcW w:w="1701" w:type="dxa"/>
          </w:tcPr>
          <w:p w14:paraId="69895688" w14:textId="77777777" w:rsidR="009B236A" w:rsidRDefault="009B236A" w:rsidP="009B236A">
            <w:pPr>
              <w:rPr>
                <w:lang w:eastAsia="zh-CN"/>
              </w:rPr>
            </w:pPr>
          </w:p>
        </w:tc>
        <w:tc>
          <w:tcPr>
            <w:tcW w:w="5950" w:type="dxa"/>
          </w:tcPr>
          <w:p w14:paraId="54C98801" w14:textId="77777777" w:rsidR="009B236A" w:rsidRPr="00C82BCA" w:rsidRDefault="009B236A" w:rsidP="009B236A">
            <w:pPr>
              <w:rPr>
                <w:lang w:eastAsia="zh-CN"/>
              </w:rPr>
            </w:pP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xml:space="preserve">, two options can be </w:t>
            </w:r>
            <w:proofErr w:type="gramStart"/>
            <w:r>
              <w:rPr>
                <w:rFonts w:eastAsiaTheme="minorEastAsia" w:hint="eastAsia"/>
                <w:b/>
                <w:lang w:eastAsia="zh-CN"/>
              </w:rPr>
              <w:t>supported[</w:t>
            </w:r>
            <w:proofErr w:type="gramEnd"/>
            <w:r>
              <w:rPr>
                <w:rFonts w:eastAsiaTheme="minorEastAsia" w:hint="eastAsia"/>
                <w:b/>
                <w:lang w:eastAsia="zh-CN"/>
              </w:rPr>
              <w:t>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w:t>
            </w:r>
            <w:r>
              <w:rPr>
                <w:lang w:eastAsia="zh-TW"/>
              </w:rPr>
              <w:lastRenderedPageBreak/>
              <w:t xml:space="preserve">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proofErr w:type="spellStart"/>
            <w:r>
              <w:rPr>
                <w:lang w:eastAsia="zh-CN"/>
              </w:rPr>
              <w:t>Convida</w:t>
            </w:r>
            <w:proofErr w:type="spellEnd"/>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r>
              <w:rPr>
                <w:rFonts w:hint="eastAsia"/>
                <w:lang w:eastAsia="zh-CN"/>
              </w:rPr>
              <w:t>R</w:t>
            </w:r>
            <w:r>
              <w:rPr>
                <w:lang w:eastAsia="zh-CN"/>
              </w:rPr>
              <w:t>akuten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9B236A" w14:paraId="41336F31" w14:textId="77777777" w:rsidTr="009562B6">
        <w:tc>
          <w:tcPr>
            <w:tcW w:w="1980" w:type="dxa"/>
          </w:tcPr>
          <w:p w14:paraId="0FA7CBD5" w14:textId="77777777" w:rsidR="009B236A" w:rsidRDefault="009B236A" w:rsidP="009B236A">
            <w:pPr>
              <w:rPr>
                <w:lang w:eastAsia="zh-CN"/>
              </w:rPr>
            </w:pPr>
          </w:p>
        </w:tc>
        <w:tc>
          <w:tcPr>
            <w:tcW w:w="1701" w:type="dxa"/>
          </w:tcPr>
          <w:p w14:paraId="33435145" w14:textId="77777777" w:rsidR="009B236A" w:rsidRDefault="009B236A" w:rsidP="009B236A">
            <w:pPr>
              <w:rPr>
                <w:lang w:eastAsia="zh-CN"/>
              </w:rPr>
            </w:pPr>
          </w:p>
        </w:tc>
        <w:tc>
          <w:tcPr>
            <w:tcW w:w="5950" w:type="dxa"/>
          </w:tcPr>
          <w:p w14:paraId="389181F5" w14:textId="77777777" w:rsidR="009B236A" w:rsidRDefault="009B236A" w:rsidP="009B236A">
            <w:pPr>
              <w:rPr>
                <w:lang w:eastAsia="zh-CN"/>
              </w:rPr>
            </w:pP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lastRenderedPageBreak/>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 xml:space="preserve">Compared with periodical report, event triggered report has benefit on </w:t>
            </w:r>
            <w:proofErr w:type="spellStart"/>
            <w:r>
              <w:rPr>
                <w:lang w:eastAsia="zh-CN"/>
              </w:rPr>
              <w:t>signaling</w:t>
            </w:r>
            <w:proofErr w:type="spellEnd"/>
            <w:r>
              <w:rPr>
                <w:lang w:eastAsia="zh-CN"/>
              </w:rPr>
              <w:t xml:space="preserve">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proofErr w:type="spellStart"/>
            <w:r>
              <w:rPr>
                <w:lang w:eastAsia="zh-CN"/>
              </w:rPr>
              <w:t>Convida</w:t>
            </w:r>
            <w:proofErr w:type="spellEnd"/>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9B236A" w14:paraId="3B1F3BC9" w14:textId="77777777" w:rsidTr="009562B6">
        <w:tc>
          <w:tcPr>
            <w:tcW w:w="1980" w:type="dxa"/>
          </w:tcPr>
          <w:p w14:paraId="73627E67" w14:textId="77B91CEB"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rFonts w:hint="eastAsia"/>
                <w:lang w:eastAsia="zh-CN"/>
              </w:rPr>
            </w:pPr>
            <w:r>
              <w:rPr>
                <w:rFonts w:hint="eastAsia"/>
                <w:lang w:eastAsia="zh-CN"/>
              </w:rPr>
              <w:t>R</w:t>
            </w:r>
            <w:r>
              <w:rPr>
                <w:lang w:eastAsia="zh-CN"/>
              </w:rPr>
              <w:t>akuten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3735EA" w14:paraId="65304C70" w14:textId="77777777" w:rsidTr="009562B6">
        <w:tc>
          <w:tcPr>
            <w:tcW w:w="1980" w:type="dxa"/>
          </w:tcPr>
          <w:p w14:paraId="2D7B9880" w14:textId="77777777" w:rsidR="003735EA" w:rsidRDefault="003735EA" w:rsidP="009B236A">
            <w:pPr>
              <w:rPr>
                <w:lang w:eastAsia="zh-CN"/>
              </w:rPr>
            </w:pPr>
          </w:p>
        </w:tc>
        <w:tc>
          <w:tcPr>
            <w:tcW w:w="1701" w:type="dxa"/>
          </w:tcPr>
          <w:p w14:paraId="79961F5E" w14:textId="77777777" w:rsidR="003735EA" w:rsidRDefault="003735EA" w:rsidP="009B236A">
            <w:pPr>
              <w:rPr>
                <w:lang w:eastAsia="zh-CN"/>
              </w:rPr>
            </w:pPr>
          </w:p>
        </w:tc>
        <w:tc>
          <w:tcPr>
            <w:tcW w:w="5950" w:type="dxa"/>
          </w:tcPr>
          <w:p w14:paraId="0F3E542F" w14:textId="77777777" w:rsidR="003735EA" w:rsidRDefault="003735EA" w:rsidP="009B236A">
            <w:pPr>
              <w:rPr>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lastRenderedPageBreak/>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 xml:space="preserve">In LCS discussion, coarse UE </w:t>
            </w:r>
            <w:proofErr w:type="gramStart"/>
            <w:r>
              <w:rPr>
                <w:lang w:eastAsia="zh-CN"/>
              </w:rPr>
              <w:t>position(</w:t>
            </w:r>
            <w:proofErr w:type="gramEnd"/>
            <w:r>
              <w:rPr>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 xml:space="preserve">We understood the main motivation for such kind of coarse UE location is for other purpose (e.g. cell id mapping for LEO moving cell), but it seems feasible for NW to estimate coarse TA for UL </w:t>
            </w:r>
            <w:r>
              <w:rPr>
                <w:lang w:eastAsia="zh-CN"/>
              </w:rPr>
              <w:lastRenderedPageBreak/>
              <w:t xml:space="preserve">scheduling based on UE’s coarse location and satellite ephemeris data. If this is the case, why UE reports both UE’s coarse location and UE specific TA to NW during initial </w:t>
            </w:r>
            <w:proofErr w:type="gramStart"/>
            <w:r>
              <w:rPr>
                <w:lang w:eastAsia="zh-CN"/>
              </w:rPr>
              <w:t>access ?</w:t>
            </w:r>
            <w:proofErr w:type="gramEnd"/>
            <w:r>
              <w:rPr>
                <w:lang w:eastAsia="zh-CN"/>
              </w:rPr>
              <w:t xml:space="preserve">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lastRenderedPageBreak/>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proofErr w:type="spellStart"/>
            <w:r>
              <w:rPr>
                <w:lang w:eastAsia="zh-CN"/>
              </w:rPr>
              <w:t>Convida</w:t>
            </w:r>
            <w:proofErr w:type="spellEnd"/>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r>
              <w:rPr>
                <w:rFonts w:hint="eastAsia"/>
                <w:lang w:eastAsia="zh-CN"/>
              </w:rPr>
              <w:t>R</w:t>
            </w:r>
            <w:r>
              <w:rPr>
                <w:lang w:eastAsia="zh-CN"/>
              </w:rPr>
              <w:t>akuten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9B236A" w14:paraId="3C9ACFC0" w14:textId="77777777" w:rsidTr="009562B6">
        <w:tc>
          <w:tcPr>
            <w:tcW w:w="1980" w:type="dxa"/>
          </w:tcPr>
          <w:p w14:paraId="14809927" w14:textId="77777777" w:rsidR="009B236A" w:rsidRDefault="009B236A" w:rsidP="009B236A">
            <w:pPr>
              <w:rPr>
                <w:lang w:eastAsia="zh-CN"/>
              </w:rPr>
            </w:pPr>
          </w:p>
        </w:tc>
        <w:tc>
          <w:tcPr>
            <w:tcW w:w="1701" w:type="dxa"/>
          </w:tcPr>
          <w:p w14:paraId="248016D5" w14:textId="77777777" w:rsidR="009B236A" w:rsidRDefault="009B236A" w:rsidP="009B236A">
            <w:pPr>
              <w:rPr>
                <w:lang w:eastAsia="zh-CN"/>
              </w:rPr>
            </w:pPr>
          </w:p>
        </w:tc>
        <w:tc>
          <w:tcPr>
            <w:tcW w:w="5950" w:type="dxa"/>
          </w:tcPr>
          <w:p w14:paraId="60F89C8E" w14:textId="77777777" w:rsidR="009B236A" w:rsidRPr="00A3400F" w:rsidRDefault="009B236A" w:rsidP="009B236A">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 xml:space="preserve">No strong view. If there is already a MAC CE introduced for UE-specific TA reporting in </w:t>
            </w:r>
            <w:proofErr w:type="gramStart"/>
            <w:r>
              <w:rPr>
                <w:lang w:eastAsia="zh-CN"/>
              </w:rPr>
              <w:t>RA</w:t>
            </w:r>
            <w:proofErr w:type="gramEnd"/>
            <w:r>
              <w:rPr>
                <w:lang w:eastAsia="zh-CN"/>
              </w:rPr>
              <w:t xml:space="preserve">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 xml:space="preserve">We prefer TA reporting via RRC signalling since RRC </w:t>
            </w:r>
            <w:proofErr w:type="spellStart"/>
            <w:r>
              <w:rPr>
                <w:lang w:eastAsia="zh-CN"/>
              </w:rPr>
              <w:t>signaling</w:t>
            </w:r>
            <w:proofErr w:type="spellEnd"/>
            <w:r>
              <w:rPr>
                <w:lang w:eastAsia="zh-CN"/>
              </w:rPr>
              <w:t xml:space="preserve">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proofErr w:type="spellStart"/>
            <w:r>
              <w:rPr>
                <w:lang w:eastAsia="zh-CN"/>
              </w:rPr>
              <w:t>Convida</w:t>
            </w:r>
            <w:proofErr w:type="spellEnd"/>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rFonts w:hint="eastAsia"/>
                <w:lang w:eastAsia="zh-CN"/>
              </w:rPr>
            </w:pPr>
            <w:r>
              <w:rPr>
                <w:rFonts w:hint="eastAsia"/>
                <w:lang w:eastAsia="zh-CN"/>
              </w:rPr>
              <w:t>R</w:t>
            </w:r>
            <w:r>
              <w:rPr>
                <w:lang w:eastAsia="zh-CN"/>
              </w:rPr>
              <w:t>akuten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9B236A" w14:paraId="7DC70792" w14:textId="77777777" w:rsidTr="009562B6">
        <w:tc>
          <w:tcPr>
            <w:tcW w:w="1980" w:type="dxa"/>
          </w:tcPr>
          <w:p w14:paraId="5B2A5BDB" w14:textId="77777777" w:rsidR="009B236A" w:rsidRDefault="009B236A" w:rsidP="009B236A">
            <w:pPr>
              <w:rPr>
                <w:lang w:eastAsia="zh-CN"/>
              </w:rPr>
            </w:pPr>
          </w:p>
        </w:tc>
        <w:tc>
          <w:tcPr>
            <w:tcW w:w="1701" w:type="dxa"/>
          </w:tcPr>
          <w:p w14:paraId="0312BCB9" w14:textId="77777777" w:rsidR="009B236A" w:rsidRDefault="009B236A" w:rsidP="009B236A">
            <w:pPr>
              <w:rPr>
                <w:lang w:eastAsia="zh-CN"/>
              </w:rPr>
            </w:pPr>
          </w:p>
        </w:tc>
        <w:tc>
          <w:tcPr>
            <w:tcW w:w="5950" w:type="dxa"/>
          </w:tcPr>
          <w:p w14:paraId="00DEC8B9" w14:textId="77777777" w:rsidR="009B236A" w:rsidRDefault="009B236A" w:rsidP="009B236A">
            <w:pPr>
              <w:rPr>
                <w:lang w:eastAsia="zh-CN"/>
              </w:rPr>
            </w:pP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w:t>
            </w:r>
            <w:proofErr w:type="spellStart"/>
            <w:r>
              <w:rPr>
                <w:b/>
                <w:lang w:val="fr-FR" w:eastAsia="zh-CN"/>
              </w:rPr>
              <w:t>specific</w:t>
            </w:r>
            <w:proofErr w:type="spellEnd"/>
            <w:r>
              <w:rPr>
                <w:b/>
                <w:lang w:val="fr-FR" w:eastAsia="zh-CN"/>
              </w:rPr>
              <w:t xml:space="preserve"> </w:t>
            </w:r>
            <w:proofErr w:type="gramStart"/>
            <w:r>
              <w:rPr>
                <w:b/>
                <w:lang w:val="fr-FR" w:eastAsia="zh-CN"/>
              </w:rPr>
              <w:t>TA;</w:t>
            </w:r>
            <w:proofErr w:type="gramEnd"/>
            <w:r>
              <w:rPr>
                <w:b/>
                <w:lang w:val="fr-FR" w:eastAsia="zh-CN"/>
              </w:rPr>
              <w:t xml:space="preserve"> </w:t>
            </w:r>
            <w:r>
              <w:rPr>
                <w:rFonts w:hint="eastAsia"/>
                <w:b/>
                <w:lang w:val="fr-FR" w:eastAsia="zh-CN"/>
              </w:rPr>
              <w:t xml:space="preserve">Option </w:t>
            </w:r>
            <w:r>
              <w:rPr>
                <w:b/>
                <w:lang w:val="fr-FR" w:eastAsia="zh-CN"/>
              </w:rPr>
              <w:t xml:space="preserve">2. UE </w:t>
            </w:r>
            <w:proofErr w:type="gramStart"/>
            <w:r>
              <w:rPr>
                <w:b/>
                <w:lang w:val="fr-FR" w:eastAsia="zh-CN"/>
              </w:rPr>
              <w:t>position</w:t>
            </w:r>
            <w:r>
              <w:rPr>
                <w:rFonts w:hint="eastAsia"/>
                <w:b/>
                <w:lang w:val="fr-FR" w:eastAsia="zh-CN"/>
              </w:rPr>
              <w:t>;</w:t>
            </w:r>
            <w:proofErr w:type="gramEnd"/>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lastRenderedPageBreak/>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lastRenderedPageBreak/>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proofErr w:type="spellStart"/>
            <w:r>
              <w:rPr>
                <w:lang w:eastAsia="zh-CN"/>
              </w:rPr>
              <w:t>Convida</w:t>
            </w:r>
            <w:proofErr w:type="spellEnd"/>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r>
              <w:rPr>
                <w:rFonts w:hint="eastAsia"/>
                <w:lang w:eastAsia="zh-CN"/>
              </w:rPr>
              <w:t>R</w:t>
            </w:r>
            <w:r>
              <w:rPr>
                <w:lang w:eastAsia="zh-CN"/>
              </w:rPr>
              <w:t>akuten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9B236A" w14:paraId="76E4B90D" w14:textId="77777777" w:rsidTr="009562B6">
        <w:tc>
          <w:tcPr>
            <w:tcW w:w="1980" w:type="dxa"/>
          </w:tcPr>
          <w:p w14:paraId="77886B5B" w14:textId="77777777" w:rsidR="009B236A" w:rsidRDefault="009B236A" w:rsidP="009B236A">
            <w:pPr>
              <w:rPr>
                <w:lang w:eastAsia="zh-CN"/>
              </w:rPr>
            </w:pPr>
          </w:p>
        </w:tc>
        <w:tc>
          <w:tcPr>
            <w:tcW w:w="1701" w:type="dxa"/>
          </w:tcPr>
          <w:p w14:paraId="478B79A5" w14:textId="77777777" w:rsidR="009B236A" w:rsidRDefault="009B236A" w:rsidP="009B236A">
            <w:pPr>
              <w:rPr>
                <w:lang w:eastAsia="zh-CN"/>
              </w:rPr>
            </w:pPr>
          </w:p>
        </w:tc>
        <w:tc>
          <w:tcPr>
            <w:tcW w:w="5950" w:type="dxa"/>
          </w:tcPr>
          <w:p w14:paraId="4CC684E2" w14:textId="77777777" w:rsidR="009B236A" w:rsidRDefault="009B236A" w:rsidP="009B236A">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w:t>
      </w:r>
      <w:r>
        <w:lastRenderedPageBreak/>
        <w:t xml:space="preserve">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w:t>
            </w:r>
            <w:proofErr w:type="gramStart"/>
            <w:r>
              <w:rPr>
                <w:lang w:eastAsia="zh-CN"/>
              </w:rPr>
              <w:t>similar to</w:t>
            </w:r>
            <w:proofErr w:type="gramEnd"/>
            <w:r>
              <w:rPr>
                <w:lang w:eastAsia="zh-CN"/>
              </w:rPr>
              <w:t xml:space="preserve">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lastRenderedPageBreak/>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 xml:space="preserve">TA </w:t>
            </w:r>
            <w:proofErr w:type="gramStart"/>
            <w:r>
              <w:rPr>
                <w:lang w:eastAsia="zh-CN"/>
              </w:rPr>
              <w:t>report</w:t>
            </w:r>
            <w:proofErr w:type="gramEnd"/>
            <w:r>
              <w:rPr>
                <w:lang w:eastAsia="zh-CN"/>
              </w:rPr>
              <w:t xml:space="preserve">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proofErr w:type="spellStart"/>
            <w:r>
              <w:rPr>
                <w:lang w:eastAsia="zh-CN"/>
              </w:rPr>
              <w:t>Convida</w:t>
            </w:r>
            <w:proofErr w:type="spellEnd"/>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p>
        </w:tc>
        <w:tc>
          <w:tcPr>
            <w:tcW w:w="1701" w:type="dxa"/>
          </w:tcPr>
          <w:p w14:paraId="1153C7BB" w14:textId="3811E1E0" w:rsidR="009B236A" w:rsidRDefault="009B236A" w:rsidP="009B236A">
            <w:pPr>
              <w:rPr>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r>
              <w:rPr>
                <w:rFonts w:hint="eastAsia"/>
                <w:lang w:eastAsia="zh-CN"/>
              </w:rPr>
              <w:t>R</w:t>
            </w:r>
            <w:r>
              <w:rPr>
                <w:lang w:eastAsia="zh-CN"/>
              </w:rPr>
              <w:t>akuten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9B236A" w14:paraId="1D02CCD1" w14:textId="77777777" w:rsidTr="009562B6">
        <w:tc>
          <w:tcPr>
            <w:tcW w:w="1980" w:type="dxa"/>
          </w:tcPr>
          <w:p w14:paraId="56C9407A" w14:textId="77777777" w:rsidR="009B236A" w:rsidRDefault="009B236A" w:rsidP="009B236A">
            <w:pPr>
              <w:rPr>
                <w:lang w:eastAsia="zh-CN"/>
              </w:rPr>
            </w:pPr>
          </w:p>
        </w:tc>
        <w:tc>
          <w:tcPr>
            <w:tcW w:w="1701" w:type="dxa"/>
          </w:tcPr>
          <w:p w14:paraId="01BB5C2B" w14:textId="77777777" w:rsidR="009B236A" w:rsidRDefault="009B236A" w:rsidP="009B236A">
            <w:pPr>
              <w:rPr>
                <w:lang w:eastAsia="zh-CN"/>
              </w:rPr>
            </w:pPr>
          </w:p>
        </w:tc>
        <w:tc>
          <w:tcPr>
            <w:tcW w:w="5950" w:type="dxa"/>
          </w:tcPr>
          <w:p w14:paraId="0BCB9AEA" w14:textId="77777777" w:rsidR="009B236A" w:rsidRDefault="009B236A" w:rsidP="009B236A">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 xml:space="preserve">It seems like optimization. We do not see the need to differentiate different RACH trigger cases, </w:t>
            </w:r>
            <w:proofErr w:type="gramStart"/>
            <w:r>
              <w:rPr>
                <w:lang w:eastAsia="zh-CN"/>
              </w:rPr>
              <w:t>no</w:t>
            </w:r>
            <w:proofErr w:type="gramEnd"/>
            <w:r>
              <w:rPr>
                <w:lang w:eastAsia="zh-CN"/>
              </w:rPr>
              <w:t xml:space="preserve">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lastRenderedPageBreak/>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proofErr w:type="spellStart"/>
            <w:r>
              <w:rPr>
                <w:lang w:eastAsia="zh-CN"/>
              </w:rPr>
              <w:t>Convida</w:t>
            </w:r>
            <w:proofErr w:type="spellEnd"/>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r>
              <w:rPr>
                <w:rFonts w:hint="eastAsia"/>
                <w:lang w:eastAsia="zh-CN"/>
              </w:rPr>
              <w:t>R</w:t>
            </w:r>
            <w:r>
              <w:rPr>
                <w:lang w:eastAsia="zh-CN"/>
              </w:rPr>
              <w:t>akuten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9B236A" w14:paraId="70BFC68D" w14:textId="77777777" w:rsidTr="009562B6">
        <w:tc>
          <w:tcPr>
            <w:tcW w:w="1980" w:type="dxa"/>
          </w:tcPr>
          <w:p w14:paraId="44CEFB2F" w14:textId="77777777" w:rsidR="009B236A" w:rsidRDefault="009B236A" w:rsidP="009B236A">
            <w:pPr>
              <w:rPr>
                <w:lang w:eastAsia="zh-CN"/>
              </w:rPr>
            </w:pPr>
          </w:p>
        </w:tc>
        <w:tc>
          <w:tcPr>
            <w:tcW w:w="1701" w:type="dxa"/>
          </w:tcPr>
          <w:p w14:paraId="538711E4" w14:textId="77777777" w:rsidR="009B236A" w:rsidRDefault="009B236A" w:rsidP="009B236A">
            <w:pPr>
              <w:rPr>
                <w:lang w:eastAsia="zh-CN"/>
              </w:rPr>
            </w:pPr>
          </w:p>
        </w:tc>
        <w:tc>
          <w:tcPr>
            <w:tcW w:w="5950" w:type="dxa"/>
          </w:tcPr>
          <w:p w14:paraId="7FC62D2B" w14:textId="77777777" w:rsidR="009B236A" w:rsidRDefault="009B236A" w:rsidP="009B236A">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lastRenderedPageBreak/>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proofErr w:type="spellStart"/>
            <w:r>
              <w:rPr>
                <w:lang w:eastAsia="zh-CN"/>
              </w:rPr>
              <w:t>Convida</w:t>
            </w:r>
            <w:proofErr w:type="spellEnd"/>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 xml:space="preserve">If TA report is not enabled by </w:t>
            </w:r>
            <w:proofErr w:type="spellStart"/>
            <w:r>
              <w:rPr>
                <w:lang w:eastAsia="zh-CN"/>
              </w:rPr>
              <w:t>gNB</w:t>
            </w:r>
            <w:proofErr w:type="spellEnd"/>
            <w:r>
              <w:rPr>
                <w:lang w:eastAsia="zh-CN"/>
              </w:rPr>
              <w:t>,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r>
              <w:rPr>
                <w:rFonts w:hint="eastAsia"/>
                <w:lang w:eastAsia="zh-CN"/>
              </w:rPr>
              <w:t>R</w:t>
            </w:r>
            <w:r>
              <w:rPr>
                <w:lang w:eastAsia="zh-CN"/>
              </w:rPr>
              <w:t>akuten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9B236A" w14:paraId="17281113" w14:textId="77777777" w:rsidTr="009562B6">
        <w:tc>
          <w:tcPr>
            <w:tcW w:w="1980" w:type="dxa"/>
          </w:tcPr>
          <w:p w14:paraId="5ED5424B" w14:textId="77777777" w:rsidR="009B236A" w:rsidRDefault="009B236A" w:rsidP="009B236A">
            <w:pPr>
              <w:rPr>
                <w:lang w:eastAsia="zh-CN"/>
              </w:rPr>
            </w:pPr>
          </w:p>
        </w:tc>
        <w:tc>
          <w:tcPr>
            <w:tcW w:w="1701" w:type="dxa"/>
          </w:tcPr>
          <w:p w14:paraId="365D1282" w14:textId="77777777" w:rsidR="009B236A" w:rsidRDefault="009B236A" w:rsidP="009B236A">
            <w:pPr>
              <w:rPr>
                <w:lang w:eastAsia="zh-CN"/>
              </w:rPr>
            </w:pPr>
          </w:p>
        </w:tc>
        <w:tc>
          <w:tcPr>
            <w:tcW w:w="5950" w:type="dxa"/>
          </w:tcPr>
          <w:p w14:paraId="2B9BE835" w14:textId="77777777" w:rsidR="009B236A" w:rsidRDefault="009B236A" w:rsidP="009B236A">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9B236A"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9B236A"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9B236A"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9B236A"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9B236A"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9B236A"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3735EA"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9B236A"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9B236A"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3735EA"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ＭＳ 明朝"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ＭＳ 明朝"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9B236A"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9B236A"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9B236A"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9B236A"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4AD38" w14:textId="77777777" w:rsidR="00831D25" w:rsidRDefault="00831D25" w:rsidP="004B6824">
      <w:pPr>
        <w:spacing w:after="0" w:line="240" w:lineRule="auto"/>
      </w:pPr>
      <w:r>
        <w:separator/>
      </w:r>
    </w:p>
  </w:endnote>
  <w:endnote w:type="continuationSeparator" w:id="0">
    <w:p w14:paraId="4A3CEC2A" w14:textId="77777777" w:rsidR="00831D25" w:rsidRDefault="00831D25"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18E3B" w14:textId="77777777" w:rsidR="00831D25" w:rsidRDefault="00831D25" w:rsidP="004B6824">
      <w:pPr>
        <w:spacing w:after="0" w:line="240" w:lineRule="auto"/>
      </w:pPr>
      <w:r>
        <w:separator/>
      </w:r>
    </w:p>
  </w:footnote>
  <w:footnote w:type="continuationSeparator" w:id="0">
    <w:p w14:paraId="24E448D5" w14:textId="77777777" w:rsidR="00831D25" w:rsidRDefault="00831D25"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ＭＳ 明朝"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EDD47A10-9FA9-47A9-B3FD-CD18E486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18</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Muhammad, Awn | Awn | RMI</cp:lastModifiedBy>
  <cp:revision>2</cp:revision>
  <dcterms:created xsi:type="dcterms:W3CDTF">2021-08-19T06:48:00Z</dcterms:created>
  <dcterms:modified xsi:type="dcterms:W3CDTF">2021-08-19T06:48:00Z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