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w:t>
      </w:r>
      <w:proofErr w:type="gramEnd"/>
      <w:r w:rsidR="00902F2B" w:rsidRPr="004D28FC">
        <w:rPr>
          <w:lang w:val="en-US"/>
        </w:rPr>
        <w:t>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8"/>
        <w:rPr>
          <w:lang w:val="en-US"/>
        </w:rPr>
      </w:pPr>
      <w:r>
        <w:rPr>
          <w:lang w:val="en-US"/>
        </w:rPr>
        <w:t xml:space="preserve">This document captures the following discussion and summary: </w:t>
      </w:r>
    </w:p>
    <w:p w14:paraId="6162FBC6" w14:textId="77777777" w:rsidR="009B3CAA" w:rsidRPr="009B3CAA" w:rsidRDefault="009B3CAA" w:rsidP="009B3CAA">
      <w:pPr>
        <w:pStyle w:val="afd"/>
        <w:rPr>
          <w:rFonts w:ascii="Arial" w:hAnsi="Arial" w:cs="Arial"/>
          <w:color w:val="000000"/>
          <w:sz w:val="20"/>
          <w:szCs w:val="20"/>
        </w:rPr>
      </w:pPr>
      <w:r w:rsidRPr="009B3CAA">
        <w:rPr>
          <w:rStyle w:val="af9"/>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9"/>
          <w:rFonts w:ascii="Arial" w:hAnsi="Arial" w:cs="Arial"/>
          <w:color w:val="000000"/>
          <w:sz w:val="20"/>
          <w:szCs w:val="20"/>
        </w:rPr>
        <w:t>[AT115-e</w:t>
      </w:r>
      <w:proofErr w:type="gramStart"/>
      <w:r w:rsidRPr="009B3CAA">
        <w:rPr>
          <w:rStyle w:val="af9"/>
          <w:rFonts w:ascii="Arial" w:hAnsi="Arial" w:cs="Arial"/>
          <w:color w:val="000000"/>
          <w:sz w:val="20"/>
          <w:szCs w:val="20"/>
        </w:rPr>
        <w:t>][</w:t>
      </w:r>
      <w:proofErr w:type="gramEnd"/>
      <w:r w:rsidRPr="009B3CAA">
        <w:rPr>
          <w:rStyle w:val="af9"/>
          <w:rFonts w:ascii="Arial" w:hAnsi="Arial" w:cs="Arial"/>
          <w:color w:val="000000"/>
          <w:sz w:val="20"/>
          <w:szCs w:val="20"/>
        </w:rPr>
        <w:t>104][RedCap] Identification, access and camping (Ericsson)</w:t>
      </w:r>
    </w:p>
    <w:p w14:paraId="2D61CFBF"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d"/>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afd"/>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afd"/>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d"/>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8"/>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8"/>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8"/>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8"/>
        <w:rPr>
          <w:color w:val="FF0000"/>
          <w:lang w:val="en-US"/>
        </w:rPr>
      </w:pPr>
    </w:p>
    <w:p w14:paraId="6B88CC3B" w14:textId="77777777" w:rsidR="005A68F4" w:rsidRPr="00AA48A8" w:rsidRDefault="005A68F4" w:rsidP="00CE0424">
      <w:pPr>
        <w:pStyle w:val="a8"/>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8"/>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RedCap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8"/>
        <w:rPr>
          <w:color w:val="AEAAAA" w:themeColor="background2" w:themeShade="BF"/>
          <w:lang w:val="en-US"/>
        </w:rPr>
      </w:pPr>
    </w:p>
    <w:p w14:paraId="5B1A8BB8" w14:textId="28E66083" w:rsidR="00785B7A" w:rsidRPr="00136E01" w:rsidRDefault="00B30388" w:rsidP="00167254">
      <w:pPr>
        <w:pStyle w:val="a8"/>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8"/>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
            <w:color w:val="AEAAAA" w:themeColor="background2" w:themeShade="BF"/>
          </w:rPr>
          <w:t>R1-2106329</w:t>
        </w:r>
      </w:hyperlink>
      <w:r w:rsidR="00785B7A" w:rsidRPr="00136E01">
        <w:rPr>
          <w:rStyle w:val="af"/>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8"/>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8"/>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8"/>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8"/>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8"/>
        <w:rPr>
          <w:u w:val="single"/>
        </w:rPr>
      </w:pPr>
      <w:r w:rsidRPr="00B30388">
        <w:rPr>
          <w:u w:val="single"/>
        </w:rPr>
        <w:t>Early identification in Msg3</w:t>
      </w:r>
    </w:p>
    <w:p w14:paraId="3B2989E3" w14:textId="51433314" w:rsidR="00AC6481" w:rsidRPr="00B30388" w:rsidRDefault="0073535A" w:rsidP="00540A59">
      <w:pPr>
        <w:pStyle w:val="a8"/>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8"/>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8"/>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7"/>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7"/>
        <w:rPr>
          <w:lang w:val="en-US"/>
        </w:rPr>
      </w:pPr>
    </w:p>
    <w:p w14:paraId="75C383A7" w14:textId="3E0517D2" w:rsidR="00346988" w:rsidRPr="000758B7" w:rsidRDefault="00346988" w:rsidP="000758B7">
      <w:pPr>
        <w:pStyle w:val="a8"/>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7"/>
        <w:ind w:left="1440"/>
        <w:rPr>
          <w:lang w:val="en-US"/>
        </w:rPr>
      </w:pPr>
    </w:p>
    <w:p w14:paraId="178C6F07" w14:textId="505DF540" w:rsidR="007C0706" w:rsidRDefault="0009745E" w:rsidP="00355214">
      <w:pPr>
        <w:pStyle w:val="af7"/>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8"/>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7"/>
        <w:rPr>
          <w:lang w:val="en-US"/>
        </w:rPr>
      </w:pPr>
    </w:p>
    <w:p w14:paraId="5BD6C9A1" w14:textId="0FF88EE9" w:rsidR="000C5634" w:rsidRDefault="003B1A76" w:rsidP="00355214">
      <w:pPr>
        <w:pStyle w:val="af7"/>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7"/>
        <w:rPr>
          <w:lang w:val="en-US"/>
        </w:rPr>
      </w:pPr>
    </w:p>
    <w:p w14:paraId="5B9F8DBB" w14:textId="0EB34F5E" w:rsidR="0009745E" w:rsidRPr="000C5634" w:rsidRDefault="000C5634" w:rsidP="0009745E">
      <w:pPr>
        <w:pStyle w:val="a8"/>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8"/>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8"/>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8"/>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8"/>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a"/>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r>
            <w:proofErr w:type="gramStart"/>
            <w:r w:rsidRPr="00A16EAF">
              <w:rPr>
                <w:rFonts w:ascii="Arial" w:eastAsia="MS Mincho" w:hAnsi="Arial"/>
                <w:sz w:val="21"/>
                <w:lang w:val="en-US" w:eastAsia="en-GB"/>
              </w:rPr>
              <w:t>vivo</w:t>
            </w:r>
            <w:proofErr w:type="gramEnd"/>
            <w:r w:rsidRPr="00A16EAF">
              <w:rPr>
                <w:rFonts w:ascii="Arial" w:eastAsia="MS Mincho" w:hAnsi="Arial"/>
                <w:sz w:val="21"/>
                <w:lang w:val="en-US" w:eastAsia="en-GB"/>
              </w:rPr>
              <w:t xml:space="preserve">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8"/>
        <w:rPr>
          <w:lang w:val="en-US"/>
        </w:rPr>
      </w:pPr>
    </w:p>
    <w:p w14:paraId="55DEF781" w14:textId="14E24977" w:rsidR="00BE491B" w:rsidRDefault="00BE491B" w:rsidP="00BE491B">
      <w:pPr>
        <w:pStyle w:val="a8"/>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8"/>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a"/>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8"/>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8"/>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8"/>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8"/>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8"/>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8"/>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8"/>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8"/>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8"/>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RedCap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8"/>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8"/>
              <w:rPr>
                <w:rFonts w:eastAsia="Malgun Gothic"/>
                <w:bCs/>
                <w:sz w:val="20"/>
                <w:szCs w:val="20"/>
                <w:lang w:val="en-US" w:eastAsia="ko-KR"/>
              </w:rPr>
            </w:pPr>
            <w:r>
              <w:rPr>
                <w:rFonts w:eastAsia="Malgun Gothic"/>
                <w:bCs/>
                <w:sz w:val="20"/>
                <w:szCs w:val="20"/>
                <w:lang w:val="en-US" w:eastAsia="ko-KR"/>
              </w:rPr>
              <w:t>Apple</w:t>
            </w:r>
          </w:p>
        </w:tc>
        <w:tc>
          <w:tcPr>
            <w:tcW w:w="1560" w:type="dxa"/>
          </w:tcPr>
          <w:p w14:paraId="202993B9" w14:textId="41C5931F" w:rsidR="00136E01" w:rsidRPr="003810EF" w:rsidRDefault="004C6F74" w:rsidP="00AD6978">
            <w:pPr>
              <w:pStyle w:val="a8"/>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8"/>
              <w:rPr>
                <w:rFonts w:eastAsia="宋体"/>
                <w:sz w:val="20"/>
                <w:szCs w:val="20"/>
                <w:lang w:val="en-US"/>
              </w:rPr>
            </w:pPr>
            <w:r>
              <w:rPr>
                <w:rFonts w:eastAsia="宋体"/>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RedCap would work (as we assume that some NWs would use MSG1 based as well).</w:t>
            </w:r>
          </w:p>
          <w:p w14:paraId="7614E477" w14:textId="0674EFF7" w:rsidR="004C6F74" w:rsidRPr="003810EF" w:rsidRDefault="004C6F74" w:rsidP="00AD6978">
            <w:pPr>
              <w:pStyle w:val="a8"/>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8"/>
              <w:rPr>
                <w:rFonts w:eastAsiaTheme="minorEastAsia" w:hint="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8"/>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8"/>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8"/>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8"/>
              <w:rPr>
                <w:rFonts w:eastAsia="宋体"/>
                <w:sz w:val="20"/>
                <w:szCs w:val="20"/>
                <w:lang w:val="en-US"/>
              </w:rPr>
            </w:pPr>
            <w:r>
              <w:rPr>
                <w:rFonts w:eastAsia="宋体"/>
                <w:sz w:val="20"/>
                <w:szCs w:val="20"/>
                <w:lang w:val="en-US"/>
              </w:rPr>
              <w:t>Just one wording polishing:”</w:t>
            </w:r>
            <w:r>
              <w:rPr>
                <w:lang w:val="en-US"/>
              </w:rPr>
              <w:t xml:space="preserve"> </w:t>
            </w:r>
            <w:proofErr w:type="gramStart"/>
            <w:r>
              <w:rPr>
                <w:lang w:val="en-US"/>
              </w:rPr>
              <w:t>A</w:t>
            </w:r>
            <w:proofErr w:type="gramEnd"/>
            <w:r>
              <w:rPr>
                <w:lang w:val="en-US"/>
              </w:rPr>
              <w:t xml:space="preserve">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77777777" w:rsidR="00136E01" w:rsidRPr="003810EF" w:rsidRDefault="00136E01" w:rsidP="00AD6978">
            <w:pPr>
              <w:pStyle w:val="a8"/>
              <w:rPr>
                <w:rFonts w:eastAsia="Malgun Gothic"/>
                <w:bCs/>
                <w:sz w:val="20"/>
                <w:szCs w:val="20"/>
                <w:lang w:val="en-US" w:eastAsia="ko-KR"/>
              </w:rPr>
            </w:pPr>
          </w:p>
        </w:tc>
        <w:tc>
          <w:tcPr>
            <w:tcW w:w="1560" w:type="dxa"/>
          </w:tcPr>
          <w:p w14:paraId="0242CA3E" w14:textId="77777777" w:rsidR="00136E01" w:rsidRPr="003810EF" w:rsidRDefault="00136E01" w:rsidP="00AD6978">
            <w:pPr>
              <w:pStyle w:val="a8"/>
              <w:rPr>
                <w:rFonts w:eastAsia="宋体"/>
                <w:sz w:val="20"/>
                <w:szCs w:val="20"/>
                <w:lang w:val="en-US"/>
              </w:rPr>
            </w:pPr>
          </w:p>
        </w:tc>
        <w:tc>
          <w:tcPr>
            <w:tcW w:w="6378" w:type="dxa"/>
          </w:tcPr>
          <w:p w14:paraId="575570B5" w14:textId="77777777" w:rsidR="00136E01" w:rsidRPr="003810EF" w:rsidRDefault="00136E01" w:rsidP="00AD6978">
            <w:pPr>
              <w:pStyle w:val="a8"/>
              <w:rPr>
                <w:rFonts w:eastAsia="宋体"/>
                <w:sz w:val="20"/>
                <w:szCs w:val="20"/>
                <w:lang w:val="en-US"/>
              </w:rPr>
            </w:pPr>
          </w:p>
        </w:tc>
      </w:tr>
      <w:tr w:rsidR="00136E01" w:rsidRPr="00F85A5B" w14:paraId="2F7E4B64" w14:textId="77777777" w:rsidTr="00AD6978">
        <w:tc>
          <w:tcPr>
            <w:tcW w:w="1696" w:type="dxa"/>
          </w:tcPr>
          <w:p w14:paraId="1F13417F" w14:textId="77777777" w:rsidR="00136E01" w:rsidRPr="003810EF" w:rsidRDefault="00136E01" w:rsidP="00AD6978">
            <w:pPr>
              <w:pStyle w:val="a8"/>
              <w:rPr>
                <w:rFonts w:eastAsia="Malgun Gothic"/>
                <w:bCs/>
                <w:sz w:val="20"/>
                <w:szCs w:val="20"/>
                <w:lang w:val="en-US" w:eastAsia="ko-KR"/>
              </w:rPr>
            </w:pPr>
          </w:p>
        </w:tc>
        <w:tc>
          <w:tcPr>
            <w:tcW w:w="1560" w:type="dxa"/>
          </w:tcPr>
          <w:p w14:paraId="40C4711D" w14:textId="77777777" w:rsidR="00136E01" w:rsidRPr="003810EF" w:rsidRDefault="00136E01" w:rsidP="00AD6978">
            <w:pPr>
              <w:pStyle w:val="a8"/>
              <w:rPr>
                <w:rFonts w:eastAsia="宋体"/>
                <w:sz w:val="20"/>
                <w:szCs w:val="20"/>
                <w:lang w:val="en-US"/>
              </w:rPr>
            </w:pPr>
          </w:p>
        </w:tc>
        <w:tc>
          <w:tcPr>
            <w:tcW w:w="6378" w:type="dxa"/>
          </w:tcPr>
          <w:p w14:paraId="4B34466B" w14:textId="77777777" w:rsidR="00136E01" w:rsidRPr="003810EF" w:rsidRDefault="00136E01" w:rsidP="00AD6978">
            <w:pPr>
              <w:pStyle w:val="a8"/>
              <w:rPr>
                <w:rFonts w:eastAsia="宋体"/>
                <w:sz w:val="20"/>
                <w:szCs w:val="20"/>
                <w:lang w:val="en-US"/>
              </w:rPr>
            </w:pPr>
          </w:p>
        </w:tc>
      </w:tr>
      <w:tr w:rsidR="00136E01" w:rsidRPr="00F85A5B" w14:paraId="6411B215" w14:textId="77777777" w:rsidTr="00AD6978">
        <w:tc>
          <w:tcPr>
            <w:tcW w:w="1696" w:type="dxa"/>
          </w:tcPr>
          <w:p w14:paraId="1B1F10F9" w14:textId="77777777" w:rsidR="00136E01" w:rsidRPr="003810EF" w:rsidRDefault="00136E01" w:rsidP="00AD6978">
            <w:pPr>
              <w:pStyle w:val="a8"/>
              <w:rPr>
                <w:rFonts w:eastAsia="等线"/>
                <w:bCs/>
                <w:sz w:val="20"/>
                <w:szCs w:val="20"/>
                <w:lang w:val="en-US"/>
              </w:rPr>
            </w:pPr>
          </w:p>
        </w:tc>
        <w:tc>
          <w:tcPr>
            <w:tcW w:w="1560" w:type="dxa"/>
          </w:tcPr>
          <w:p w14:paraId="11DAEB8A" w14:textId="77777777" w:rsidR="00136E01" w:rsidRPr="003810EF" w:rsidRDefault="00136E01" w:rsidP="00AD6978">
            <w:pPr>
              <w:pStyle w:val="a8"/>
              <w:rPr>
                <w:rFonts w:eastAsia="宋体"/>
                <w:sz w:val="20"/>
                <w:szCs w:val="20"/>
                <w:lang w:val="en-US"/>
              </w:rPr>
            </w:pPr>
          </w:p>
        </w:tc>
        <w:tc>
          <w:tcPr>
            <w:tcW w:w="6378" w:type="dxa"/>
          </w:tcPr>
          <w:p w14:paraId="168AC0C3" w14:textId="77777777" w:rsidR="00136E01" w:rsidRPr="003810EF" w:rsidRDefault="00136E01" w:rsidP="00AD6978">
            <w:pPr>
              <w:pStyle w:val="a8"/>
              <w:rPr>
                <w:rFonts w:eastAsia="宋体"/>
                <w:sz w:val="20"/>
                <w:szCs w:val="20"/>
                <w:lang w:val="en-US"/>
              </w:rPr>
            </w:pPr>
          </w:p>
        </w:tc>
      </w:tr>
      <w:tr w:rsidR="00136E01" w:rsidRPr="00F85A5B" w14:paraId="38175B3D" w14:textId="77777777" w:rsidTr="00AD6978">
        <w:tc>
          <w:tcPr>
            <w:tcW w:w="1696" w:type="dxa"/>
          </w:tcPr>
          <w:p w14:paraId="15E9C724" w14:textId="77777777" w:rsidR="00136E01" w:rsidRPr="003810EF" w:rsidRDefault="00136E01" w:rsidP="00AD6978">
            <w:pPr>
              <w:pStyle w:val="a8"/>
              <w:rPr>
                <w:rFonts w:eastAsia="Malgun Gothic"/>
                <w:bCs/>
                <w:sz w:val="20"/>
                <w:szCs w:val="20"/>
                <w:lang w:val="en-US" w:eastAsia="ko-KR"/>
              </w:rPr>
            </w:pPr>
          </w:p>
        </w:tc>
        <w:tc>
          <w:tcPr>
            <w:tcW w:w="1560" w:type="dxa"/>
          </w:tcPr>
          <w:p w14:paraId="44897F0D" w14:textId="77777777" w:rsidR="00136E01" w:rsidRPr="003810EF" w:rsidRDefault="00136E01" w:rsidP="00AD6978">
            <w:pPr>
              <w:pStyle w:val="a8"/>
              <w:rPr>
                <w:rFonts w:eastAsia="宋体"/>
                <w:sz w:val="20"/>
                <w:szCs w:val="20"/>
                <w:lang w:val="en-US"/>
              </w:rPr>
            </w:pPr>
          </w:p>
        </w:tc>
        <w:tc>
          <w:tcPr>
            <w:tcW w:w="6378" w:type="dxa"/>
          </w:tcPr>
          <w:p w14:paraId="69DC00CB" w14:textId="77777777" w:rsidR="00136E01" w:rsidRPr="003810EF" w:rsidRDefault="00136E01" w:rsidP="00AD6978">
            <w:pPr>
              <w:pStyle w:val="a8"/>
              <w:rPr>
                <w:rFonts w:eastAsia="宋体"/>
                <w:sz w:val="20"/>
                <w:szCs w:val="20"/>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8"/>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a8"/>
        <w:rPr>
          <w:color w:val="AEAAAA" w:themeColor="background2" w:themeShade="BF"/>
          <w:u w:val="single"/>
          <w:lang w:val="en-US"/>
        </w:rPr>
      </w:pPr>
    </w:p>
    <w:p w14:paraId="788A122A" w14:textId="49B90EF3" w:rsidR="00CC676B" w:rsidRPr="00754FB5" w:rsidRDefault="00060219" w:rsidP="00224D87">
      <w:pPr>
        <w:pStyle w:val="a8"/>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w:t>
      </w:r>
      <w:proofErr w:type="gramStart"/>
      <w:r w:rsidR="0083572F" w:rsidRPr="00754FB5">
        <w:rPr>
          <w:color w:val="AEAAAA" w:themeColor="background2" w:themeShade="BF"/>
          <w:lang w:val="en-US"/>
        </w:rPr>
        <w:t>a</w:t>
      </w:r>
      <w:proofErr w:type="gramEnd"/>
      <w:r w:rsidR="0083572F" w:rsidRPr="00754FB5">
        <w:rPr>
          <w:color w:val="AEAAAA" w:themeColor="background2" w:themeShade="BF"/>
          <w:lang w:val="en-US"/>
        </w:rPr>
        <w:t xml:space="preserve">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8"/>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8"/>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8"/>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8"/>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a8"/>
      </w:pPr>
    </w:p>
    <w:p w14:paraId="3FD784DE" w14:textId="2EF00A86" w:rsidR="006D42B9" w:rsidRDefault="006D42B9" w:rsidP="006D42B9">
      <w:pPr>
        <w:pStyle w:val="a8"/>
      </w:pPr>
      <w:r>
        <w:t xml:space="preserve">It is stipulated by the WID </w:t>
      </w:r>
      <w:r w:rsidR="00D11F7E">
        <w:t xml:space="preserve">and agreed in RAN2 already that SIB1 indicates barring for 1 Rx and 2 Rx branches separately for RedCap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a8"/>
      </w:pPr>
      <w:r>
        <w:t xml:space="preserve">The following have been proposed by companies in the submitted papers: </w:t>
      </w:r>
    </w:p>
    <w:p w14:paraId="6A80253A" w14:textId="77777777" w:rsidR="00D11F7E" w:rsidRPr="006D42B9" w:rsidRDefault="00D11F7E" w:rsidP="006D42B9">
      <w:pPr>
        <w:pStyle w:val="a8"/>
      </w:pPr>
    </w:p>
    <w:p w14:paraId="43EAB4EA" w14:textId="269CE606" w:rsidR="00D9342E" w:rsidRDefault="00C263B7" w:rsidP="00355214">
      <w:pPr>
        <w:pStyle w:val="a8"/>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7"/>
        <w:ind w:left="1287"/>
        <w:rPr>
          <w:lang w:val="en-US"/>
        </w:rPr>
      </w:pPr>
    </w:p>
    <w:p w14:paraId="3BA32AE8" w14:textId="49FE33EF" w:rsidR="006F55C9" w:rsidRPr="00EE2285" w:rsidRDefault="00CC5A61" w:rsidP="00EE2285">
      <w:pPr>
        <w:pStyle w:val="a8"/>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8"/>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7"/>
        <w:ind w:left="1287"/>
        <w:rPr>
          <w:lang w:val="en-US"/>
        </w:rPr>
      </w:pPr>
    </w:p>
    <w:p w14:paraId="520EA552" w14:textId="77777777" w:rsidR="00F37F7E" w:rsidRDefault="00CC5A61" w:rsidP="00F37F7E">
      <w:pPr>
        <w:pStyle w:val="a8"/>
        <w:ind w:left="1134"/>
      </w:pPr>
      <w:r w:rsidRPr="00F37F7E">
        <w:t>The main a</w:t>
      </w:r>
      <w:r w:rsidR="002F0ABB" w:rsidRPr="00F37F7E">
        <w:t>rguments for this option include that there’s no need to support RedCap-specific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8"/>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8"/>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8"/>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8"/>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8"/>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8"/>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afa"/>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8"/>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8"/>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8"/>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8"/>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8"/>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8"/>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 xml:space="preserve">neutral on this issue but have a slight preference for ignoring </w:t>
            </w:r>
            <w:proofErr w:type="spellStart"/>
            <w:r w:rsidR="00147B60" w:rsidRPr="00CF53D0">
              <w:rPr>
                <w:rFonts w:eastAsia="宋体"/>
                <w:sz w:val="20"/>
                <w:szCs w:val="20"/>
                <w:lang w:val="en-US"/>
              </w:rPr>
              <w:t>cell</w:t>
            </w:r>
            <w:r w:rsidR="00A022AF" w:rsidRPr="00CF53D0">
              <w:rPr>
                <w:rFonts w:eastAsia="宋体"/>
                <w:sz w:val="20"/>
                <w:szCs w:val="20"/>
                <w:lang w:val="en-US"/>
              </w:rPr>
              <w:t>Barred</w:t>
            </w:r>
            <w:proofErr w:type="spellEnd"/>
            <w:r w:rsidR="00A022AF" w:rsidRPr="00CF53D0">
              <w:rPr>
                <w:rFonts w:eastAsia="宋体"/>
                <w:sz w:val="20"/>
                <w:szCs w:val="20"/>
                <w:lang w:val="en-US"/>
              </w:rPr>
              <w:t xml:space="preserve">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8"/>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8"/>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8"/>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8"/>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8"/>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8"/>
              <w:rPr>
                <w:rFonts w:eastAsia="宋体"/>
                <w:sz w:val="20"/>
                <w:szCs w:val="20"/>
                <w:lang w:val="en-US"/>
              </w:rPr>
            </w:pPr>
            <w:r>
              <w:rPr>
                <w:rFonts w:eastAsia="宋体"/>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8"/>
              <w:rPr>
                <w:rFonts w:eastAsiaTheme="minorEastAsia" w:hint="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8"/>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8"/>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the intention of “ignoring”.</w:t>
            </w:r>
          </w:p>
        </w:tc>
      </w:tr>
      <w:tr w:rsidR="00567B74" w:rsidRPr="00F85A5B" w14:paraId="05DDF72A" w14:textId="77777777" w:rsidTr="00F743E2">
        <w:tc>
          <w:tcPr>
            <w:tcW w:w="1696" w:type="dxa"/>
          </w:tcPr>
          <w:p w14:paraId="626A63C3" w14:textId="77777777" w:rsidR="00567B74" w:rsidRPr="00CF53D0" w:rsidRDefault="00567B74" w:rsidP="00AD6978">
            <w:pPr>
              <w:pStyle w:val="a8"/>
              <w:rPr>
                <w:rFonts w:eastAsia="Malgun Gothic"/>
                <w:bCs/>
                <w:sz w:val="20"/>
                <w:szCs w:val="20"/>
                <w:lang w:val="en-US" w:eastAsia="ko-KR"/>
              </w:rPr>
            </w:pPr>
          </w:p>
        </w:tc>
        <w:tc>
          <w:tcPr>
            <w:tcW w:w="2127" w:type="dxa"/>
          </w:tcPr>
          <w:p w14:paraId="26822601" w14:textId="77777777" w:rsidR="00567B74" w:rsidRPr="00CF53D0" w:rsidRDefault="00567B74" w:rsidP="00AD6978">
            <w:pPr>
              <w:pStyle w:val="a8"/>
              <w:rPr>
                <w:rFonts w:eastAsia="宋体"/>
                <w:sz w:val="20"/>
                <w:szCs w:val="20"/>
                <w:lang w:val="en-US"/>
              </w:rPr>
            </w:pPr>
          </w:p>
        </w:tc>
        <w:tc>
          <w:tcPr>
            <w:tcW w:w="5811" w:type="dxa"/>
          </w:tcPr>
          <w:p w14:paraId="69F8B8FF" w14:textId="77777777" w:rsidR="00567B74" w:rsidRPr="00CF53D0" w:rsidRDefault="00567B74" w:rsidP="00AD6978">
            <w:pPr>
              <w:pStyle w:val="a8"/>
              <w:rPr>
                <w:rFonts w:eastAsia="宋体"/>
                <w:sz w:val="20"/>
                <w:szCs w:val="20"/>
                <w:lang w:val="en-US"/>
              </w:rPr>
            </w:pPr>
          </w:p>
        </w:tc>
      </w:tr>
      <w:tr w:rsidR="00567B74" w:rsidRPr="00F85A5B" w14:paraId="026D14A0" w14:textId="77777777" w:rsidTr="00F743E2">
        <w:tc>
          <w:tcPr>
            <w:tcW w:w="1696" w:type="dxa"/>
          </w:tcPr>
          <w:p w14:paraId="2F5FC8A5" w14:textId="77777777" w:rsidR="00567B74" w:rsidRPr="00CF53D0" w:rsidRDefault="00567B74" w:rsidP="00AD6978">
            <w:pPr>
              <w:pStyle w:val="a8"/>
              <w:rPr>
                <w:rFonts w:eastAsia="Malgun Gothic"/>
                <w:bCs/>
                <w:sz w:val="20"/>
                <w:szCs w:val="20"/>
                <w:lang w:val="en-US" w:eastAsia="ko-KR"/>
              </w:rPr>
            </w:pPr>
          </w:p>
        </w:tc>
        <w:tc>
          <w:tcPr>
            <w:tcW w:w="2127" w:type="dxa"/>
          </w:tcPr>
          <w:p w14:paraId="08A1393D" w14:textId="77777777" w:rsidR="00567B74" w:rsidRPr="00CF53D0" w:rsidRDefault="00567B74" w:rsidP="00AD6978">
            <w:pPr>
              <w:pStyle w:val="a8"/>
              <w:rPr>
                <w:rFonts w:eastAsia="宋体"/>
                <w:sz w:val="20"/>
                <w:szCs w:val="20"/>
                <w:lang w:val="en-US"/>
              </w:rPr>
            </w:pPr>
          </w:p>
        </w:tc>
        <w:tc>
          <w:tcPr>
            <w:tcW w:w="5811" w:type="dxa"/>
          </w:tcPr>
          <w:p w14:paraId="2C1D7DBA" w14:textId="77777777" w:rsidR="00567B74" w:rsidRPr="00CF53D0" w:rsidRDefault="00567B74" w:rsidP="00AD6978">
            <w:pPr>
              <w:pStyle w:val="a8"/>
              <w:rPr>
                <w:rFonts w:eastAsia="宋体"/>
                <w:sz w:val="20"/>
                <w:szCs w:val="20"/>
                <w:lang w:val="en-US"/>
              </w:rPr>
            </w:pPr>
          </w:p>
        </w:tc>
      </w:tr>
      <w:tr w:rsidR="00567B74" w:rsidRPr="00F85A5B" w14:paraId="1DBD51D3" w14:textId="77777777" w:rsidTr="00F743E2">
        <w:tc>
          <w:tcPr>
            <w:tcW w:w="1696" w:type="dxa"/>
          </w:tcPr>
          <w:p w14:paraId="2DBCFF9D" w14:textId="77777777" w:rsidR="00567B74" w:rsidRPr="00CF53D0" w:rsidRDefault="00567B74" w:rsidP="00AD6978">
            <w:pPr>
              <w:pStyle w:val="a8"/>
              <w:rPr>
                <w:rFonts w:eastAsia="等线"/>
                <w:bCs/>
                <w:sz w:val="20"/>
                <w:szCs w:val="20"/>
                <w:lang w:val="en-US"/>
              </w:rPr>
            </w:pPr>
          </w:p>
        </w:tc>
        <w:tc>
          <w:tcPr>
            <w:tcW w:w="2127" w:type="dxa"/>
          </w:tcPr>
          <w:p w14:paraId="46A6FA6F" w14:textId="77777777" w:rsidR="00567B74" w:rsidRPr="00CF53D0" w:rsidRDefault="00567B74" w:rsidP="00AD6978">
            <w:pPr>
              <w:pStyle w:val="a8"/>
              <w:rPr>
                <w:rFonts w:eastAsia="宋体"/>
                <w:sz w:val="20"/>
                <w:szCs w:val="20"/>
                <w:lang w:val="en-US"/>
              </w:rPr>
            </w:pPr>
          </w:p>
        </w:tc>
        <w:tc>
          <w:tcPr>
            <w:tcW w:w="5811" w:type="dxa"/>
          </w:tcPr>
          <w:p w14:paraId="0EE26159" w14:textId="77777777" w:rsidR="00567B74" w:rsidRPr="00CF53D0" w:rsidRDefault="00567B74" w:rsidP="00AD6978">
            <w:pPr>
              <w:pStyle w:val="a8"/>
              <w:rPr>
                <w:rFonts w:eastAsia="宋体"/>
                <w:sz w:val="20"/>
                <w:szCs w:val="20"/>
                <w:lang w:val="en-US"/>
              </w:rPr>
            </w:pPr>
          </w:p>
        </w:tc>
      </w:tr>
      <w:tr w:rsidR="00567B74" w:rsidRPr="00F85A5B" w14:paraId="071428F1" w14:textId="77777777" w:rsidTr="00F743E2">
        <w:tc>
          <w:tcPr>
            <w:tcW w:w="1696" w:type="dxa"/>
          </w:tcPr>
          <w:p w14:paraId="02F8D1DD" w14:textId="77777777" w:rsidR="00567B74" w:rsidRPr="00CF53D0" w:rsidRDefault="00567B74" w:rsidP="00AD6978">
            <w:pPr>
              <w:pStyle w:val="a8"/>
              <w:rPr>
                <w:rFonts w:eastAsia="Malgun Gothic"/>
                <w:bCs/>
                <w:sz w:val="20"/>
                <w:szCs w:val="20"/>
                <w:lang w:val="en-US" w:eastAsia="ko-KR"/>
              </w:rPr>
            </w:pPr>
          </w:p>
        </w:tc>
        <w:tc>
          <w:tcPr>
            <w:tcW w:w="2127" w:type="dxa"/>
          </w:tcPr>
          <w:p w14:paraId="1E97C655" w14:textId="77777777" w:rsidR="00567B74" w:rsidRPr="00CF53D0" w:rsidRDefault="00567B74" w:rsidP="00AD6978">
            <w:pPr>
              <w:pStyle w:val="a8"/>
              <w:rPr>
                <w:rFonts w:eastAsia="宋体"/>
                <w:sz w:val="20"/>
                <w:szCs w:val="20"/>
                <w:lang w:val="en-US"/>
              </w:rPr>
            </w:pPr>
          </w:p>
        </w:tc>
        <w:tc>
          <w:tcPr>
            <w:tcW w:w="5811" w:type="dxa"/>
          </w:tcPr>
          <w:p w14:paraId="3FA06374" w14:textId="77777777" w:rsidR="00567B74" w:rsidRPr="00CF53D0" w:rsidRDefault="00567B74" w:rsidP="00AD6978">
            <w:pPr>
              <w:pStyle w:val="a8"/>
              <w:rPr>
                <w:rFonts w:eastAsia="宋体"/>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8"/>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8"/>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8"/>
        <w:rPr>
          <w:color w:val="AEAAAA" w:themeColor="background2" w:themeShade="BF"/>
          <w:u w:val="single"/>
        </w:rPr>
      </w:pPr>
    </w:p>
    <w:p w14:paraId="5BEE6E7D" w14:textId="37679DE8" w:rsidR="00095C6B" w:rsidRPr="0074626C" w:rsidRDefault="00095C6B" w:rsidP="00355214">
      <w:pPr>
        <w:pStyle w:val="a8"/>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8"/>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8"/>
        <w:rPr>
          <w:color w:val="AEAAAA" w:themeColor="background2" w:themeShade="BF"/>
          <w:lang w:val="en-US"/>
        </w:rPr>
      </w:pPr>
    </w:p>
    <w:p w14:paraId="0D56C88A" w14:textId="31EB8FD6" w:rsidR="00095C6B" w:rsidRPr="0074626C" w:rsidRDefault="00095C6B" w:rsidP="00355214">
      <w:pPr>
        <w:pStyle w:val="a8"/>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8"/>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8"/>
        <w:rPr>
          <w:color w:val="AEAAAA" w:themeColor="background2" w:themeShade="BF"/>
          <w:lang w:val="en-US"/>
        </w:rPr>
      </w:pPr>
    </w:p>
    <w:p w14:paraId="287FCFC3" w14:textId="34F9C52E" w:rsidR="000F2340" w:rsidRPr="0074626C" w:rsidRDefault="000F2340" w:rsidP="00355214">
      <w:pPr>
        <w:pStyle w:val="a8"/>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8"/>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8"/>
        <w:rPr>
          <w:color w:val="AEAAAA" w:themeColor="background2" w:themeShade="BF"/>
          <w:lang w:val="en-US"/>
        </w:rPr>
      </w:pPr>
    </w:p>
    <w:p w14:paraId="4A60E328" w14:textId="6D0E57A4" w:rsidR="00095C6B" w:rsidRPr="0074626C" w:rsidRDefault="00095C6B" w:rsidP="00355214">
      <w:pPr>
        <w:pStyle w:val="a8"/>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8"/>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8"/>
        <w:rPr>
          <w:color w:val="AEAAAA" w:themeColor="background2" w:themeShade="BF"/>
          <w:lang w:val="en-US"/>
        </w:rPr>
      </w:pPr>
    </w:p>
    <w:p w14:paraId="15693B54" w14:textId="7862E26D" w:rsidR="009E19EF" w:rsidRPr="0074626C" w:rsidRDefault="006828BC" w:rsidP="007E60B7">
      <w:pPr>
        <w:pStyle w:val="a8"/>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8"/>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8"/>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8"/>
        <w:rPr>
          <w:color w:val="AEAAAA" w:themeColor="background2" w:themeShade="BF"/>
        </w:rPr>
      </w:pPr>
    </w:p>
    <w:p w14:paraId="0F90D098" w14:textId="77777777" w:rsidR="0074626C" w:rsidRPr="0074626C" w:rsidRDefault="0074626C" w:rsidP="00822140">
      <w:pPr>
        <w:pStyle w:val="a8"/>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8"/>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8"/>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8"/>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8"/>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8"/>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8"/>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8"/>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7"/>
        <w:ind w:left="2727"/>
        <w:rPr>
          <w:color w:val="AEAAAA" w:themeColor="background2" w:themeShade="BF"/>
          <w:lang w:val="en-US"/>
        </w:rPr>
      </w:pPr>
    </w:p>
    <w:p w14:paraId="0B4823DE" w14:textId="06A9CE4D" w:rsidR="00E247A4" w:rsidRPr="003A3ECE" w:rsidRDefault="00D55CC6" w:rsidP="00355214">
      <w:pPr>
        <w:pStyle w:val="a8"/>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8"/>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8"/>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8"/>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8"/>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8"/>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8"/>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a"/>
        <w:tblW w:w="9634" w:type="dxa"/>
        <w:tblLook w:val="04A0" w:firstRow="1" w:lastRow="0" w:firstColumn="1" w:lastColumn="0" w:noHBand="0" w:noVBand="1"/>
      </w:tblPr>
      <w:tblGrid>
        <w:gridCol w:w="1662"/>
        <w:gridCol w:w="1928"/>
        <w:gridCol w:w="6044"/>
      </w:tblGrid>
      <w:tr w:rsidR="002E4C1C" w:rsidRPr="00F85A5B" w14:paraId="3A9309A4" w14:textId="77777777" w:rsidTr="00AD6978">
        <w:tc>
          <w:tcPr>
            <w:tcW w:w="1696" w:type="dxa"/>
            <w:shd w:val="clear" w:color="auto" w:fill="A5A5A5" w:themeFill="accent3"/>
          </w:tcPr>
          <w:p w14:paraId="3945FF7E" w14:textId="77777777" w:rsidR="002E4C1C" w:rsidRPr="00D3601D" w:rsidRDefault="002E4C1C"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4D67576B" w14:textId="2B2C6242" w:rsidR="002E4C1C" w:rsidRPr="00D3601D" w:rsidRDefault="00253F37" w:rsidP="00AD6978">
            <w:pPr>
              <w:pStyle w:val="a8"/>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378" w:type="dxa"/>
            <w:shd w:val="clear" w:color="auto" w:fill="A5A5A5" w:themeFill="accent3"/>
          </w:tcPr>
          <w:p w14:paraId="10918B20" w14:textId="77777777" w:rsidR="002E4C1C" w:rsidRPr="00D3601D" w:rsidRDefault="002E4C1C" w:rsidP="00AD6978">
            <w:pPr>
              <w:pStyle w:val="a8"/>
              <w:rPr>
                <w:b/>
                <w:bCs/>
                <w:sz w:val="20"/>
                <w:szCs w:val="20"/>
                <w:lang w:val="en-US"/>
              </w:rPr>
            </w:pPr>
            <w:r w:rsidRPr="00D3601D">
              <w:rPr>
                <w:b/>
                <w:bCs/>
                <w:sz w:val="20"/>
                <w:szCs w:val="20"/>
                <w:lang w:val="en-US"/>
              </w:rPr>
              <w:t xml:space="preserve">Comments </w:t>
            </w:r>
          </w:p>
        </w:tc>
      </w:tr>
      <w:tr w:rsidR="002E4C1C" w:rsidRPr="00F85A5B" w14:paraId="673C8ABD" w14:textId="77777777" w:rsidTr="00AD6978">
        <w:tc>
          <w:tcPr>
            <w:tcW w:w="1696" w:type="dxa"/>
          </w:tcPr>
          <w:p w14:paraId="35E5A934" w14:textId="4A232929" w:rsidR="002E4C1C" w:rsidRPr="00D36DED" w:rsidRDefault="001C53C8" w:rsidP="00AD6978">
            <w:pPr>
              <w:pStyle w:val="a8"/>
              <w:rPr>
                <w:rFonts w:eastAsia="等线"/>
                <w:bCs/>
                <w:sz w:val="20"/>
                <w:szCs w:val="20"/>
                <w:lang w:val="en-US"/>
              </w:rPr>
            </w:pPr>
            <w:r w:rsidRPr="00D36DED">
              <w:rPr>
                <w:rFonts w:eastAsia="等线"/>
                <w:bCs/>
                <w:sz w:val="20"/>
                <w:szCs w:val="20"/>
                <w:lang w:val="en-US"/>
              </w:rPr>
              <w:t>Qualcomm</w:t>
            </w:r>
          </w:p>
        </w:tc>
        <w:tc>
          <w:tcPr>
            <w:tcW w:w="1560" w:type="dxa"/>
          </w:tcPr>
          <w:p w14:paraId="4698F473" w14:textId="7864E972" w:rsidR="002E4C1C" w:rsidRPr="00D36DED" w:rsidRDefault="001C53C8" w:rsidP="00AD6978">
            <w:pPr>
              <w:pStyle w:val="a8"/>
              <w:rPr>
                <w:rFonts w:eastAsia="宋体"/>
                <w:sz w:val="20"/>
                <w:szCs w:val="20"/>
                <w:lang w:val="en-US"/>
              </w:rPr>
            </w:pPr>
            <w:r w:rsidRPr="00D36DED">
              <w:rPr>
                <w:rFonts w:eastAsia="宋体"/>
                <w:sz w:val="20"/>
                <w:szCs w:val="20"/>
                <w:lang w:val="en-US"/>
              </w:rPr>
              <w:t>Separate IFRI for 1 Rx/2 Rx</w:t>
            </w:r>
          </w:p>
        </w:tc>
        <w:tc>
          <w:tcPr>
            <w:tcW w:w="6378" w:type="dxa"/>
          </w:tcPr>
          <w:p w14:paraId="5393C6C0" w14:textId="69C42E38" w:rsidR="002E4C1C" w:rsidRPr="00D36DED" w:rsidRDefault="00184C03" w:rsidP="006D4CF7">
            <w:pPr>
              <w:pStyle w:val="a8"/>
              <w:rPr>
                <w:rFonts w:eastAsia="宋体"/>
                <w:sz w:val="20"/>
                <w:szCs w:val="20"/>
                <w:lang w:val="en-US"/>
              </w:rPr>
            </w:pPr>
            <w:r w:rsidRPr="00D36DED">
              <w:rPr>
                <w:rFonts w:eastAsia="宋体"/>
                <w:sz w:val="20"/>
                <w:szCs w:val="20"/>
                <w:lang w:val="en-US"/>
              </w:rPr>
              <w:t>For the same reason why a separate IFRI for RedCap</w:t>
            </w:r>
            <w:r w:rsidR="005836DE" w:rsidRPr="00D36DED">
              <w:rPr>
                <w:rFonts w:eastAsia="宋体"/>
                <w:sz w:val="20"/>
                <w:szCs w:val="20"/>
                <w:lang w:val="en-US"/>
              </w:rPr>
              <w:t xml:space="preserve"> is agreed</w:t>
            </w:r>
          </w:p>
        </w:tc>
      </w:tr>
      <w:tr w:rsidR="002E4C1C" w:rsidRPr="00F85A5B" w14:paraId="703BAFF3" w14:textId="77777777" w:rsidTr="00AD6978">
        <w:tc>
          <w:tcPr>
            <w:tcW w:w="1696" w:type="dxa"/>
          </w:tcPr>
          <w:p w14:paraId="18A37072" w14:textId="572A1FF8" w:rsidR="002E4C1C" w:rsidRPr="00D36DED" w:rsidRDefault="00D36DED" w:rsidP="00AD6978">
            <w:pPr>
              <w:pStyle w:val="a8"/>
              <w:rPr>
                <w:rFonts w:eastAsia="Malgun Gothic"/>
                <w:bCs/>
                <w:sz w:val="20"/>
                <w:szCs w:val="20"/>
                <w:lang w:val="en-US" w:eastAsia="ko-KR"/>
              </w:rPr>
            </w:pPr>
            <w:r w:rsidRPr="00D36DED">
              <w:rPr>
                <w:rFonts w:eastAsia="Malgun Gothic"/>
                <w:bCs/>
                <w:sz w:val="20"/>
                <w:szCs w:val="20"/>
                <w:lang w:val="en-US" w:eastAsia="ko-KR"/>
              </w:rPr>
              <w:t>Ericsson</w:t>
            </w:r>
          </w:p>
        </w:tc>
        <w:tc>
          <w:tcPr>
            <w:tcW w:w="1560" w:type="dxa"/>
          </w:tcPr>
          <w:p w14:paraId="511D7B96" w14:textId="36623906" w:rsidR="002E4C1C" w:rsidRPr="00D36DED" w:rsidRDefault="00D36DED" w:rsidP="00AD6978">
            <w:pPr>
              <w:pStyle w:val="a8"/>
              <w:rPr>
                <w:rFonts w:eastAsia="宋体"/>
                <w:sz w:val="20"/>
                <w:szCs w:val="20"/>
                <w:lang w:val="en-US"/>
              </w:rPr>
            </w:pPr>
            <w:r>
              <w:rPr>
                <w:rFonts w:eastAsia="宋体"/>
                <w:sz w:val="20"/>
                <w:szCs w:val="20"/>
                <w:lang w:val="en-US"/>
              </w:rPr>
              <w:t>Common</w:t>
            </w:r>
          </w:p>
        </w:tc>
        <w:tc>
          <w:tcPr>
            <w:tcW w:w="6378" w:type="dxa"/>
          </w:tcPr>
          <w:p w14:paraId="72E5E8E1" w14:textId="7DE46676" w:rsidR="00235049" w:rsidRDefault="00D36DED" w:rsidP="00AD6978">
            <w:pPr>
              <w:pStyle w:val="a8"/>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RedCap UEs in </w:t>
            </w:r>
            <w:r w:rsidR="00235049">
              <w:rPr>
                <w:rFonts w:eastAsia="宋体"/>
                <w:sz w:val="20"/>
                <w:szCs w:val="20"/>
                <w:lang w:val="en-US"/>
              </w:rPr>
              <w:t>deployments.</w:t>
            </w:r>
          </w:p>
          <w:p w14:paraId="731B0FD7" w14:textId="24EBE4E2" w:rsidR="002E4C1C" w:rsidRPr="00D36DED" w:rsidRDefault="00D36DED" w:rsidP="00AD6978">
            <w:pPr>
              <w:pStyle w:val="a8"/>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AD6978">
        <w:tc>
          <w:tcPr>
            <w:tcW w:w="1696" w:type="dxa"/>
          </w:tcPr>
          <w:p w14:paraId="3CD9FF6E" w14:textId="40FEE871" w:rsidR="002E4C1C" w:rsidRPr="00F85A5B" w:rsidRDefault="00012CA8" w:rsidP="00AD6978">
            <w:pPr>
              <w:pStyle w:val="a8"/>
              <w:rPr>
                <w:rFonts w:eastAsia="Malgun Gothic"/>
                <w:bCs/>
                <w:lang w:val="en-US" w:eastAsia="ko-KR"/>
              </w:rPr>
            </w:pPr>
            <w:r>
              <w:rPr>
                <w:rFonts w:eastAsia="Malgun Gothic"/>
                <w:bCs/>
                <w:lang w:val="en-US" w:eastAsia="ko-KR"/>
              </w:rPr>
              <w:t>Apple</w:t>
            </w:r>
          </w:p>
        </w:tc>
        <w:tc>
          <w:tcPr>
            <w:tcW w:w="1560" w:type="dxa"/>
          </w:tcPr>
          <w:p w14:paraId="1228E612" w14:textId="0E75CCD4" w:rsidR="002E4C1C" w:rsidRPr="00F85A5B" w:rsidRDefault="00012CA8" w:rsidP="00AD6978">
            <w:pPr>
              <w:pStyle w:val="a8"/>
              <w:rPr>
                <w:rFonts w:eastAsia="宋体"/>
                <w:lang w:val="en-US"/>
              </w:rPr>
            </w:pPr>
            <w:r>
              <w:rPr>
                <w:rFonts w:eastAsia="宋体"/>
                <w:lang w:val="en-US"/>
              </w:rPr>
              <w:t>Separate IFRI</w:t>
            </w:r>
          </w:p>
        </w:tc>
        <w:tc>
          <w:tcPr>
            <w:tcW w:w="6378" w:type="dxa"/>
          </w:tcPr>
          <w:p w14:paraId="460F027A" w14:textId="081F12E6" w:rsidR="002E4C1C" w:rsidRPr="00F85A5B" w:rsidRDefault="00012CA8" w:rsidP="00AD6978">
            <w:pPr>
              <w:pStyle w:val="a8"/>
              <w:rPr>
                <w:rFonts w:eastAsia="宋体"/>
                <w:lang w:val="en-US"/>
              </w:rPr>
            </w:pPr>
            <w:r>
              <w:rPr>
                <w:rFonts w:eastAsia="宋体"/>
                <w:lang w:val="en-US"/>
              </w:rPr>
              <w:t>Same reason as Qualcomm, and also our resp to Q2.</w:t>
            </w:r>
          </w:p>
        </w:tc>
      </w:tr>
      <w:tr w:rsidR="002E4C1C" w:rsidRPr="00F85A5B" w14:paraId="28373DA7" w14:textId="77777777" w:rsidTr="00AD6978">
        <w:tc>
          <w:tcPr>
            <w:tcW w:w="1696" w:type="dxa"/>
          </w:tcPr>
          <w:p w14:paraId="27CAECEA" w14:textId="5B55B114" w:rsidR="002E4C1C" w:rsidRPr="00924222" w:rsidRDefault="009926CC" w:rsidP="00AD6978">
            <w:pPr>
              <w:pStyle w:val="a8"/>
              <w:rPr>
                <w:rFonts w:eastAsiaTheme="minorEastAsia" w:hint="eastAsia"/>
                <w:bCs/>
                <w:lang w:val="en-US"/>
              </w:rPr>
            </w:pPr>
            <w:r>
              <w:rPr>
                <w:rFonts w:eastAsiaTheme="minorEastAsia" w:hint="eastAsia"/>
                <w:bCs/>
                <w:lang w:val="en-US"/>
              </w:rPr>
              <w:t>H</w:t>
            </w:r>
            <w:r>
              <w:rPr>
                <w:rFonts w:eastAsiaTheme="minorEastAsia"/>
                <w:bCs/>
                <w:lang w:val="en-US"/>
              </w:rPr>
              <w:t>uawei, HiSilicon</w:t>
            </w:r>
          </w:p>
        </w:tc>
        <w:tc>
          <w:tcPr>
            <w:tcW w:w="1560" w:type="dxa"/>
          </w:tcPr>
          <w:p w14:paraId="2EEF96D0" w14:textId="241CC9D2" w:rsidR="002E4C1C" w:rsidRPr="00F85A5B" w:rsidRDefault="009926CC" w:rsidP="00AD6978">
            <w:pPr>
              <w:pStyle w:val="a8"/>
              <w:rPr>
                <w:rFonts w:eastAsia="宋体"/>
                <w:lang w:val="en-US"/>
              </w:rPr>
            </w:pPr>
            <w:r>
              <w:rPr>
                <w:rFonts w:eastAsia="宋体" w:hint="eastAsia"/>
                <w:lang w:val="en-US"/>
              </w:rPr>
              <w:t>N</w:t>
            </w:r>
            <w:r>
              <w:rPr>
                <w:rFonts w:eastAsia="宋体"/>
                <w:lang w:val="en-US"/>
              </w:rPr>
              <w:t>o strong view</w:t>
            </w:r>
          </w:p>
        </w:tc>
        <w:tc>
          <w:tcPr>
            <w:tcW w:w="6378" w:type="dxa"/>
          </w:tcPr>
          <w:p w14:paraId="3879802E" w14:textId="77777777" w:rsidR="002E4C1C" w:rsidRPr="00F85A5B" w:rsidRDefault="002E4C1C" w:rsidP="00AD6978">
            <w:pPr>
              <w:pStyle w:val="a8"/>
              <w:rPr>
                <w:rFonts w:eastAsia="宋体"/>
                <w:lang w:val="en-US"/>
              </w:rPr>
            </w:pPr>
          </w:p>
        </w:tc>
      </w:tr>
      <w:tr w:rsidR="002E4C1C" w:rsidRPr="00F85A5B" w14:paraId="302F0262" w14:textId="77777777" w:rsidTr="00AD6978">
        <w:tc>
          <w:tcPr>
            <w:tcW w:w="1696" w:type="dxa"/>
          </w:tcPr>
          <w:p w14:paraId="6A44FA72" w14:textId="77777777" w:rsidR="002E4C1C" w:rsidRPr="00F85A5B" w:rsidRDefault="002E4C1C" w:rsidP="00AD6978">
            <w:pPr>
              <w:pStyle w:val="a8"/>
              <w:rPr>
                <w:rFonts w:eastAsia="Malgun Gothic"/>
                <w:bCs/>
                <w:lang w:val="en-US" w:eastAsia="ko-KR"/>
              </w:rPr>
            </w:pPr>
          </w:p>
        </w:tc>
        <w:tc>
          <w:tcPr>
            <w:tcW w:w="1560" w:type="dxa"/>
          </w:tcPr>
          <w:p w14:paraId="7348CBE4" w14:textId="77777777" w:rsidR="002E4C1C" w:rsidRPr="00F85A5B" w:rsidRDefault="002E4C1C" w:rsidP="00AD6978">
            <w:pPr>
              <w:pStyle w:val="a8"/>
              <w:rPr>
                <w:rFonts w:eastAsia="宋体"/>
                <w:lang w:val="en-US"/>
              </w:rPr>
            </w:pPr>
          </w:p>
        </w:tc>
        <w:tc>
          <w:tcPr>
            <w:tcW w:w="6378" w:type="dxa"/>
          </w:tcPr>
          <w:p w14:paraId="4AC2D9EC" w14:textId="77777777" w:rsidR="002E4C1C" w:rsidRPr="00F85A5B" w:rsidRDefault="002E4C1C" w:rsidP="00AD6978">
            <w:pPr>
              <w:pStyle w:val="a8"/>
              <w:rPr>
                <w:rFonts w:eastAsia="宋体"/>
                <w:lang w:val="en-US"/>
              </w:rPr>
            </w:pPr>
          </w:p>
        </w:tc>
      </w:tr>
      <w:tr w:rsidR="002E4C1C" w:rsidRPr="00F85A5B" w14:paraId="033A4D88" w14:textId="77777777" w:rsidTr="00AD6978">
        <w:tc>
          <w:tcPr>
            <w:tcW w:w="1696" w:type="dxa"/>
          </w:tcPr>
          <w:p w14:paraId="167B46AA" w14:textId="77777777" w:rsidR="002E4C1C" w:rsidRPr="00F85A5B" w:rsidRDefault="002E4C1C" w:rsidP="00AD6978">
            <w:pPr>
              <w:pStyle w:val="a8"/>
              <w:rPr>
                <w:rFonts w:eastAsia="Malgun Gothic"/>
                <w:bCs/>
                <w:lang w:val="en-US" w:eastAsia="ko-KR"/>
              </w:rPr>
            </w:pPr>
          </w:p>
        </w:tc>
        <w:tc>
          <w:tcPr>
            <w:tcW w:w="1560" w:type="dxa"/>
          </w:tcPr>
          <w:p w14:paraId="1252B22A" w14:textId="77777777" w:rsidR="002E4C1C" w:rsidRPr="00F85A5B" w:rsidRDefault="002E4C1C" w:rsidP="00AD6978">
            <w:pPr>
              <w:pStyle w:val="a8"/>
              <w:rPr>
                <w:rFonts w:eastAsia="宋体"/>
                <w:lang w:val="en-US"/>
              </w:rPr>
            </w:pPr>
          </w:p>
        </w:tc>
        <w:tc>
          <w:tcPr>
            <w:tcW w:w="6378" w:type="dxa"/>
          </w:tcPr>
          <w:p w14:paraId="0989B6E6" w14:textId="77777777" w:rsidR="002E4C1C" w:rsidRPr="00F85A5B" w:rsidRDefault="002E4C1C" w:rsidP="00AD6978">
            <w:pPr>
              <w:pStyle w:val="a8"/>
              <w:rPr>
                <w:rFonts w:eastAsia="宋体"/>
                <w:lang w:val="en-US"/>
              </w:rPr>
            </w:pPr>
          </w:p>
        </w:tc>
      </w:tr>
      <w:tr w:rsidR="002E4C1C" w:rsidRPr="00F85A5B" w14:paraId="2C7118AB" w14:textId="77777777" w:rsidTr="00AD6978">
        <w:tc>
          <w:tcPr>
            <w:tcW w:w="1696" w:type="dxa"/>
          </w:tcPr>
          <w:p w14:paraId="6EBD01D1" w14:textId="77777777" w:rsidR="002E4C1C" w:rsidRPr="00F85A5B" w:rsidRDefault="002E4C1C" w:rsidP="00AD6978">
            <w:pPr>
              <w:pStyle w:val="a8"/>
              <w:rPr>
                <w:rFonts w:eastAsia="等线"/>
                <w:bCs/>
                <w:lang w:val="en-US"/>
              </w:rPr>
            </w:pPr>
          </w:p>
        </w:tc>
        <w:tc>
          <w:tcPr>
            <w:tcW w:w="1560" w:type="dxa"/>
          </w:tcPr>
          <w:p w14:paraId="63FB9D98" w14:textId="77777777" w:rsidR="002E4C1C" w:rsidRPr="00F85A5B" w:rsidRDefault="002E4C1C" w:rsidP="00AD6978">
            <w:pPr>
              <w:pStyle w:val="a8"/>
              <w:rPr>
                <w:rFonts w:eastAsia="宋体"/>
                <w:lang w:val="en-US"/>
              </w:rPr>
            </w:pPr>
          </w:p>
        </w:tc>
        <w:tc>
          <w:tcPr>
            <w:tcW w:w="6378" w:type="dxa"/>
          </w:tcPr>
          <w:p w14:paraId="46D9CBED" w14:textId="77777777" w:rsidR="002E4C1C" w:rsidRPr="00F85A5B" w:rsidRDefault="002E4C1C" w:rsidP="00AD6978">
            <w:pPr>
              <w:pStyle w:val="a8"/>
              <w:rPr>
                <w:rFonts w:eastAsia="宋体"/>
                <w:lang w:val="en-US"/>
              </w:rPr>
            </w:pPr>
          </w:p>
        </w:tc>
      </w:tr>
      <w:tr w:rsidR="002E4C1C" w:rsidRPr="00F85A5B" w14:paraId="07818AAE" w14:textId="77777777" w:rsidTr="00AD6978">
        <w:tc>
          <w:tcPr>
            <w:tcW w:w="1696" w:type="dxa"/>
          </w:tcPr>
          <w:p w14:paraId="09CC1C3C" w14:textId="77777777" w:rsidR="002E4C1C" w:rsidRPr="00F85A5B" w:rsidRDefault="002E4C1C" w:rsidP="00AD6978">
            <w:pPr>
              <w:pStyle w:val="a8"/>
              <w:rPr>
                <w:rFonts w:eastAsia="Malgun Gothic"/>
                <w:bCs/>
                <w:lang w:val="en-US" w:eastAsia="ko-KR"/>
              </w:rPr>
            </w:pPr>
          </w:p>
        </w:tc>
        <w:tc>
          <w:tcPr>
            <w:tcW w:w="1560" w:type="dxa"/>
          </w:tcPr>
          <w:p w14:paraId="7663E18A" w14:textId="77777777" w:rsidR="002E4C1C" w:rsidRPr="00F85A5B" w:rsidRDefault="002E4C1C" w:rsidP="00AD6978">
            <w:pPr>
              <w:pStyle w:val="a8"/>
              <w:rPr>
                <w:rFonts w:eastAsia="宋体"/>
                <w:lang w:val="en-US"/>
              </w:rPr>
            </w:pPr>
          </w:p>
        </w:tc>
        <w:tc>
          <w:tcPr>
            <w:tcW w:w="6378" w:type="dxa"/>
          </w:tcPr>
          <w:p w14:paraId="70D070BA" w14:textId="77777777" w:rsidR="002E4C1C" w:rsidRPr="00F85A5B" w:rsidRDefault="002E4C1C" w:rsidP="00AD6978">
            <w:pPr>
              <w:pStyle w:val="a8"/>
              <w:rPr>
                <w:rFonts w:eastAsia="宋体"/>
                <w:lang w:val="en-US"/>
              </w:rPr>
            </w:pPr>
          </w:p>
        </w:tc>
      </w:tr>
    </w:tbl>
    <w:p w14:paraId="3F473EF1" w14:textId="6CCCB166" w:rsidR="002E4C1C" w:rsidRDefault="002E4C1C" w:rsidP="002E4C1C">
      <w:pPr>
        <w:pStyle w:val="a8"/>
        <w:rPr>
          <w:lang w:val="en-US"/>
        </w:rPr>
      </w:pPr>
    </w:p>
    <w:p w14:paraId="3CD18AC3" w14:textId="64D8E09A" w:rsidR="002A24A6" w:rsidRPr="00893F1B" w:rsidRDefault="002A24A6" w:rsidP="002A24A6">
      <w:pPr>
        <w:pStyle w:val="a8"/>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a"/>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8"/>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8"/>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a8"/>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8"/>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8"/>
              <w:jc w:val="left"/>
              <w:rPr>
                <w:rFonts w:eastAsia="宋体"/>
                <w:sz w:val="20"/>
                <w:szCs w:val="20"/>
                <w:lang w:val="en-US"/>
              </w:rPr>
            </w:pPr>
            <w:r w:rsidRPr="00F1503D">
              <w:rPr>
                <w:rFonts w:eastAsia="宋体"/>
                <w:sz w:val="20"/>
                <w:szCs w:val="20"/>
                <w:lang w:val="en-US"/>
              </w:rPr>
              <w:t xml:space="preserve">We prefer that if a cell supports RedCap, then it always </w:t>
            </w:r>
            <w:r w:rsidR="00456D00" w:rsidRPr="00F1503D">
              <w:rPr>
                <w:rFonts w:eastAsia="宋体"/>
                <w:sz w:val="20"/>
                <w:szCs w:val="20"/>
                <w:lang w:val="en-US"/>
              </w:rPr>
              <w:t xml:space="preserve">signals RedCap-specific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a8"/>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8"/>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8"/>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a8"/>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8"/>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8"/>
              <w:rPr>
                <w:rFonts w:eastAsia="宋体"/>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a8"/>
              <w:rPr>
                <w:rFonts w:eastAsiaTheme="minorEastAsia" w:hint="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8"/>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8"/>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w:t>
            </w:r>
            <w:r>
              <w:rPr>
                <w:lang w:val="en-US"/>
              </w:rPr>
              <w:t>”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a8"/>
              <w:rPr>
                <w:lang w:val="en-US"/>
              </w:rPr>
            </w:pPr>
            <w:r>
              <w:rPr>
                <w:lang w:val="en-US"/>
              </w:rPr>
              <w:t xml:space="preserve">If the </w:t>
            </w:r>
            <w:proofErr w:type="spellStart"/>
            <w:r>
              <w:rPr>
                <w:lang w:val="en-US"/>
              </w:rPr>
              <w:t>RedCap</w:t>
            </w:r>
            <w:proofErr w:type="spellEnd"/>
            <w:r>
              <w:rPr>
                <w:lang w:val="en-US"/>
              </w:rPr>
              <w:t xml:space="preserve"> specific IFRI</w:t>
            </w:r>
            <w:r>
              <w:rPr>
                <w:lang w:val="en-US"/>
              </w:rPr>
              <w:t xml:space="preserve">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a8"/>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2A24A6" w:rsidRPr="00F85A5B" w14:paraId="5A87F182" w14:textId="77777777" w:rsidTr="00AD6978">
        <w:tc>
          <w:tcPr>
            <w:tcW w:w="1696" w:type="dxa"/>
          </w:tcPr>
          <w:p w14:paraId="0CFE3FEB" w14:textId="77777777" w:rsidR="002A24A6" w:rsidRPr="00F85A5B" w:rsidRDefault="002A24A6" w:rsidP="00AD6978">
            <w:pPr>
              <w:pStyle w:val="a8"/>
              <w:rPr>
                <w:rFonts w:eastAsia="Malgun Gothic"/>
                <w:bCs/>
                <w:lang w:val="en-US" w:eastAsia="ko-KR"/>
              </w:rPr>
            </w:pPr>
          </w:p>
        </w:tc>
        <w:tc>
          <w:tcPr>
            <w:tcW w:w="1560" w:type="dxa"/>
          </w:tcPr>
          <w:p w14:paraId="10E6D8A4" w14:textId="77777777" w:rsidR="002A24A6" w:rsidRPr="00F85A5B" w:rsidRDefault="002A24A6" w:rsidP="00AD6978">
            <w:pPr>
              <w:pStyle w:val="a8"/>
              <w:rPr>
                <w:rFonts w:eastAsia="宋体"/>
                <w:lang w:val="en-US"/>
              </w:rPr>
            </w:pPr>
          </w:p>
        </w:tc>
        <w:tc>
          <w:tcPr>
            <w:tcW w:w="6378" w:type="dxa"/>
          </w:tcPr>
          <w:p w14:paraId="0311BCE3" w14:textId="77777777" w:rsidR="002A24A6" w:rsidRPr="00F85A5B" w:rsidRDefault="002A24A6" w:rsidP="00AD6978">
            <w:pPr>
              <w:pStyle w:val="a8"/>
              <w:rPr>
                <w:rFonts w:eastAsia="宋体"/>
                <w:lang w:val="en-US"/>
              </w:rPr>
            </w:pPr>
          </w:p>
        </w:tc>
      </w:tr>
      <w:tr w:rsidR="002A24A6" w:rsidRPr="00F85A5B" w14:paraId="3177851D" w14:textId="77777777" w:rsidTr="00AD6978">
        <w:tc>
          <w:tcPr>
            <w:tcW w:w="1696" w:type="dxa"/>
          </w:tcPr>
          <w:p w14:paraId="2C48E60A" w14:textId="77777777" w:rsidR="002A24A6" w:rsidRPr="00F85A5B" w:rsidRDefault="002A24A6" w:rsidP="00AD6978">
            <w:pPr>
              <w:pStyle w:val="a8"/>
              <w:rPr>
                <w:rFonts w:eastAsia="Malgun Gothic"/>
                <w:bCs/>
                <w:lang w:val="en-US" w:eastAsia="ko-KR"/>
              </w:rPr>
            </w:pPr>
          </w:p>
        </w:tc>
        <w:tc>
          <w:tcPr>
            <w:tcW w:w="1560" w:type="dxa"/>
          </w:tcPr>
          <w:p w14:paraId="03ADE800" w14:textId="77777777" w:rsidR="002A24A6" w:rsidRPr="00F85A5B" w:rsidRDefault="002A24A6" w:rsidP="00AD6978">
            <w:pPr>
              <w:pStyle w:val="a8"/>
              <w:rPr>
                <w:rFonts w:eastAsia="宋体"/>
                <w:lang w:val="en-US"/>
              </w:rPr>
            </w:pPr>
          </w:p>
        </w:tc>
        <w:tc>
          <w:tcPr>
            <w:tcW w:w="6378" w:type="dxa"/>
          </w:tcPr>
          <w:p w14:paraId="41A9FDB9" w14:textId="77777777" w:rsidR="002A24A6" w:rsidRPr="00F85A5B" w:rsidRDefault="002A24A6" w:rsidP="00AD6978">
            <w:pPr>
              <w:pStyle w:val="a8"/>
              <w:rPr>
                <w:rFonts w:eastAsia="宋体"/>
                <w:lang w:val="en-US"/>
              </w:rPr>
            </w:pPr>
          </w:p>
        </w:tc>
      </w:tr>
      <w:tr w:rsidR="002A24A6" w:rsidRPr="00F85A5B" w14:paraId="5F4F3424" w14:textId="77777777" w:rsidTr="00AD6978">
        <w:tc>
          <w:tcPr>
            <w:tcW w:w="1696" w:type="dxa"/>
          </w:tcPr>
          <w:p w14:paraId="513A7A62" w14:textId="77777777" w:rsidR="002A24A6" w:rsidRPr="00F85A5B" w:rsidRDefault="002A24A6" w:rsidP="00AD6978">
            <w:pPr>
              <w:pStyle w:val="a8"/>
              <w:rPr>
                <w:rFonts w:eastAsia="等线"/>
                <w:bCs/>
                <w:lang w:val="en-US"/>
              </w:rPr>
            </w:pPr>
          </w:p>
        </w:tc>
        <w:tc>
          <w:tcPr>
            <w:tcW w:w="1560" w:type="dxa"/>
          </w:tcPr>
          <w:p w14:paraId="4B75DB11" w14:textId="77777777" w:rsidR="002A24A6" w:rsidRPr="00F85A5B" w:rsidRDefault="002A24A6" w:rsidP="00AD6978">
            <w:pPr>
              <w:pStyle w:val="a8"/>
              <w:rPr>
                <w:rFonts w:eastAsia="宋体"/>
                <w:lang w:val="en-US"/>
              </w:rPr>
            </w:pPr>
          </w:p>
        </w:tc>
        <w:tc>
          <w:tcPr>
            <w:tcW w:w="6378" w:type="dxa"/>
          </w:tcPr>
          <w:p w14:paraId="0361F060" w14:textId="77777777" w:rsidR="002A24A6" w:rsidRPr="00F85A5B" w:rsidRDefault="002A24A6" w:rsidP="00AD6978">
            <w:pPr>
              <w:pStyle w:val="a8"/>
              <w:rPr>
                <w:rFonts w:eastAsia="宋体"/>
                <w:lang w:val="en-US"/>
              </w:rPr>
            </w:pPr>
          </w:p>
        </w:tc>
      </w:tr>
      <w:tr w:rsidR="002A24A6" w:rsidRPr="00F85A5B" w14:paraId="72F4453F" w14:textId="77777777" w:rsidTr="00AD6978">
        <w:tc>
          <w:tcPr>
            <w:tcW w:w="1696" w:type="dxa"/>
          </w:tcPr>
          <w:p w14:paraId="7C903BCA" w14:textId="77777777" w:rsidR="002A24A6" w:rsidRPr="00F85A5B" w:rsidRDefault="002A24A6" w:rsidP="00AD6978">
            <w:pPr>
              <w:pStyle w:val="a8"/>
              <w:rPr>
                <w:rFonts w:eastAsia="Malgun Gothic"/>
                <w:bCs/>
                <w:lang w:val="en-US" w:eastAsia="ko-KR"/>
              </w:rPr>
            </w:pPr>
          </w:p>
        </w:tc>
        <w:tc>
          <w:tcPr>
            <w:tcW w:w="1560" w:type="dxa"/>
          </w:tcPr>
          <w:p w14:paraId="4452B81B" w14:textId="77777777" w:rsidR="002A24A6" w:rsidRPr="00F85A5B" w:rsidRDefault="002A24A6" w:rsidP="00AD6978">
            <w:pPr>
              <w:pStyle w:val="a8"/>
              <w:rPr>
                <w:rFonts w:eastAsia="宋体"/>
                <w:lang w:val="en-US"/>
              </w:rPr>
            </w:pPr>
          </w:p>
        </w:tc>
        <w:tc>
          <w:tcPr>
            <w:tcW w:w="6378" w:type="dxa"/>
          </w:tcPr>
          <w:p w14:paraId="346DCA3D" w14:textId="77777777" w:rsidR="002A24A6" w:rsidRPr="00F85A5B" w:rsidRDefault="002A24A6" w:rsidP="00AD6978">
            <w:pPr>
              <w:pStyle w:val="a8"/>
              <w:rPr>
                <w:rFonts w:eastAsia="宋体"/>
                <w:lang w:val="en-US"/>
              </w:rPr>
            </w:pPr>
          </w:p>
        </w:tc>
      </w:tr>
    </w:tbl>
    <w:p w14:paraId="03BE766B" w14:textId="77777777" w:rsidR="002A24A6" w:rsidRDefault="002A24A6" w:rsidP="002E4C1C">
      <w:pPr>
        <w:pStyle w:val="a8"/>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8"/>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w:t>
      </w:r>
      <w:proofErr w:type="gramStart"/>
      <w:r w:rsidR="00D437A4">
        <w:rPr>
          <w:lang w:val="en-US"/>
        </w:rPr>
        <w:t xml:space="preserve">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proofErr w:type="gramEnd"/>
      <w:r w:rsidR="00D437A4">
        <w:rPr>
          <w:lang w:val="en-US"/>
        </w:rPr>
        <w:t>]</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8"/>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8"/>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8"/>
        <w:rPr>
          <w:lang w:val="en-US"/>
        </w:rPr>
      </w:pPr>
    </w:p>
    <w:p w14:paraId="7AD28546" w14:textId="0681B7CD" w:rsidR="004C289C" w:rsidRDefault="00EA5314" w:rsidP="00355214">
      <w:pPr>
        <w:pStyle w:val="a8"/>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8"/>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8"/>
        <w:rPr>
          <w:lang w:val="en-US"/>
        </w:rPr>
      </w:pPr>
    </w:p>
    <w:p w14:paraId="59CB1A60" w14:textId="77777777" w:rsidR="004C289C" w:rsidRDefault="00BD5B7D" w:rsidP="00355214">
      <w:pPr>
        <w:pStyle w:val="a8"/>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8"/>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8"/>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8"/>
        <w:rPr>
          <w:lang w:val="en-US"/>
        </w:rPr>
      </w:pPr>
    </w:p>
    <w:tbl>
      <w:tblPr>
        <w:tblStyle w:val="afa"/>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8"/>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8"/>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8"/>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8"/>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8"/>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8"/>
              <w:jc w:val="left"/>
              <w:rPr>
                <w:rFonts w:eastAsia="宋体"/>
                <w:sz w:val="20"/>
                <w:szCs w:val="20"/>
                <w:lang w:val="en-US"/>
              </w:rPr>
            </w:pPr>
            <w:r w:rsidRPr="00144BCD">
              <w:rPr>
                <w:rFonts w:eastAsia="宋体"/>
                <w:sz w:val="20"/>
                <w:szCs w:val="20"/>
                <w:lang w:val="en-US"/>
              </w:rPr>
              <w:t xml:space="preserve">Second, this information is readily available to </w:t>
            </w:r>
            <w:proofErr w:type="spellStart"/>
            <w:r w:rsidRPr="00144BCD">
              <w:rPr>
                <w:rFonts w:eastAsia="宋体"/>
                <w:sz w:val="20"/>
                <w:szCs w:val="20"/>
                <w:lang w:val="en-US"/>
              </w:rPr>
              <w:t>gNBs</w:t>
            </w:r>
            <w:proofErr w:type="spellEnd"/>
            <w:r w:rsidRPr="00144BCD">
              <w:rPr>
                <w:rFonts w:eastAsia="宋体"/>
                <w:sz w:val="20"/>
                <w:szCs w:val="20"/>
                <w:lang w:val="en-US"/>
              </w:rPr>
              <w:t xml:space="preserve">, as we agreed at the last meeting that </w:t>
            </w:r>
            <w:proofErr w:type="spellStart"/>
            <w:r w:rsidRPr="00144BCD">
              <w:rPr>
                <w:rFonts w:eastAsia="宋体"/>
                <w:sz w:val="20"/>
                <w:szCs w:val="20"/>
                <w:lang w:val="en-US"/>
              </w:rPr>
              <w:t>gNBs</w:t>
            </w:r>
            <w:proofErr w:type="spellEnd"/>
            <w:r w:rsidRPr="00144BCD">
              <w:rPr>
                <w:rFonts w:eastAsia="宋体"/>
                <w:sz w:val="20"/>
                <w:szCs w:val="20"/>
                <w:lang w:val="en-US"/>
              </w:rPr>
              <w:t xml:space="preserve">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8"/>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8"/>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8"/>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RedCap,</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8"/>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8"/>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8"/>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8"/>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RedCap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8"/>
              <w:rPr>
                <w:rFonts w:eastAsiaTheme="minorEastAsia" w:hint="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8"/>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8"/>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51026F" w:rsidRPr="00F85A5B" w14:paraId="7408FC7C" w14:textId="77777777" w:rsidTr="00AD6978">
        <w:tc>
          <w:tcPr>
            <w:tcW w:w="1696" w:type="dxa"/>
          </w:tcPr>
          <w:p w14:paraId="04494DD6" w14:textId="77777777" w:rsidR="0051026F" w:rsidRPr="00144BCD" w:rsidRDefault="0051026F" w:rsidP="00AD6978">
            <w:pPr>
              <w:pStyle w:val="a8"/>
              <w:rPr>
                <w:rFonts w:eastAsia="Malgun Gothic"/>
                <w:bCs/>
                <w:sz w:val="20"/>
                <w:szCs w:val="20"/>
                <w:lang w:val="en-US" w:eastAsia="ko-KR"/>
              </w:rPr>
            </w:pPr>
          </w:p>
        </w:tc>
        <w:tc>
          <w:tcPr>
            <w:tcW w:w="1560" w:type="dxa"/>
          </w:tcPr>
          <w:p w14:paraId="0B3BC6B0" w14:textId="77777777" w:rsidR="0051026F" w:rsidRPr="00144BCD" w:rsidRDefault="0051026F" w:rsidP="00AD6978">
            <w:pPr>
              <w:pStyle w:val="a8"/>
              <w:rPr>
                <w:rFonts w:eastAsia="宋体"/>
                <w:sz w:val="20"/>
                <w:szCs w:val="20"/>
                <w:lang w:val="en-US"/>
              </w:rPr>
            </w:pPr>
          </w:p>
        </w:tc>
        <w:tc>
          <w:tcPr>
            <w:tcW w:w="6378" w:type="dxa"/>
          </w:tcPr>
          <w:p w14:paraId="0F420D68" w14:textId="77777777" w:rsidR="0051026F" w:rsidRPr="00144BCD" w:rsidRDefault="0051026F" w:rsidP="00AD6978">
            <w:pPr>
              <w:pStyle w:val="a8"/>
              <w:rPr>
                <w:rFonts w:eastAsia="宋体"/>
                <w:sz w:val="20"/>
                <w:szCs w:val="20"/>
                <w:lang w:val="en-US"/>
              </w:rPr>
            </w:pPr>
          </w:p>
        </w:tc>
      </w:tr>
      <w:tr w:rsidR="0051026F" w:rsidRPr="00F85A5B" w14:paraId="04BD5710" w14:textId="77777777" w:rsidTr="00AD6978">
        <w:tc>
          <w:tcPr>
            <w:tcW w:w="1696" w:type="dxa"/>
          </w:tcPr>
          <w:p w14:paraId="17CB199C" w14:textId="77777777" w:rsidR="0051026F" w:rsidRPr="00144BCD" w:rsidRDefault="0051026F" w:rsidP="00AD6978">
            <w:pPr>
              <w:pStyle w:val="a8"/>
              <w:rPr>
                <w:rFonts w:eastAsia="Malgun Gothic"/>
                <w:bCs/>
                <w:sz w:val="20"/>
                <w:szCs w:val="20"/>
                <w:lang w:val="en-US" w:eastAsia="ko-KR"/>
              </w:rPr>
            </w:pPr>
          </w:p>
        </w:tc>
        <w:tc>
          <w:tcPr>
            <w:tcW w:w="1560" w:type="dxa"/>
          </w:tcPr>
          <w:p w14:paraId="65A23330" w14:textId="77777777" w:rsidR="0051026F" w:rsidRPr="00144BCD" w:rsidRDefault="0051026F" w:rsidP="00AD6978">
            <w:pPr>
              <w:pStyle w:val="a8"/>
              <w:rPr>
                <w:rFonts w:eastAsia="宋体"/>
                <w:sz w:val="20"/>
                <w:szCs w:val="20"/>
                <w:lang w:val="en-US"/>
              </w:rPr>
            </w:pPr>
          </w:p>
        </w:tc>
        <w:tc>
          <w:tcPr>
            <w:tcW w:w="6378" w:type="dxa"/>
          </w:tcPr>
          <w:p w14:paraId="1A929726" w14:textId="77777777" w:rsidR="0051026F" w:rsidRPr="00144BCD" w:rsidRDefault="0051026F" w:rsidP="00AD6978">
            <w:pPr>
              <w:pStyle w:val="a8"/>
              <w:rPr>
                <w:rFonts w:eastAsia="宋体"/>
                <w:sz w:val="20"/>
                <w:szCs w:val="20"/>
                <w:lang w:val="en-US"/>
              </w:rPr>
            </w:pPr>
          </w:p>
        </w:tc>
      </w:tr>
      <w:tr w:rsidR="0051026F" w:rsidRPr="00F85A5B" w14:paraId="6FB56186" w14:textId="77777777" w:rsidTr="00AD6978">
        <w:tc>
          <w:tcPr>
            <w:tcW w:w="1696" w:type="dxa"/>
          </w:tcPr>
          <w:p w14:paraId="6EC1B483" w14:textId="77777777" w:rsidR="0051026F" w:rsidRPr="00144BCD" w:rsidRDefault="0051026F" w:rsidP="00AD6978">
            <w:pPr>
              <w:pStyle w:val="a8"/>
              <w:rPr>
                <w:rFonts w:eastAsia="等线"/>
                <w:bCs/>
                <w:sz w:val="20"/>
                <w:szCs w:val="20"/>
                <w:lang w:val="en-US"/>
              </w:rPr>
            </w:pPr>
          </w:p>
        </w:tc>
        <w:tc>
          <w:tcPr>
            <w:tcW w:w="1560" w:type="dxa"/>
          </w:tcPr>
          <w:p w14:paraId="1836EC2B" w14:textId="77777777" w:rsidR="0051026F" w:rsidRPr="00144BCD" w:rsidRDefault="0051026F" w:rsidP="00AD6978">
            <w:pPr>
              <w:pStyle w:val="a8"/>
              <w:rPr>
                <w:rFonts w:eastAsia="宋体"/>
                <w:sz w:val="20"/>
                <w:szCs w:val="20"/>
                <w:lang w:val="en-US"/>
              </w:rPr>
            </w:pPr>
          </w:p>
        </w:tc>
        <w:tc>
          <w:tcPr>
            <w:tcW w:w="6378" w:type="dxa"/>
          </w:tcPr>
          <w:p w14:paraId="0E0EFABA" w14:textId="77777777" w:rsidR="0051026F" w:rsidRPr="00144BCD" w:rsidRDefault="0051026F" w:rsidP="00AD6978">
            <w:pPr>
              <w:pStyle w:val="a8"/>
              <w:rPr>
                <w:rFonts w:eastAsia="宋体"/>
                <w:sz w:val="20"/>
                <w:szCs w:val="20"/>
                <w:lang w:val="en-US"/>
              </w:rPr>
            </w:pPr>
          </w:p>
        </w:tc>
      </w:tr>
      <w:tr w:rsidR="0051026F" w:rsidRPr="00F85A5B" w14:paraId="4D52810B" w14:textId="77777777" w:rsidTr="00AD6978">
        <w:tc>
          <w:tcPr>
            <w:tcW w:w="1696" w:type="dxa"/>
          </w:tcPr>
          <w:p w14:paraId="1C6B351D" w14:textId="77777777" w:rsidR="0051026F" w:rsidRPr="00144BCD" w:rsidRDefault="0051026F" w:rsidP="00AD6978">
            <w:pPr>
              <w:pStyle w:val="a8"/>
              <w:rPr>
                <w:rFonts w:eastAsia="Malgun Gothic"/>
                <w:bCs/>
                <w:sz w:val="20"/>
                <w:szCs w:val="20"/>
                <w:lang w:val="en-US" w:eastAsia="ko-KR"/>
              </w:rPr>
            </w:pPr>
          </w:p>
        </w:tc>
        <w:tc>
          <w:tcPr>
            <w:tcW w:w="1560" w:type="dxa"/>
          </w:tcPr>
          <w:p w14:paraId="57E14E82" w14:textId="77777777" w:rsidR="0051026F" w:rsidRPr="00144BCD" w:rsidRDefault="0051026F" w:rsidP="00AD6978">
            <w:pPr>
              <w:pStyle w:val="a8"/>
              <w:rPr>
                <w:rFonts w:eastAsia="宋体"/>
                <w:sz w:val="20"/>
                <w:szCs w:val="20"/>
                <w:lang w:val="en-US"/>
              </w:rPr>
            </w:pPr>
          </w:p>
        </w:tc>
        <w:tc>
          <w:tcPr>
            <w:tcW w:w="6378" w:type="dxa"/>
          </w:tcPr>
          <w:p w14:paraId="798DBB2C" w14:textId="77777777" w:rsidR="0051026F" w:rsidRPr="00144BCD" w:rsidRDefault="0051026F" w:rsidP="00AD6978">
            <w:pPr>
              <w:pStyle w:val="a8"/>
              <w:rPr>
                <w:rFonts w:eastAsia="宋体"/>
                <w:sz w:val="20"/>
                <w:szCs w:val="20"/>
                <w:lang w:val="en-US"/>
              </w:rPr>
            </w:pP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8"/>
        <w:rPr>
          <w:lang w:val="en-US"/>
        </w:rPr>
      </w:pPr>
      <w:r w:rsidRPr="00BE491B">
        <w:rPr>
          <w:color w:val="FF0000"/>
          <w:lang w:val="en-US"/>
        </w:rPr>
        <w:t>[Rapporteur]</w:t>
      </w:r>
      <w:r>
        <w:rPr>
          <w:color w:val="FF0000"/>
          <w:lang w:val="en-US"/>
        </w:rPr>
        <w:t xml:space="preserve">: </w:t>
      </w:r>
      <w:r>
        <w:rPr>
          <w:lang w:val="en-US"/>
        </w:rPr>
        <w:t>P12 was not discussed online so far.</w:t>
      </w:r>
      <w:bookmarkStart w:id="13" w:name="_GoBack"/>
      <w:bookmarkEnd w:id="13"/>
    </w:p>
    <w:p w14:paraId="31BDD19B" w14:textId="77777777" w:rsidR="00AA2A62" w:rsidRDefault="00AA2A62" w:rsidP="00BD5060">
      <w:pPr>
        <w:pStyle w:val="a8"/>
        <w:rPr>
          <w:lang w:val="en-US"/>
        </w:rPr>
      </w:pPr>
    </w:p>
    <w:p w14:paraId="12178101" w14:textId="55FF90F0" w:rsidR="00BD5060" w:rsidRDefault="00BD5060" w:rsidP="00502B4E">
      <w:pPr>
        <w:pStyle w:val="a8"/>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8"/>
        <w:rPr>
          <w:lang w:val="en-US"/>
        </w:rPr>
      </w:pPr>
    </w:p>
    <w:tbl>
      <w:tblPr>
        <w:tblStyle w:val="afa"/>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8"/>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8"/>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8"/>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8"/>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8"/>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8"/>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8"/>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8"/>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8"/>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8"/>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8"/>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a8"/>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8"/>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8"/>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8"/>
              <w:rPr>
                <w:rFonts w:eastAsiaTheme="minorEastAsia" w:hint="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8"/>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8"/>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BD5060" w:rsidRPr="00F85A5B" w14:paraId="61B4F33C" w14:textId="77777777" w:rsidTr="00AD6978">
        <w:tc>
          <w:tcPr>
            <w:tcW w:w="1696" w:type="dxa"/>
          </w:tcPr>
          <w:p w14:paraId="27F90A42" w14:textId="77777777" w:rsidR="00BD5060" w:rsidRPr="00574E73" w:rsidRDefault="00BD5060" w:rsidP="00AD6978">
            <w:pPr>
              <w:pStyle w:val="a8"/>
              <w:rPr>
                <w:rFonts w:eastAsia="Malgun Gothic"/>
                <w:bCs/>
                <w:sz w:val="20"/>
                <w:szCs w:val="20"/>
                <w:lang w:val="en-US" w:eastAsia="ko-KR"/>
              </w:rPr>
            </w:pPr>
          </w:p>
        </w:tc>
        <w:tc>
          <w:tcPr>
            <w:tcW w:w="1560" w:type="dxa"/>
          </w:tcPr>
          <w:p w14:paraId="180B5CE5" w14:textId="77777777" w:rsidR="00BD5060" w:rsidRPr="00574E73" w:rsidRDefault="00BD5060" w:rsidP="00AD6978">
            <w:pPr>
              <w:pStyle w:val="a8"/>
              <w:rPr>
                <w:rFonts w:eastAsia="宋体"/>
                <w:sz w:val="20"/>
                <w:szCs w:val="20"/>
                <w:lang w:val="en-US"/>
              </w:rPr>
            </w:pPr>
          </w:p>
        </w:tc>
        <w:tc>
          <w:tcPr>
            <w:tcW w:w="6378" w:type="dxa"/>
          </w:tcPr>
          <w:p w14:paraId="06F78BA5" w14:textId="77777777" w:rsidR="00BD5060" w:rsidRPr="00574E73" w:rsidRDefault="00BD5060" w:rsidP="00AD6978">
            <w:pPr>
              <w:pStyle w:val="a8"/>
              <w:rPr>
                <w:rFonts w:eastAsia="宋体"/>
                <w:sz w:val="20"/>
                <w:szCs w:val="20"/>
                <w:lang w:val="en-US"/>
              </w:rPr>
            </w:pPr>
          </w:p>
        </w:tc>
      </w:tr>
      <w:tr w:rsidR="00BD5060" w:rsidRPr="00F85A5B" w14:paraId="5634EDA2" w14:textId="77777777" w:rsidTr="00AD6978">
        <w:tc>
          <w:tcPr>
            <w:tcW w:w="1696" w:type="dxa"/>
          </w:tcPr>
          <w:p w14:paraId="75E42AC5" w14:textId="77777777" w:rsidR="00BD5060" w:rsidRPr="00574E73" w:rsidRDefault="00BD5060" w:rsidP="00AD6978">
            <w:pPr>
              <w:pStyle w:val="a8"/>
              <w:rPr>
                <w:rFonts w:eastAsia="Malgun Gothic"/>
                <w:bCs/>
                <w:sz w:val="20"/>
                <w:szCs w:val="20"/>
                <w:lang w:val="en-US" w:eastAsia="ko-KR"/>
              </w:rPr>
            </w:pPr>
          </w:p>
        </w:tc>
        <w:tc>
          <w:tcPr>
            <w:tcW w:w="1560" w:type="dxa"/>
          </w:tcPr>
          <w:p w14:paraId="4D49CFEF" w14:textId="77777777" w:rsidR="00BD5060" w:rsidRPr="00574E73" w:rsidRDefault="00BD5060" w:rsidP="00AD6978">
            <w:pPr>
              <w:pStyle w:val="a8"/>
              <w:rPr>
                <w:rFonts w:eastAsia="宋体"/>
                <w:sz w:val="20"/>
                <w:szCs w:val="20"/>
                <w:lang w:val="en-US"/>
              </w:rPr>
            </w:pPr>
          </w:p>
        </w:tc>
        <w:tc>
          <w:tcPr>
            <w:tcW w:w="6378" w:type="dxa"/>
          </w:tcPr>
          <w:p w14:paraId="23BAF425" w14:textId="77777777" w:rsidR="00BD5060" w:rsidRPr="00574E73" w:rsidRDefault="00BD5060" w:rsidP="00AD6978">
            <w:pPr>
              <w:pStyle w:val="a8"/>
              <w:rPr>
                <w:rFonts w:eastAsia="宋体"/>
                <w:sz w:val="20"/>
                <w:szCs w:val="20"/>
                <w:lang w:val="en-US"/>
              </w:rPr>
            </w:pPr>
          </w:p>
        </w:tc>
      </w:tr>
      <w:tr w:rsidR="00BD5060" w:rsidRPr="00F85A5B" w14:paraId="57866B52" w14:textId="77777777" w:rsidTr="00AD6978">
        <w:tc>
          <w:tcPr>
            <w:tcW w:w="1696" w:type="dxa"/>
          </w:tcPr>
          <w:p w14:paraId="478D308D" w14:textId="77777777" w:rsidR="00BD5060" w:rsidRPr="00574E73" w:rsidRDefault="00BD5060" w:rsidP="00AD6978">
            <w:pPr>
              <w:pStyle w:val="a8"/>
              <w:rPr>
                <w:rFonts w:eastAsia="等线"/>
                <w:bCs/>
                <w:sz w:val="20"/>
                <w:szCs w:val="20"/>
                <w:lang w:val="en-US"/>
              </w:rPr>
            </w:pPr>
          </w:p>
        </w:tc>
        <w:tc>
          <w:tcPr>
            <w:tcW w:w="1560" w:type="dxa"/>
          </w:tcPr>
          <w:p w14:paraId="0E8C5CC1" w14:textId="77777777" w:rsidR="00BD5060" w:rsidRPr="00574E73" w:rsidRDefault="00BD5060" w:rsidP="00AD6978">
            <w:pPr>
              <w:pStyle w:val="a8"/>
              <w:rPr>
                <w:rFonts w:eastAsia="宋体"/>
                <w:sz w:val="20"/>
                <w:szCs w:val="20"/>
                <w:lang w:val="en-US"/>
              </w:rPr>
            </w:pPr>
          </w:p>
        </w:tc>
        <w:tc>
          <w:tcPr>
            <w:tcW w:w="6378" w:type="dxa"/>
          </w:tcPr>
          <w:p w14:paraId="39CF0F30" w14:textId="77777777" w:rsidR="00BD5060" w:rsidRPr="00574E73" w:rsidRDefault="00BD5060" w:rsidP="00AD6978">
            <w:pPr>
              <w:pStyle w:val="a8"/>
              <w:rPr>
                <w:rFonts w:eastAsia="宋体"/>
                <w:sz w:val="20"/>
                <w:szCs w:val="20"/>
                <w:lang w:val="en-US"/>
              </w:rPr>
            </w:pPr>
          </w:p>
        </w:tc>
      </w:tr>
      <w:tr w:rsidR="00BD5060" w:rsidRPr="00F85A5B" w14:paraId="395B1F62" w14:textId="77777777" w:rsidTr="00AD6978">
        <w:tc>
          <w:tcPr>
            <w:tcW w:w="1696" w:type="dxa"/>
          </w:tcPr>
          <w:p w14:paraId="5ACFFC2F" w14:textId="77777777" w:rsidR="00BD5060" w:rsidRPr="00574E73" w:rsidRDefault="00BD5060" w:rsidP="00AD6978">
            <w:pPr>
              <w:pStyle w:val="a8"/>
              <w:rPr>
                <w:rFonts w:eastAsia="Malgun Gothic"/>
                <w:bCs/>
                <w:sz w:val="20"/>
                <w:szCs w:val="20"/>
                <w:lang w:val="en-US" w:eastAsia="ko-KR"/>
              </w:rPr>
            </w:pPr>
          </w:p>
        </w:tc>
        <w:tc>
          <w:tcPr>
            <w:tcW w:w="1560" w:type="dxa"/>
          </w:tcPr>
          <w:p w14:paraId="780A7747" w14:textId="77777777" w:rsidR="00BD5060" w:rsidRPr="00574E73" w:rsidRDefault="00BD5060" w:rsidP="00AD6978">
            <w:pPr>
              <w:pStyle w:val="a8"/>
              <w:rPr>
                <w:rFonts w:eastAsia="宋体"/>
                <w:sz w:val="20"/>
                <w:szCs w:val="20"/>
                <w:lang w:val="en-US"/>
              </w:rPr>
            </w:pPr>
          </w:p>
        </w:tc>
        <w:tc>
          <w:tcPr>
            <w:tcW w:w="6378" w:type="dxa"/>
          </w:tcPr>
          <w:p w14:paraId="448EE7B0" w14:textId="77777777" w:rsidR="00BD5060" w:rsidRPr="00574E73" w:rsidRDefault="00BD5060" w:rsidP="00AD6978">
            <w:pPr>
              <w:pStyle w:val="a8"/>
              <w:rPr>
                <w:rFonts w:eastAsia="宋体"/>
                <w:sz w:val="20"/>
                <w:szCs w:val="20"/>
                <w:lang w:val="en-US"/>
              </w:rPr>
            </w:pP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8"/>
        <w:rPr>
          <w:b/>
          <w:bCs/>
        </w:rPr>
      </w:pPr>
    </w:p>
    <w:p w14:paraId="1F9E1FBB" w14:textId="0E5F0ED4" w:rsidR="00BA5EC7" w:rsidRDefault="00BA5EC7" w:rsidP="00105DD6">
      <w:pPr>
        <w:pStyle w:val="a8"/>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
          <w:color w:val="0563C1" w:themeColor="hyperlink"/>
          <w:lang w:val="en-US"/>
        </w:rPr>
        <w:t>R2-2107071</w:t>
      </w:r>
      <w:r w:rsidRPr="004D28FC">
        <w:rPr>
          <w:rStyle w:val="af"/>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
          <w:color w:val="0563C1" w:themeColor="hyperlink"/>
          <w:lang w:val="en-US"/>
        </w:rPr>
        <w:t>R2-2107072</w:t>
      </w:r>
      <w:r w:rsidRPr="004D28FC">
        <w:rPr>
          <w:rStyle w:val="af"/>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
          <w:color w:val="0563C1" w:themeColor="hyperlink"/>
          <w:lang w:val="en-US"/>
        </w:rPr>
        <w:t>R2-2107117</w:t>
      </w:r>
      <w:r w:rsidRPr="004D28FC">
        <w:rPr>
          <w:rStyle w:val="af"/>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
          <w:color w:val="0563C1" w:themeColor="hyperlink"/>
          <w:lang w:val="en-US"/>
        </w:rPr>
        <w:t>R2-2107209</w:t>
      </w:r>
      <w:r w:rsidRPr="004D28FC">
        <w:rPr>
          <w:rStyle w:val="af"/>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
          <w:color w:val="0563C1" w:themeColor="hyperlink"/>
          <w:lang w:val="en-US"/>
        </w:rPr>
        <w:t>R2-2107216</w:t>
      </w:r>
      <w:r w:rsidRPr="004D28FC">
        <w:rPr>
          <w:rStyle w:val="af"/>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
          <w:color w:val="0563C1" w:themeColor="hyperlink"/>
          <w:lang w:val="en-US"/>
        </w:rPr>
        <w:t>R2-2107352</w:t>
      </w:r>
      <w:r w:rsidRPr="004D28FC">
        <w:rPr>
          <w:rStyle w:val="af"/>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
          <w:color w:val="0563C1" w:themeColor="hyperlink"/>
          <w:lang w:val="en-US"/>
        </w:rPr>
        <w:t>R2-2107411</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
          <w:color w:val="0563C1" w:themeColor="hyperlink"/>
          <w:lang w:val="en-US"/>
        </w:rPr>
        <w:t>R2-2107535</w:t>
      </w:r>
      <w:r w:rsidRPr="004D28FC">
        <w:rPr>
          <w:rStyle w:val="af"/>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
          <w:color w:val="0563C1" w:themeColor="hyperlink"/>
          <w:lang w:val="en-US"/>
        </w:rPr>
        <w:t>R2-2107555</w:t>
      </w:r>
      <w:r w:rsidRPr="004D28FC">
        <w:rPr>
          <w:rStyle w:val="af"/>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
          <w:color w:val="0563C1" w:themeColor="hyperlink"/>
          <w:lang w:val="en-US"/>
        </w:rPr>
        <w:t>R2-2107606</w:t>
      </w:r>
      <w:r w:rsidRPr="004D28FC">
        <w:rPr>
          <w:rStyle w:val="af"/>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
          <w:color w:val="0563C1" w:themeColor="hyperlink"/>
          <w:lang w:val="en-US"/>
        </w:rPr>
        <w:t>R2-2107607</w:t>
      </w:r>
      <w:r w:rsidRPr="004D28FC">
        <w:rPr>
          <w:rStyle w:val="af"/>
          <w:color w:val="0563C1" w:themeColor="hyperlink"/>
          <w:lang w:val="en-US"/>
        </w:rPr>
        <w:fldChar w:fldCharType="end"/>
      </w:r>
      <w:r w:rsidRPr="004D28FC">
        <w:rPr>
          <w:lang w:val="en-US"/>
        </w:rPr>
        <w:t xml:space="preserve">, </w:t>
      </w:r>
      <w:r w:rsidRPr="0085000A">
        <w:rPr>
          <w:lang w:val="en-US"/>
        </w:rPr>
        <w:t xml:space="preserve">Issues with MSG3 based RedCap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
          <w:color w:val="0563C1" w:themeColor="hyperlink"/>
          <w:lang w:val="en-US"/>
        </w:rPr>
        <w:t>R2-2107652</w:t>
      </w:r>
      <w:r w:rsidRPr="004D28FC">
        <w:rPr>
          <w:rStyle w:val="af"/>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
          <w:color w:val="0563C1" w:themeColor="hyperlink"/>
          <w:lang w:val="en-US"/>
        </w:rPr>
        <w:t>R2-2107678</w:t>
      </w:r>
      <w:r w:rsidRPr="004D28FC">
        <w:rPr>
          <w:rStyle w:val="af"/>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
          <w:color w:val="0563C1" w:themeColor="hyperlink"/>
          <w:lang w:val="en-US"/>
        </w:rPr>
        <w:t>R2-2107707</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
          <w:color w:val="0563C1" w:themeColor="hyperlink"/>
          <w:lang w:val="en-US"/>
        </w:rPr>
        <w:t>R2-2107750</w:t>
      </w:r>
      <w:r w:rsidRPr="004D28FC">
        <w:rPr>
          <w:rStyle w:val="af"/>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
          <w:color w:val="0563C1" w:themeColor="hyperlink"/>
          <w:lang w:val="en-US"/>
        </w:rPr>
        <w:t>R2-2107783</w:t>
      </w:r>
      <w:r w:rsidRPr="004D28FC">
        <w:rPr>
          <w:rStyle w:val="af"/>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
          <w:color w:val="0563C1" w:themeColor="hyperlink"/>
          <w:lang w:val="en-US"/>
        </w:rPr>
        <w:t>R2-2107834</w:t>
      </w:r>
      <w:r w:rsidRPr="004D28FC">
        <w:rPr>
          <w:rStyle w:val="af"/>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
          <w:color w:val="0563C1" w:themeColor="hyperlink"/>
          <w:lang w:val="en-US"/>
        </w:rPr>
        <w:t>R2-2107870</w:t>
      </w:r>
      <w:r w:rsidRPr="004D28FC">
        <w:rPr>
          <w:rStyle w:val="af"/>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
          <w:color w:val="0563C1" w:themeColor="hyperlink"/>
          <w:lang w:val="en-US"/>
        </w:rPr>
        <w:t>R2-2108136</w:t>
      </w:r>
      <w:r w:rsidRPr="004D28FC">
        <w:rPr>
          <w:rStyle w:val="af"/>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
          <w:color w:val="0563C1" w:themeColor="hyperlink"/>
          <w:lang w:val="en-US"/>
        </w:rPr>
        <w:t>R2-2108137</w:t>
      </w:r>
      <w:r w:rsidRPr="004D28FC">
        <w:rPr>
          <w:rStyle w:val="af"/>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
          <w:color w:val="0563C1" w:themeColor="hyperlink"/>
          <w:lang w:val="en-US"/>
        </w:rPr>
        <w:t>R2-2108244</w:t>
      </w:r>
      <w:r w:rsidRPr="004D28FC">
        <w:rPr>
          <w:rStyle w:val="af"/>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
          <w:color w:val="0563C1" w:themeColor="hyperlink"/>
          <w:lang w:val="en-US"/>
        </w:rPr>
        <w:t>R2-2108245</w:t>
      </w:r>
      <w:r w:rsidRPr="004D28FC">
        <w:rPr>
          <w:rStyle w:val="af"/>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
          <w:color w:val="0563C1" w:themeColor="hyperlink"/>
          <w:lang w:val="en-US"/>
        </w:rPr>
        <w:t>R2-2108279</w:t>
      </w:r>
      <w:r w:rsidRPr="004D28FC">
        <w:rPr>
          <w:rStyle w:val="af"/>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
          <w:color w:val="0563C1" w:themeColor="hyperlink"/>
          <w:lang w:val="en-US"/>
        </w:rPr>
        <w:t>R2-2108463</w:t>
      </w:r>
      <w:r w:rsidRPr="004D28FC">
        <w:rPr>
          <w:rStyle w:val="af"/>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
          <w:color w:val="0563C1" w:themeColor="hyperlink"/>
          <w:lang w:val="en-US"/>
        </w:rPr>
        <w:t>R2-2108524</w:t>
      </w:r>
      <w:r w:rsidRPr="004D28FC">
        <w:rPr>
          <w:rStyle w:val="af"/>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
          <w:color w:val="0563C1" w:themeColor="hyperlink"/>
          <w:lang w:val="en-US"/>
        </w:rPr>
        <w:t>R2-2108628</w:t>
      </w:r>
      <w:r w:rsidRPr="004D28FC">
        <w:rPr>
          <w:rStyle w:val="af"/>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
          <w:color w:val="0563C1" w:themeColor="hyperlink"/>
          <w:lang w:val="en-US"/>
        </w:rPr>
        <w:t>R2-2108698</w:t>
      </w:r>
      <w:r w:rsidRPr="004D28FC">
        <w:rPr>
          <w:rStyle w:val="af"/>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5AA0B" w14:textId="77777777" w:rsidR="00826A4E" w:rsidRDefault="00826A4E">
      <w:r>
        <w:separator/>
      </w:r>
    </w:p>
  </w:endnote>
  <w:endnote w:type="continuationSeparator" w:id="0">
    <w:p w14:paraId="1C0D8EE7" w14:textId="77777777" w:rsidR="00826A4E" w:rsidRDefault="00826A4E">
      <w:r>
        <w:continuationSeparator/>
      </w:r>
    </w:p>
  </w:endnote>
  <w:endnote w:type="continuationNotice" w:id="1">
    <w:p w14:paraId="7BE99E11" w14:textId="77777777" w:rsidR="00826A4E" w:rsidRDefault="00826A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826A4E" w:rsidRDefault="00826A4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13AA3">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13AA3">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3EC73" w14:textId="77777777" w:rsidR="00826A4E" w:rsidRDefault="00826A4E">
      <w:r>
        <w:separator/>
      </w:r>
    </w:p>
  </w:footnote>
  <w:footnote w:type="continuationSeparator" w:id="0">
    <w:p w14:paraId="3A164CEB" w14:textId="77777777" w:rsidR="00826A4E" w:rsidRDefault="00826A4E">
      <w:r>
        <w:continuationSeparator/>
      </w:r>
    </w:p>
  </w:footnote>
  <w:footnote w:type="continuationNotice" w:id="1">
    <w:p w14:paraId="6541302E" w14:textId="77777777" w:rsidR="00826A4E" w:rsidRDefault="00826A4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826A4E" w:rsidRDefault="00826A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3535A"/>
    <w:pPr>
      <w:spacing w:after="0"/>
      <w:ind w:left="720"/>
    </w:pPr>
    <w:rPr>
      <w:rFonts w:ascii="Arial" w:eastAsia="Calibri" w:hAnsi="Arial"/>
      <w:szCs w:val="22"/>
      <w:lang w:val="x-none" w:eastAsia="en-US"/>
    </w:rPr>
  </w:style>
  <w:style w:type="character" w:customStyle="1" w:styleId="Char7">
    <w:name w:val="列出段落 Char"/>
    <w:link w:val="af7"/>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c">
    <w:name w:val="Revision"/>
    <w:hidden/>
    <w:uiPriority w:val="99"/>
    <w:semiHidden/>
    <w:rsid w:val="00613784"/>
    <w:rPr>
      <w:rFonts w:ascii="Times New Roman" w:hAnsi="Times New Roman"/>
      <w:lang w:eastAsia="ja-JP"/>
    </w:rPr>
  </w:style>
  <w:style w:type="paragraph" w:styleId="afd">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
    <w:name w:val="Unresolved Mention"/>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elements/1.1/"/>
    <ds:schemaRef ds:uri="http://purl.org/dc/dcmitype/"/>
    <ds:schemaRef ds:uri="9b239327-9e80-40e4-b1b7-4394fed77a33"/>
    <ds:schemaRef ds:uri="http://www.w3.org/XML/1998/namespace"/>
    <ds:schemaRef ds:uri="2f282d3b-eb4a-4b09-b61f-b9593442e286"/>
    <ds:schemaRef ds:uri="http://purl.org/dc/terms/"/>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9AADF9F0-47E7-4606-9F5E-71D50613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12</Pages>
  <Words>4694</Words>
  <Characters>31500</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36122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Huawei-Yulong</cp:lastModifiedBy>
  <cp:revision>12</cp:revision>
  <cp:lastPrinted>2008-01-31T07:09:00Z</cp:lastPrinted>
  <dcterms:created xsi:type="dcterms:W3CDTF">2021-08-20T01:53:00Z</dcterms:created>
  <dcterms:modified xsi:type="dcterms:W3CDTF">2021-08-20T02:11:00Z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