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104][</w:t>
      </w:r>
      <w:proofErr w:type="gramEnd"/>
      <w:r w:rsidR="00902F2B" w:rsidRPr="004D28FC">
        <w:rPr>
          <w:lang w:val="en-US"/>
        </w:rPr>
        <w:t>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w:t>
      </w:r>
      <w:proofErr w:type="gramStart"/>
      <w:r w:rsidRPr="009B3CAA">
        <w:rPr>
          <w:rStyle w:val="Strong"/>
          <w:rFonts w:ascii="Arial" w:hAnsi="Arial" w:cs="Arial"/>
          <w:color w:val="000000"/>
          <w:sz w:val="20"/>
          <w:szCs w:val="20"/>
        </w:rPr>
        <w:t>104][</w:t>
      </w:r>
      <w:proofErr w:type="gramEnd"/>
      <w:r w:rsidRPr="009B3CAA">
        <w:rPr>
          <w:rStyle w:val="Strong"/>
          <w:rFonts w:ascii="Arial" w:hAnsi="Arial" w:cs="Arial"/>
          <w:color w:val="000000"/>
          <w:sz w:val="20"/>
          <w:szCs w:val="20"/>
        </w:rPr>
        <w:t>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 xml:space="preserve">should be </w:t>
      </w:r>
      <w:proofErr w:type="gramStart"/>
      <w:r w:rsidR="00B02CCF" w:rsidRPr="00136E01">
        <w:rPr>
          <w:color w:val="AEAAAA" w:themeColor="background2" w:themeShade="BF"/>
        </w:rPr>
        <w:t>taken into account</w:t>
      </w:r>
      <w:proofErr w:type="gramEnd"/>
      <w:r w:rsidR="00B02CCF" w:rsidRPr="00136E01">
        <w:rPr>
          <w:color w:val="AEAAAA" w:themeColor="background2" w:themeShade="BF"/>
        </w:rPr>
        <w: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w:t>
      </w:r>
      <w:proofErr w:type="gramStart"/>
      <w:r w:rsidR="0009533E" w:rsidRPr="000758B7">
        <w:t>e.g.</w:t>
      </w:r>
      <w:proofErr w:type="gramEnd"/>
      <w:r w:rsidR="0009533E" w:rsidRPr="000758B7">
        <w:t xml:space="preserve">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w:t>
      </w:r>
      <w:proofErr w:type="gramStart"/>
      <w:r w:rsidR="00CB24D3">
        <w:rPr>
          <w:lang w:val="en-US"/>
        </w:rPr>
        <w:t>e.g.</w:t>
      </w:r>
      <w:proofErr w:type="gramEnd"/>
      <w:r w:rsidR="00CB24D3">
        <w:rPr>
          <w:lang w:val="en-US"/>
        </w:rPr>
        <w:t xml:space="preserve">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w:t>
      </w:r>
      <w:proofErr w:type="gramStart"/>
      <w:r w:rsidR="004C12B5">
        <w:rPr>
          <w:lang w:val="en-US"/>
        </w:rPr>
        <w:t>i.e.</w:t>
      </w:r>
      <w:proofErr w:type="gramEnd"/>
      <w:r w:rsidR="004C12B5">
        <w:rPr>
          <w:lang w:val="en-US"/>
        </w:rPr>
        <w:t xml:space="preserv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vivo thinks that RAN1 does not see the need for </w:t>
            </w:r>
            <w:proofErr w:type="gramStart"/>
            <w:r w:rsidRPr="00A16EAF">
              <w:rPr>
                <w:rFonts w:ascii="Arial" w:eastAsia="MS Mincho" w:hAnsi="Arial"/>
                <w:sz w:val="21"/>
                <w:lang w:val="en-US" w:eastAsia="en-GB"/>
              </w:rPr>
              <w:t>this</w:t>
            </w:r>
            <w:proofErr w:type="gramEnd"/>
            <w:r w:rsidRPr="00A16EAF">
              <w:rPr>
                <w:rFonts w:ascii="Arial" w:eastAsia="MS Mincho" w:hAnsi="Arial"/>
                <w:sz w:val="21"/>
                <w:lang w:val="en-US" w:eastAsia="en-GB"/>
              </w:rPr>
              <w:t xml:space="preserve">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Apple thinks that RAN1 discussed that there </w:t>
            </w:r>
            <w:proofErr w:type="gramStart"/>
            <w:r w:rsidRPr="00A16EAF">
              <w:rPr>
                <w:rFonts w:ascii="Arial" w:eastAsia="MS Mincho" w:hAnsi="Arial"/>
                <w:sz w:val="21"/>
                <w:lang w:val="en-US" w:eastAsia="en-GB"/>
              </w:rPr>
              <w:t>has to</w:t>
            </w:r>
            <w:proofErr w:type="gramEnd"/>
            <w:r w:rsidRPr="00A16EAF">
              <w:rPr>
                <w:rFonts w:ascii="Arial" w:eastAsia="MS Mincho" w:hAnsi="Arial"/>
                <w:sz w:val="21"/>
                <w:lang w:val="en-US" w:eastAsia="en-GB"/>
              </w:rPr>
              <w:t xml:space="preserve">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4F03A8ED" w:rsidR="00136E01" w:rsidRPr="00F85A5B" w:rsidRDefault="00136E01" w:rsidP="00AD6978">
            <w:pPr>
              <w:pStyle w:val="BodyText"/>
              <w:rPr>
                <w:rFonts w:eastAsia="DengXian"/>
                <w:bCs/>
                <w:lang w:val="en-US"/>
              </w:rPr>
            </w:pPr>
          </w:p>
        </w:tc>
        <w:tc>
          <w:tcPr>
            <w:tcW w:w="1560" w:type="dxa"/>
          </w:tcPr>
          <w:p w14:paraId="292F9DE4" w14:textId="5A747825" w:rsidR="00136E01" w:rsidRPr="00F85A5B" w:rsidRDefault="00136E01" w:rsidP="00AD6978">
            <w:pPr>
              <w:pStyle w:val="BodyText"/>
              <w:rPr>
                <w:rFonts w:eastAsia="SimSun"/>
                <w:lang w:val="en-US"/>
              </w:rPr>
            </w:pPr>
          </w:p>
        </w:tc>
        <w:tc>
          <w:tcPr>
            <w:tcW w:w="6378" w:type="dxa"/>
          </w:tcPr>
          <w:p w14:paraId="11304392" w14:textId="77777777" w:rsidR="00136E01" w:rsidRPr="00F85A5B" w:rsidRDefault="00136E01" w:rsidP="006D4CF7">
            <w:pPr>
              <w:pStyle w:val="BodyText"/>
              <w:rPr>
                <w:rFonts w:eastAsia="SimSun"/>
                <w:lang w:val="en-US"/>
              </w:rPr>
            </w:pPr>
          </w:p>
        </w:tc>
      </w:tr>
      <w:tr w:rsidR="00136E01" w:rsidRPr="00F85A5B" w14:paraId="39D1CA24" w14:textId="77777777" w:rsidTr="00AD6978">
        <w:tc>
          <w:tcPr>
            <w:tcW w:w="1696" w:type="dxa"/>
          </w:tcPr>
          <w:p w14:paraId="36DB8EED" w14:textId="49FB76A6" w:rsidR="00136E01" w:rsidRPr="00F85A5B" w:rsidRDefault="00136E01" w:rsidP="00AD6978">
            <w:pPr>
              <w:pStyle w:val="BodyText"/>
              <w:rPr>
                <w:rFonts w:eastAsia="Malgun Gothic"/>
                <w:bCs/>
                <w:lang w:val="en-US" w:eastAsia="ko-KR"/>
              </w:rPr>
            </w:pPr>
          </w:p>
        </w:tc>
        <w:tc>
          <w:tcPr>
            <w:tcW w:w="1560" w:type="dxa"/>
          </w:tcPr>
          <w:p w14:paraId="2006F151" w14:textId="77777777" w:rsidR="00136E01" w:rsidRPr="00F85A5B" w:rsidRDefault="00136E01" w:rsidP="00AD6978">
            <w:pPr>
              <w:pStyle w:val="BodyText"/>
              <w:rPr>
                <w:rFonts w:eastAsia="SimSun"/>
                <w:lang w:val="en-US"/>
              </w:rPr>
            </w:pPr>
          </w:p>
        </w:tc>
        <w:tc>
          <w:tcPr>
            <w:tcW w:w="6378" w:type="dxa"/>
          </w:tcPr>
          <w:p w14:paraId="45647463" w14:textId="14382BF8" w:rsidR="00136E01" w:rsidRPr="00F85A5B" w:rsidRDefault="00136E01" w:rsidP="00AD6978">
            <w:pPr>
              <w:pStyle w:val="BodyText"/>
              <w:rPr>
                <w:rFonts w:eastAsia="SimSun"/>
                <w:lang w:val="en-US"/>
              </w:rPr>
            </w:pPr>
          </w:p>
        </w:tc>
      </w:tr>
      <w:tr w:rsidR="00136E01" w:rsidRPr="00F85A5B" w14:paraId="1A8D9548" w14:textId="77777777" w:rsidTr="00AD6978">
        <w:tc>
          <w:tcPr>
            <w:tcW w:w="1696" w:type="dxa"/>
          </w:tcPr>
          <w:p w14:paraId="40448831" w14:textId="77777777" w:rsidR="00136E01" w:rsidRPr="00F85A5B" w:rsidRDefault="00136E01" w:rsidP="00AD6978">
            <w:pPr>
              <w:pStyle w:val="BodyText"/>
              <w:rPr>
                <w:rFonts w:eastAsia="Malgun Gothic"/>
                <w:bCs/>
                <w:lang w:val="en-US" w:eastAsia="ko-KR"/>
              </w:rPr>
            </w:pPr>
          </w:p>
        </w:tc>
        <w:tc>
          <w:tcPr>
            <w:tcW w:w="1560" w:type="dxa"/>
          </w:tcPr>
          <w:p w14:paraId="202993B9" w14:textId="77777777" w:rsidR="00136E01" w:rsidRPr="00F85A5B" w:rsidRDefault="00136E01" w:rsidP="00AD6978">
            <w:pPr>
              <w:pStyle w:val="BodyText"/>
              <w:rPr>
                <w:rFonts w:eastAsia="SimSun"/>
                <w:lang w:val="en-US"/>
              </w:rPr>
            </w:pPr>
          </w:p>
        </w:tc>
        <w:tc>
          <w:tcPr>
            <w:tcW w:w="6378" w:type="dxa"/>
          </w:tcPr>
          <w:p w14:paraId="7614E477" w14:textId="77777777" w:rsidR="00136E01" w:rsidRPr="00F85A5B" w:rsidRDefault="00136E01" w:rsidP="00AD6978">
            <w:pPr>
              <w:pStyle w:val="BodyText"/>
              <w:rPr>
                <w:rFonts w:eastAsia="SimSun"/>
                <w:lang w:val="en-US"/>
              </w:rPr>
            </w:pPr>
          </w:p>
        </w:tc>
      </w:tr>
      <w:tr w:rsidR="00136E01" w:rsidRPr="00F85A5B" w14:paraId="2A1D9D8B" w14:textId="77777777" w:rsidTr="00AD6978">
        <w:tc>
          <w:tcPr>
            <w:tcW w:w="1696" w:type="dxa"/>
          </w:tcPr>
          <w:p w14:paraId="44A49BEF" w14:textId="77777777" w:rsidR="00136E01" w:rsidRPr="00F85A5B" w:rsidRDefault="00136E01" w:rsidP="00AD6978">
            <w:pPr>
              <w:pStyle w:val="BodyText"/>
              <w:rPr>
                <w:rFonts w:eastAsia="Malgun Gothic"/>
                <w:bCs/>
                <w:lang w:val="en-US" w:eastAsia="ko-KR"/>
              </w:rPr>
            </w:pPr>
          </w:p>
        </w:tc>
        <w:tc>
          <w:tcPr>
            <w:tcW w:w="1560" w:type="dxa"/>
          </w:tcPr>
          <w:p w14:paraId="79FF032D" w14:textId="77777777" w:rsidR="00136E01" w:rsidRPr="00F85A5B" w:rsidRDefault="00136E01" w:rsidP="00AD6978">
            <w:pPr>
              <w:pStyle w:val="BodyText"/>
              <w:rPr>
                <w:rFonts w:eastAsia="SimSun"/>
                <w:lang w:val="en-US"/>
              </w:rPr>
            </w:pPr>
          </w:p>
        </w:tc>
        <w:tc>
          <w:tcPr>
            <w:tcW w:w="6378" w:type="dxa"/>
          </w:tcPr>
          <w:p w14:paraId="4729D001" w14:textId="77777777" w:rsidR="00136E01" w:rsidRPr="00F85A5B" w:rsidRDefault="00136E01" w:rsidP="00AD6978">
            <w:pPr>
              <w:pStyle w:val="BodyText"/>
              <w:rPr>
                <w:rFonts w:eastAsia="SimSun"/>
                <w:lang w:val="en-US"/>
              </w:rPr>
            </w:pPr>
          </w:p>
        </w:tc>
      </w:tr>
      <w:tr w:rsidR="00136E01" w:rsidRPr="00F85A5B" w14:paraId="03D1B4D7" w14:textId="77777777" w:rsidTr="00AD6978">
        <w:tc>
          <w:tcPr>
            <w:tcW w:w="1696" w:type="dxa"/>
          </w:tcPr>
          <w:p w14:paraId="4D31958B" w14:textId="77777777" w:rsidR="00136E01" w:rsidRPr="00F85A5B" w:rsidRDefault="00136E01" w:rsidP="00AD6978">
            <w:pPr>
              <w:pStyle w:val="BodyText"/>
              <w:rPr>
                <w:rFonts w:eastAsia="Malgun Gothic"/>
                <w:bCs/>
                <w:lang w:val="en-US" w:eastAsia="ko-KR"/>
              </w:rPr>
            </w:pPr>
          </w:p>
        </w:tc>
        <w:tc>
          <w:tcPr>
            <w:tcW w:w="1560" w:type="dxa"/>
          </w:tcPr>
          <w:p w14:paraId="0242CA3E" w14:textId="77777777" w:rsidR="00136E01" w:rsidRPr="00F85A5B" w:rsidRDefault="00136E01" w:rsidP="00AD6978">
            <w:pPr>
              <w:pStyle w:val="BodyText"/>
              <w:rPr>
                <w:rFonts w:eastAsia="SimSun"/>
                <w:lang w:val="en-US"/>
              </w:rPr>
            </w:pPr>
          </w:p>
        </w:tc>
        <w:tc>
          <w:tcPr>
            <w:tcW w:w="6378" w:type="dxa"/>
          </w:tcPr>
          <w:p w14:paraId="575570B5" w14:textId="77777777" w:rsidR="00136E01" w:rsidRPr="00F85A5B" w:rsidRDefault="00136E01" w:rsidP="00AD6978">
            <w:pPr>
              <w:pStyle w:val="BodyText"/>
              <w:rPr>
                <w:rFonts w:eastAsia="SimSun"/>
                <w:lang w:val="en-US"/>
              </w:rPr>
            </w:pPr>
          </w:p>
        </w:tc>
      </w:tr>
      <w:tr w:rsidR="00136E01" w:rsidRPr="00F85A5B" w14:paraId="2F7E4B64" w14:textId="77777777" w:rsidTr="00AD6978">
        <w:tc>
          <w:tcPr>
            <w:tcW w:w="1696" w:type="dxa"/>
          </w:tcPr>
          <w:p w14:paraId="1F13417F" w14:textId="77777777" w:rsidR="00136E01" w:rsidRPr="00F85A5B" w:rsidRDefault="00136E01" w:rsidP="00AD6978">
            <w:pPr>
              <w:pStyle w:val="BodyText"/>
              <w:rPr>
                <w:rFonts w:eastAsia="Malgun Gothic"/>
                <w:bCs/>
                <w:lang w:val="en-US" w:eastAsia="ko-KR"/>
              </w:rPr>
            </w:pPr>
          </w:p>
        </w:tc>
        <w:tc>
          <w:tcPr>
            <w:tcW w:w="1560" w:type="dxa"/>
          </w:tcPr>
          <w:p w14:paraId="40C4711D" w14:textId="77777777" w:rsidR="00136E01" w:rsidRPr="00F85A5B" w:rsidRDefault="00136E01" w:rsidP="00AD6978">
            <w:pPr>
              <w:pStyle w:val="BodyText"/>
              <w:rPr>
                <w:rFonts w:eastAsia="SimSun"/>
                <w:lang w:val="en-US"/>
              </w:rPr>
            </w:pPr>
          </w:p>
        </w:tc>
        <w:tc>
          <w:tcPr>
            <w:tcW w:w="6378" w:type="dxa"/>
          </w:tcPr>
          <w:p w14:paraId="4B34466B" w14:textId="77777777" w:rsidR="00136E01" w:rsidRPr="00F85A5B" w:rsidRDefault="00136E01" w:rsidP="00AD6978">
            <w:pPr>
              <w:pStyle w:val="BodyText"/>
              <w:rPr>
                <w:rFonts w:eastAsia="SimSun"/>
                <w:lang w:val="en-US"/>
              </w:rPr>
            </w:pPr>
          </w:p>
        </w:tc>
      </w:tr>
      <w:tr w:rsidR="00136E01" w:rsidRPr="00F85A5B" w14:paraId="6411B215" w14:textId="77777777" w:rsidTr="00AD6978">
        <w:tc>
          <w:tcPr>
            <w:tcW w:w="1696" w:type="dxa"/>
          </w:tcPr>
          <w:p w14:paraId="1B1F10F9" w14:textId="77777777" w:rsidR="00136E01" w:rsidRPr="00F85A5B" w:rsidRDefault="00136E01" w:rsidP="00AD6978">
            <w:pPr>
              <w:pStyle w:val="BodyText"/>
              <w:rPr>
                <w:rFonts w:eastAsia="DengXian"/>
                <w:bCs/>
                <w:lang w:val="en-US"/>
              </w:rPr>
            </w:pPr>
          </w:p>
        </w:tc>
        <w:tc>
          <w:tcPr>
            <w:tcW w:w="1560" w:type="dxa"/>
          </w:tcPr>
          <w:p w14:paraId="11DAEB8A" w14:textId="77777777" w:rsidR="00136E01" w:rsidRPr="00F85A5B" w:rsidRDefault="00136E01" w:rsidP="00AD6978">
            <w:pPr>
              <w:pStyle w:val="BodyText"/>
              <w:rPr>
                <w:rFonts w:eastAsia="SimSun"/>
                <w:lang w:val="en-US"/>
              </w:rPr>
            </w:pPr>
          </w:p>
        </w:tc>
        <w:tc>
          <w:tcPr>
            <w:tcW w:w="6378" w:type="dxa"/>
          </w:tcPr>
          <w:p w14:paraId="168AC0C3" w14:textId="77777777" w:rsidR="00136E01" w:rsidRPr="00F85A5B" w:rsidRDefault="00136E01" w:rsidP="00AD6978">
            <w:pPr>
              <w:pStyle w:val="BodyText"/>
              <w:rPr>
                <w:rFonts w:eastAsia="SimSun"/>
                <w:lang w:val="en-US"/>
              </w:rPr>
            </w:pPr>
          </w:p>
        </w:tc>
      </w:tr>
      <w:tr w:rsidR="00136E01" w:rsidRPr="00F85A5B" w14:paraId="38175B3D" w14:textId="77777777" w:rsidTr="00AD6978">
        <w:tc>
          <w:tcPr>
            <w:tcW w:w="1696" w:type="dxa"/>
          </w:tcPr>
          <w:p w14:paraId="15E9C724" w14:textId="77777777" w:rsidR="00136E01" w:rsidRPr="00F85A5B" w:rsidRDefault="00136E01" w:rsidP="00AD6978">
            <w:pPr>
              <w:pStyle w:val="BodyText"/>
              <w:rPr>
                <w:rFonts w:eastAsia="Malgun Gothic"/>
                <w:bCs/>
                <w:lang w:val="en-US" w:eastAsia="ko-KR"/>
              </w:rPr>
            </w:pPr>
          </w:p>
        </w:tc>
        <w:tc>
          <w:tcPr>
            <w:tcW w:w="1560" w:type="dxa"/>
          </w:tcPr>
          <w:p w14:paraId="44897F0D" w14:textId="77777777" w:rsidR="00136E01" w:rsidRPr="00F85A5B" w:rsidRDefault="00136E01" w:rsidP="00AD6978">
            <w:pPr>
              <w:pStyle w:val="BodyText"/>
              <w:rPr>
                <w:rFonts w:eastAsia="SimSun"/>
                <w:lang w:val="en-US"/>
              </w:rPr>
            </w:pPr>
          </w:p>
        </w:tc>
        <w:tc>
          <w:tcPr>
            <w:tcW w:w="6378" w:type="dxa"/>
          </w:tcPr>
          <w:p w14:paraId="69DC00CB" w14:textId="77777777" w:rsidR="00136E01" w:rsidRPr="00F85A5B" w:rsidRDefault="00136E01" w:rsidP="00AD6978">
            <w:pPr>
              <w:pStyle w:val="BodyText"/>
              <w:rPr>
                <w:rFonts w:eastAsia="SimSun"/>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w:t>
      </w:r>
      <w:proofErr w:type="gramStart"/>
      <w:r w:rsidR="002F0ABB" w:rsidRPr="00F37F7E">
        <w:t>e.g.</w:t>
      </w:r>
      <w:proofErr w:type="gramEnd"/>
      <w:r w:rsidR="002F0ABB" w:rsidRPr="00F37F7E">
        <w:t xml:space="preserve">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w:t>
      </w:r>
      <w:proofErr w:type="gramStart"/>
      <w:r w:rsidR="0093107D" w:rsidRPr="00F37F7E">
        <w:rPr>
          <w:lang w:val="en-US"/>
        </w:rPr>
        <w:t>i.e.</w:t>
      </w:r>
      <w:proofErr w:type="gramEnd"/>
      <w:r w:rsidR="0093107D" w:rsidRPr="00F37F7E">
        <w:rPr>
          <w:lang w:val="en-US"/>
        </w:rPr>
        <w:t xml:space="preserv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w:t>
            </w:r>
            <w:proofErr w:type="gramStart"/>
            <w:r>
              <w:rPr>
                <w:b/>
                <w:bCs/>
                <w:sz w:val="20"/>
                <w:szCs w:val="20"/>
                <w:lang w:val="en-US"/>
              </w:rPr>
              <w:t>2:</w:t>
            </w:r>
            <w:r w:rsidR="00567B74" w:rsidRPr="00D3601D">
              <w:rPr>
                <w:b/>
                <w:bCs/>
                <w:sz w:val="20"/>
                <w:szCs w:val="20"/>
                <w:lang w:val="en-US"/>
              </w:rPr>
              <w:t>Apply</w:t>
            </w:r>
            <w:proofErr w:type="gramEnd"/>
            <w:r w:rsidR="00567B74" w:rsidRPr="00D3601D">
              <w:rPr>
                <w:b/>
                <w:bCs/>
                <w:sz w:val="20"/>
                <w:szCs w:val="20"/>
                <w:lang w:val="en-US"/>
              </w:rPr>
              <w:t xml:space="preserve">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3952EB4C" w:rsidR="00567B74" w:rsidRPr="00F85A5B" w:rsidRDefault="00567B74" w:rsidP="00AD6978">
            <w:pPr>
              <w:pStyle w:val="BodyText"/>
              <w:rPr>
                <w:rFonts w:eastAsia="DengXian"/>
                <w:bCs/>
                <w:lang w:val="en-US"/>
              </w:rPr>
            </w:pPr>
          </w:p>
        </w:tc>
        <w:tc>
          <w:tcPr>
            <w:tcW w:w="2127" w:type="dxa"/>
          </w:tcPr>
          <w:p w14:paraId="62AAC706" w14:textId="1AF80E8D" w:rsidR="00567B74" w:rsidRPr="00F85A5B" w:rsidRDefault="00567B74" w:rsidP="00AD6978">
            <w:pPr>
              <w:pStyle w:val="BodyText"/>
              <w:rPr>
                <w:rFonts w:eastAsia="SimSun"/>
                <w:lang w:val="en-US"/>
              </w:rPr>
            </w:pPr>
          </w:p>
        </w:tc>
        <w:tc>
          <w:tcPr>
            <w:tcW w:w="5811" w:type="dxa"/>
          </w:tcPr>
          <w:p w14:paraId="03678422" w14:textId="77777777" w:rsidR="00567B74" w:rsidRPr="00F85A5B" w:rsidRDefault="00567B74" w:rsidP="006D4CF7">
            <w:pPr>
              <w:pStyle w:val="BodyText"/>
              <w:rPr>
                <w:rFonts w:eastAsia="SimSun"/>
                <w:lang w:val="en-US"/>
              </w:rPr>
            </w:pPr>
          </w:p>
        </w:tc>
      </w:tr>
      <w:tr w:rsidR="00567B74" w:rsidRPr="00F85A5B" w14:paraId="6F00A0B6" w14:textId="77777777" w:rsidTr="00F743E2">
        <w:tc>
          <w:tcPr>
            <w:tcW w:w="1696" w:type="dxa"/>
          </w:tcPr>
          <w:p w14:paraId="2A51D040" w14:textId="3D19A5AA" w:rsidR="00567B74" w:rsidRPr="00F85A5B" w:rsidRDefault="00567B74" w:rsidP="00AD6978">
            <w:pPr>
              <w:pStyle w:val="BodyText"/>
              <w:rPr>
                <w:rFonts w:eastAsia="Malgun Gothic"/>
                <w:bCs/>
                <w:lang w:val="en-US" w:eastAsia="ko-KR"/>
              </w:rPr>
            </w:pPr>
          </w:p>
        </w:tc>
        <w:tc>
          <w:tcPr>
            <w:tcW w:w="2127" w:type="dxa"/>
          </w:tcPr>
          <w:p w14:paraId="1FAEE059" w14:textId="1BF5498B" w:rsidR="00567B74" w:rsidRPr="00F85A5B" w:rsidRDefault="00567B74" w:rsidP="00AD6978">
            <w:pPr>
              <w:pStyle w:val="BodyText"/>
              <w:rPr>
                <w:rFonts w:eastAsia="SimSun"/>
                <w:lang w:val="en-US"/>
              </w:rPr>
            </w:pPr>
          </w:p>
        </w:tc>
        <w:tc>
          <w:tcPr>
            <w:tcW w:w="5811" w:type="dxa"/>
          </w:tcPr>
          <w:p w14:paraId="12E1798C" w14:textId="2C132AB8" w:rsidR="006F79CC" w:rsidRPr="006F79CC" w:rsidRDefault="006F79CC" w:rsidP="00C33320">
            <w:pPr>
              <w:pStyle w:val="BodyText"/>
              <w:rPr>
                <w:rFonts w:eastAsia="SimSun"/>
                <w:lang w:val="en-GB"/>
              </w:rPr>
            </w:pPr>
          </w:p>
        </w:tc>
      </w:tr>
      <w:tr w:rsidR="00567B74" w:rsidRPr="00F85A5B" w14:paraId="2D9A3A09" w14:textId="77777777" w:rsidTr="00F743E2">
        <w:tc>
          <w:tcPr>
            <w:tcW w:w="1696" w:type="dxa"/>
          </w:tcPr>
          <w:p w14:paraId="06225072" w14:textId="77777777" w:rsidR="00567B74" w:rsidRPr="00F85A5B" w:rsidRDefault="00567B74" w:rsidP="00AD6978">
            <w:pPr>
              <w:pStyle w:val="BodyText"/>
              <w:rPr>
                <w:rFonts w:eastAsia="Malgun Gothic"/>
                <w:bCs/>
                <w:lang w:val="en-US" w:eastAsia="ko-KR"/>
              </w:rPr>
            </w:pPr>
          </w:p>
        </w:tc>
        <w:tc>
          <w:tcPr>
            <w:tcW w:w="2127" w:type="dxa"/>
          </w:tcPr>
          <w:p w14:paraId="6D74CF4C" w14:textId="77777777" w:rsidR="00567B74" w:rsidRPr="00F85A5B" w:rsidRDefault="00567B74" w:rsidP="00AD6978">
            <w:pPr>
              <w:pStyle w:val="BodyText"/>
              <w:rPr>
                <w:rFonts w:eastAsia="SimSun"/>
                <w:lang w:val="en-US"/>
              </w:rPr>
            </w:pPr>
          </w:p>
        </w:tc>
        <w:tc>
          <w:tcPr>
            <w:tcW w:w="5811" w:type="dxa"/>
          </w:tcPr>
          <w:p w14:paraId="3541850E" w14:textId="77777777" w:rsidR="00567B74" w:rsidRPr="00F85A5B" w:rsidRDefault="00567B74" w:rsidP="00AD6978">
            <w:pPr>
              <w:pStyle w:val="BodyText"/>
              <w:rPr>
                <w:rFonts w:eastAsia="SimSun"/>
                <w:lang w:val="en-US"/>
              </w:rPr>
            </w:pPr>
          </w:p>
        </w:tc>
      </w:tr>
      <w:tr w:rsidR="00567B74" w:rsidRPr="00F85A5B" w14:paraId="2DCB117B" w14:textId="77777777" w:rsidTr="00F743E2">
        <w:tc>
          <w:tcPr>
            <w:tcW w:w="1696" w:type="dxa"/>
          </w:tcPr>
          <w:p w14:paraId="10B13DD8" w14:textId="77777777" w:rsidR="00567B74" w:rsidRPr="00F85A5B" w:rsidRDefault="00567B74" w:rsidP="00AD6978">
            <w:pPr>
              <w:pStyle w:val="BodyText"/>
              <w:rPr>
                <w:rFonts w:eastAsia="Malgun Gothic"/>
                <w:bCs/>
                <w:lang w:val="en-US" w:eastAsia="ko-KR"/>
              </w:rPr>
            </w:pPr>
          </w:p>
        </w:tc>
        <w:tc>
          <w:tcPr>
            <w:tcW w:w="2127" w:type="dxa"/>
          </w:tcPr>
          <w:p w14:paraId="7A9E4163" w14:textId="77777777" w:rsidR="00567B74" w:rsidRPr="00F85A5B" w:rsidRDefault="00567B74" w:rsidP="00AD6978">
            <w:pPr>
              <w:pStyle w:val="BodyText"/>
              <w:rPr>
                <w:rFonts w:eastAsia="SimSun"/>
                <w:lang w:val="en-US"/>
              </w:rPr>
            </w:pPr>
          </w:p>
        </w:tc>
        <w:tc>
          <w:tcPr>
            <w:tcW w:w="5811" w:type="dxa"/>
          </w:tcPr>
          <w:p w14:paraId="243F5C77" w14:textId="77777777" w:rsidR="00567B74" w:rsidRPr="00F85A5B" w:rsidRDefault="00567B74" w:rsidP="00AD6978">
            <w:pPr>
              <w:pStyle w:val="BodyText"/>
              <w:rPr>
                <w:rFonts w:eastAsia="SimSun"/>
                <w:lang w:val="en-US"/>
              </w:rPr>
            </w:pPr>
          </w:p>
        </w:tc>
      </w:tr>
      <w:tr w:rsidR="00567B74" w:rsidRPr="00F85A5B" w14:paraId="05DDF72A" w14:textId="77777777" w:rsidTr="00F743E2">
        <w:tc>
          <w:tcPr>
            <w:tcW w:w="1696" w:type="dxa"/>
          </w:tcPr>
          <w:p w14:paraId="626A63C3" w14:textId="77777777" w:rsidR="00567B74" w:rsidRPr="00F85A5B" w:rsidRDefault="00567B74" w:rsidP="00AD6978">
            <w:pPr>
              <w:pStyle w:val="BodyText"/>
              <w:rPr>
                <w:rFonts w:eastAsia="Malgun Gothic"/>
                <w:bCs/>
                <w:lang w:val="en-US" w:eastAsia="ko-KR"/>
              </w:rPr>
            </w:pPr>
          </w:p>
        </w:tc>
        <w:tc>
          <w:tcPr>
            <w:tcW w:w="2127" w:type="dxa"/>
          </w:tcPr>
          <w:p w14:paraId="26822601" w14:textId="77777777" w:rsidR="00567B74" w:rsidRPr="00F85A5B" w:rsidRDefault="00567B74" w:rsidP="00AD6978">
            <w:pPr>
              <w:pStyle w:val="BodyText"/>
              <w:rPr>
                <w:rFonts w:eastAsia="SimSun"/>
                <w:lang w:val="en-US"/>
              </w:rPr>
            </w:pPr>
          </w:p>
        </w:tc>
        <w:tc>
          <w:tcPr>
            <w:tcW w:w="5811" w:type="dxa"/>
          </w:tcPr>
          <w:p w14:paraId="69F8B8FF" w14:textId="77777777" w:rsidR="00567B74" w:rsidRPr="00F85A5B" w:rsidRDefault="00567B74" w:rsidP="00AD6978">
            <w:pPr>
              <w:pStyle w:val="BodyText"/>
              <w:rPr>
                <w:rFonts w:eastAsia="SimSun"/>
                <w:lang w:val="en-US"/>
              </w:rPr>
            </w:pPr>
          </w:p>
        </w:tc>
      </w:tr>
      <w:tr w:rsidR="00567B74" w:rsidRPr="00F85A5B" w14:paraId="026D14A0" w14:textId="77777777" w:rsidTr="00F743E2">
        <w:tc>
          <w:tcPr>
            <w:tcW w:w="1696" w:type="dxa"/>
          </w:tcPr>
          <w:p w14:paraId="2F5FC8A5" w14:textId="77777777" w:rsidR="00567B74" w:rsidRPr="00F85A5B" w:rsidRDefault="00567B74" w:rsidP="00AD6978">
            <w:pPr>
              <w:pStyle w:val="BodyText"/>
              <w:rPr>
                <w:rFonts w:eastAsia="Malgun Gothic"/>
                <w:bCs/>
                <w:lang w:val="en-US" w:eastAsia="ko-KR"/>
              </w:rPr>
            </w:pPr>
          </w:p>
        </w:tc>
        <w:tc>
          <w:tcPr>
            <w:tcW w:w="2127" w:type="dxa"/>
          </w:tcPr>
          <w:p w14:paraId="08A1393D" w14:textId="77777777" w:rsidR="00567B74" w:rsidRPr="00F85A5B" w:rsidRDefault="00567B74" w:rsidP="00AD6978">
            <w:pPr>
              <w:pStyle w:val="BodyText"/>
              <w:rPr>
                <w:rFonts w:eastAsia="SimSun"/>
                <w:lang w:val="en-US"/>
              </w:rPr>
            </w:pPr>
          </w:p>
        </w:tc>
        <w:tc>
          <w:tcPr>
            <w:tcW w:w="5811" w:type="dxa"/>
          </w:tcPr>
          <w:p w14:paraId="2C1D7DBA" w14:textId="77777777" w:rsidR="00567B74" w:rsidRPr="00F85A5B" w:rsidRDefault="00567B74" w:rsidP="00AD6978">
            <w:pPr>
              <w:pStyle w:val="BodyText"/>
              <w:rPr>
                <w:rFonts w:eastAsia="SimSun"/>
                <w:lang w:val="en-US"/>
              </w:rPr>
            </w:pPr>
          </w:p>
        </w:tc>
      </w:tr>
      <w:tr w:rsidR="00567B74" w:rsidRPr="00F85A5B" w14:paraId="1DBD51D3" w14:textId="77777777" w:rsidTr="00F743E2">
        <w:tc>
          <w:tcPr>
            <w:tcW w:w="1696" w:type="dxa"/>
          </w:tcPr>
          <w:p w14:paraId="2DBCFF9D" w14:textId="77777777" w:rsidR="00567B74" w:rsidRPr="00F85A5B" w:rsidRDefault="00567B74" w:rsidP="00AD6978">
            <w:pPr>
              <w:pStyle w:val="BodyText"/>
              <w:rPr>
                <w:rFonts w:eastAsia="DengXian"/>
                <w:bCs/>
                <w:lang w:val="en-US"/>
              </w:rPr>
            </w:pPr>
          </w:p>
        </w:tc>
        <w:tc>
          <w:tcPr>
            <w:tcW w:w="2127" w:type="dxa"/>
          </w:tcPr>
          <w:p w14:paraId="46A6FA6F" w14:textId="77777777" w:rsidR="00567B74" w:rsidRPr="00F85A5B" w:rsidRDefault="00567B74" w:rsidP="00AD6978">
            <w:pPr>
              <w:pStyle w:val="BodyText"/>
              <w:rPr>
                <w:rFonts w:eastAsia="SimSun"/>
                <w:lang w:val="en-US"/>
              </w:rPr>
            </w:pPr>
          </w:p>
        </w:tc>
        <w:tc>
          <w:tcPr>
            <w:tcW w:w="5811" w:type="dxa"/>
          </w:tcPr>
          <w:p w14:paraId="0EE26159" w14:textId="77777777" w:rsidR="00567B74" w:rsidRPr="00F85A5B" w:rsidRDefault="00567B74" w:rsidP="00AD6978">
            <w:pPr>
              <w:pStyle w:val="BodyText"/>
              <w:rPr>
                <w:rFonts w:eastAsia="SimSun"/>
                <w:lang w:val="en-US"/>
              </w:rPr>
            </w:pPr>
          </w:p>
        </w:tc>
      </w:tr>
      <w:tr w:rsidR="00567B74" w:rsidRPr="00F85A5B" w14:paraId="071428F1" w14:textId="77777777" w:rsidTr="00F743E2">
        <w:tc>
          <w:tcPr>
            <w:tcW w:w="1696" w:type="dxa"/>
          </w:tcPr>
          <w:p w14:paraId="02F8D1DD" w14:textId="77777777" w:rsidR="00567B74" w:rsidRPr="00F85A5B" w:rsidRDefault="00567B74" w:rsidP="00AD6978">
            <w:pPr>
              <w:pStyle w:val="BodyText"/>
              <w:rPr>
                <w:rFonts w:eastAsia="Malgun Gothic"/>
                <w:bCs/>
                <w:lang w:val="en-US" w:eastAsia="ko-KR"/>
              </w:rPr>
            </w:pPr>
          </w:p>
        </w:tc>
        <w:tc>
          <w:tcPr>
            <w:tcW w:w="2127" w:type="dxa"/>
          </w:tcPr>
          <w:p w14:paraId="1E97C655" w14:textId="77777777" w:rsidR="00567B74" w:rsidRPr="00F85A5B" w:rsidRDefault="00567B74" w:rsidP="00AD6978">
            <w:pPr>
              <w:pStyle w:val="BodyText"/>
              <w:rPr>
                <w:rFonts w:eastAsia="SimSun"/>
                <w:lang w:val="en-US"/>
              </w:rPr>
            </w:pPr>
          </w:p>
        </w:tc>
        <w:tc>
          <w:tcPr>
            <w:tcW w:w="5811" w:type="dxa"/>
          </w:tcPr>
          <w:p w14:paraId="3FA06374" w14:textId="77777777" w:rsidR="00567B74" w:rsidRPr="00F85A5B" w:rsidRDefault="00567B74" w:rsidP="00AD6978">
            <w:pPr>
              <w:pStyle w:val="BodyText"/>
              <w:rPr>
                <w:rFonts w:eastAsia="SimSun"/>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proofErr w:type="gramStart"/>
      <w:r w:rsidR="003D3589" w:rsidRPr="0074626C">
        <w:rPr>
          <w:color w:val="AEAAAA" w:themeColor="background2" w:themeShade="BF"/>
        </w:rPr>
        <w:t>domain</w:t>
      </w:r>
      <w:proofErr w:type="gramEnd"/>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 xml:space="preserve">apporteur thinks it time to </w:t>
      </w:r>
      <w:proofErr w:type="gramStart"/>
      <w:r w:rsidRPr="0074626C">
        <w:rPr>
          <w:color w:val="AEAAAA" w:themeColor="background2" w:themeShade="BF"/>
        </w:rPr>
        <w:t>make a decision</w:t>
      </w:r>
      <w:proofErr w:type="gramEnd"/>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w:t>
      </w:r>
      <w:proofErr w:type="gramStart"/>
      <w:r w:rsidR="009A4A39" w:rsidRPr="003A3ECE">
        <w:rPr>
          <w:lang w:val="en-US"/>
        </w:rPr>
        <w:t>i.e.</w:t>
      </w:r>
      <w:proofErr w:type="gramEnd"/>
      <w:r w:rsidR="009A4A39" w:rsidRPr="003A3ECE">
        <w:rPr>
          <w:lang w:val="en-US"/>
        </w:rPr>
        <w:t xml:space="preserv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lastRenderedPageBreak/>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59"/>
        <w:gridCol w:w="1928"/>
        <w:gridCol w:w="6047"/>
      </w:tblGrid>
      <w:tr w:rsidR="002E4C1C" w:rsidRPr="00F85A5B" w14:paraId="3A9309A4" w14:textId="77777777" w:rsidTr="00AD6978">
        <w:tc>
          <w:tcPr>
            <w:tcW w:w="1696"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378"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AD6978">
        <w:tc>
          <w:tcPr>
            <w:tcW w:w="1696" w:type="dxa"/>
          </w:tcPr>
          <w:p w14:paraId="35E5A934" w14:textId="035D3A4B" w:rsidR="002E4C1C" w:rsidRPr="00F85A5B" w:rsidRDefault="002E4C1C" w:rsidP="00AD6978">
            <w:pPr>
              <w:pStyle w:val="BodyText"/>
              <w:rPr>
                <w:rFonts w:eastAsia="DengXian"/>
                <w:bCs/>
                <w:lang w:val="en-US"/>
              </w:rPr>
            </w:pPr>
          </w:p>
        </w:tc>
        <w:tc>
          <w:tcPr>
            <w:tcW w:w="1560" w:type="dxa"/>
          </w:tcPr>
          <w:p w14:paraId="4698F473" w14:textId="55E66929" w:rsidR="002E4C1C" w:rsidRPr="00F85A5B" w:rsidRDefault="002E4C1C" w:rsidP="00AD6978">
            <w:pPr>
              <w:pStyle w:val="BodyText"/>
              <w:rPr>
                <w:rFonts w:eastAsia="SimSun"/>
                <w:lang w:val="en-US"/>
              </w:rPr>
            </w:pPr>
          </w:p>
        </w:tc>
        <w:tc>
          <w:tcPr>
            <w:tcW w:w="6378" w:type="dxa"/>
          </w:tcPr>
          <w:p w14:paraId="5393C6C0" w14:textId="77777777" w:rsidR="002E4C1C" w:rsidRPr="00F85A5B" w:rsidRDefault="002E4C1C" w:rsidP="006D4CF7">
            <w:pPr>
              <w:pStyle w:val="BodyText"/>
              <w:rPr>
                <w:rFonts w:eastAsia="SimSun"/>
                <w:lang w:val="en-US"/>
              </w:rPr>
            </w:pPr>
          </w:p>
        </w:tc>
      </w:tr>
      <w:tr w:rsidR="002E4C1C" w:rsidRPr="00F85A5B" w14:paraId="703BAFF3" w14:textId="77777777" w:rsidTr="00AD6978">
        <w:tc>
          <w:tcPr>
            <w:tcW w:w="1696" w:type="dxa"/>
          </w:tcPr>
          <w:p w14:paraId="18A37072" w14:textId="2A91F982" w:rsidR="002E4C1C" w:rsidRPr="00F85A5B" w:rsidRDefault="002E4C1C" w:rsidP="00AD6978">
            <w:pPr>
              <w:pStyle w:val="BodyText"/>
              <w:rPr>
                <w:rFonts w:eastAsia="Malgun Gothic"/>
                <w:bCs/>
                <w:lang w:val="en-US" w:eastAsia="ko-KR"/>
              </w:rPr>
            </w:pPr>
          </w:p>
        </w:tc>
        <w:tc>
          <w:tcPr>
            <w:tcW w:w="1560" w:type="dxa"/>
          </w:tcPr>
          <w:p w14:paraId="511D7B96" w14:textId="012DD238" w:rsidR="002E4C1C" w:rsidRPr="00F85A5B" w:rsidRDefault="002E4C1C" w:rsidP="00AD6978">
            <w:pPr>
              <w:pStyle w:val="BodyText"/>
              <w:rPr>
                <w:rFonts w:eastAsia="SimSun"/>
                <w:lang w:val="en-US"/>
              </w:rPr>
            </w:pPr>
          </w:p>
        </w:tc>
        <w:tc>
          <w:tcPr>
            <w:tcW w:w="6378" w:type="dxa"/>
          </w:tcPr>
          <w:p w14:paraId="731B0FD7" w14:textId="765AAAC9" w:rsidR="002E4C1C" w:rsidRPr="00F85A5B" w:rsidRDefault="002E4C1C" w:rsidP="00AD6978">
            <w:pPr>
              <w:pStyle w:val="BodyText"/>
              <w:rPr>
                <w:rFonts w:eastAsia="SimSun"/>
                <w:lang w:val="en-US"/>
              </w:rPr>
            </w:pPr>
          </w:p>
        </w:tc>
      </w:tr>
      <w:tr w:rsidR="002E4C1C" w:rsidRPr="00F85A5B" w14:paraId="48DED62A" w14:textId="77777777" w:rsidTr="00AD6978">
        <w:tc>
          <w:tcPr>
            <w:tcW w:w="1696" w:type="dxa"/>
          </w:tcPr>
          <w:p w14:paraId="3CD9FF6E" w14:textId="77777777" w:rsidR="002E4C1C" w:rsidRPr="00F85A5B" w:rsidRDefault="002E4C1C" w:rsidP="00AD6978">
            <w:pPr>
              <w:pStyle w:val="BodyText"/>
              <w:rPr>
                <w:rFonts w:eastAsia="Malgun Gothic"/>
                <w:bCs/>
                <w:lang w:val="en-US" w:eastAsia="ko-KR"/>
              </w:rPr>
            </w:pPr>
          </w:p>
        </w:tc>
        <w:tc>
          <w:tcPr>
            <w:tcW w:w="1560" w:type="dxa"/>
          </w:tcPr>
          <w:p w14:paraId="1228E612" w14:textId="77777777" w:rsidR="002E4C1C" w:rsidRPr="00F85A5B" w:rsidRDefault="002E4C1C" w:rsidP="00AD6978">
            <w:pPr>
              <w:pStyle w:val="BodyText"/>
              <w:rPr>
                <w:rFonts w:eastAsia="SimSun"/>
                <w:lang w:val="en-US"/>
              </w:rPr>
            </w:pPr>
          </w:p>
        </w:tc>
        <w:tc>
          <w:tcPr>
            <w:tcW w:w="6378" w:type="dxa"/>
          </w:tcPr>
          <w:p w14:paraId="460F027A" w14:textId="77777777" w:rsidR="002E4C1C" w:rsidRPr="00F85A5B" w:rsidRDefault="002E4C1C" w:rsidP="00AD6978">
            <w:pPr>
              <w:pStyle w:val="BodyText"/>
              <w:rPr>
                <w:rFonts w:eastAsia="SimSun"/>
                <w:lang w:val="en-US"/>
              </w:rPr>
            </w:pPr>
          </w:p>
        </w:tc>
      </w:tr>
      <w:tr w:rsidR="002E4C1C" w:rsidRPr="00F85A5B" w14:paraId="28373DA7" w14:textId="77777777" w:rsidTr="00AD6978">
        <w:tc>
          <w:tcPr>
            <w:tcW w:w="1696" w:type="dxa"/>
          </w:tcPr>
          <w:p w14:paraId="27CAECEA" w14:textId="77777777" w:rsidR="002E4C1C" w:rsidRPr="00F85A5B" w:rsidRDefault="002E4C1C" w:rsidP="00AD6978">
            <w:pPr>
              <w:pStyle w:val="BodyText"/>
              <w:rPr>
                <w:rFonts w:eastAsia="Malgun Gothic"/>
                <w:bCs/>
                <w:lang w:val="en-US" w:eastAsia="ko-KR"/>
              </w:rPr>
            </w:pPr>
          </w:p>
        </w:tc>
        <w:tc>
          <w:tcPr>
            <w:tcW w:w="1560" w:type="dxa"/>
          </w:tcPr>
          <w:p w14:paraId="2EEF96D0" w14:textId="77777777" w:rsidR="002E4C1C" w:rsidRPr="00F85A5B" w:rsidRDefault="002E4C1C" w:rsidP="00AD6978">
            <w:pPr>
              <w:pStyle w:val="BodyText"/>
              <w:rPr>
                <w:rFonts w:eastAsia="SimSun"/>
                <w:lang w:val="en-US"/>
              </w:rPr>
            </w:pPr>
          </w:p>
        </w:tc>
        <w:tc>
          <w:tcPr>
            <w:tcW w:w="6378" w:type="dxa"/>
          </w:tcPr>
          <w:p w14:paraId="3879802E" w14:textId="77777777" w:rsidR="002E4C1C" w:rsidRPr="00F85A5B" w:rsidRDefault="002E4C1C" w:rsidP="00AD6978">
            <w:pPr>
              <w:pStyle w:val="BodyText"/>
              <w:rPr>
                <w:rFonts w:eastAsia="SimSun"/>
                <w:lang w:val="en-US"/>
              </w:rPr>
            </w:pPr>
          </w:p>
        </w:tc>
      </w:tr>
      <w:tr w:rsidR="002E4C1C" w:rsidRPr="00F85A5B" w14:paraId="302F0262" w14:textId="77777777" w:rsidTr="00AD6978">
        <w:tc>
          <w:tcPr>
            <w:tcW w:w="1696" w:type="dxa"/>
          </w:tcPr>
          <w:p w14:paraId="6A44FA72" w14:textId="77777777" w:rsidR="002E4C1C" w:rsidRPr="00F85A5B" w:rsidRDefault="002E4C1C" w:rsidP="00AD6978">
            <w:pPr>
              <w:pStyle w:val="BodyText"/>
              <w:rPr>
                <w:rFonts w:eastAsia="Malgun Gothic"/>
                <w:bCs/>
                <w:lang w:val="en-US" w:eastAsia="ko-KR"/>
              </w:rPr>
            </w:pPr>
          </w:p>
        </w:tc>
        <w:tc>
          <w:tcPr>
            <w:tcW w:w="1560" w:type="dxa"/>
          </w:tcPr>
          <w:p w14:paraId="7348CBE4" w14:textId="77777777" w:rsidR="002E4C1C" w:rsidRPr="00F85A5B" w:rsidRDefault="002E4C1C" w:rsidP="00AD6978">
            <w:pPr>
              <w:pStyle w:val="BodyText"/>
              <w:rPr>
                <w:rFonts w:eastAsia="SimSun"/>
                <w:lang w:val="en-US"/>
              </w:rPr>
            </w:pPr>
          </w:p>
        </w:tc>
        <w:tc>
          <w:tcPr>
            <w:tcW w:w="6378" w:type="dxa"/>
          </w:tcPr>
          <w:p w14:paraId="4AC2D9EC" w14:textId="77777777" w:rsidR="002E4C1C" w:rsidRPr="00F85A5B" w:rsidRDefault="002E4C1C" w:rsidP="00AD6978">
            <w:pPr>
              <w:pStyle w:val="BodyText"/>
              <w:rPr>
                <w:rFonts w:eastAsia="SimSun"/>
                <w:lang w:val="en-US"/>
              </w:rPr>
            </w:pPr>
          </w:p>
        </w:tc>
      </w:tr>
      <w:tr w:rsidR="002E4C1C" w:rsidRPr="00F85A5B" w14:paraId="033A4D88" w14:textId="77777777" w:rsidTr="00AD6978">
        <w:tc>
          <w:tcPr>
            <w:tcW w:w="1696" w:type="dxa"/>
          </w:tcPr>
          <w:p w14:paraId="167B46AA" w14:textId="77777777" w:rsidR="002E4C1C" w:rsidRPr="00F85A5B" w:rsidRDefault="002E4C1C" w:rsidP="00AD6978">
            <w:pPr>
              <w:pStyle w:val="BodyText"/>
              <w:rPr>
                <w:rFonts w:eastAsia="Malgun Gothic"/>
                <w:bCs/>
                <w:lang w:val="en-US" w:eastAsia="ko-KR"/>
              </w:rPr>
            </w:pPr>
          </w:p>
        </w:tc>
        <w:tc>
          <w:tcPr>
            <w:tcW w:w="1560" w:type="dxa"/>
          </w:tcPr>
          <w:p w14:paraId="1252B22A" w14:textId="77777777" w:rsidR="002E4C1C" w:rsidRPr="00F85A5B" w:rsidRDefault="002E4C1C" w:rsidP="00AD6978">
            <w:pPr>
              <w:pStyle w:val="BodyText"/>
              <w:rPr>
                <w:rFonts w:eastAsia="SimSun"/>
                <w:lang w:val="en-US"/>
              </w:rPr>
            </w:pPr>
          </w:p>
        </w:tc>
        <w:tc>
          <w:tcPr>
            <w:tcW w:w="6378" w:type="dxa"/>
          </w:tcPr>
          <w:p w14:paraId="0989B6E6" w14:textId="77777777" w:rsidR="002E4C1C" w:rsidRPr="00F85A5B" w:rsidRDefault="002E4C1C" w:rsidP="00AD6978">
            <w:pPr>
              <w:pStyle w:val="BodyText"/>
              <w:rPr>
                <w:rFonts w:eastAsia="SimSun"/>
                <w:lang w:val="en-US"/>
              </w:rPr>
            </w:pPr>
          </w:p>
        </w:tc>
      </w:tr>
      <w:tr w:rsidR="002E4C1C" w:rsidRPr="00F85A5B" w14:paraId="2C7118AB" w14:textId="77777777" w:rsidTr="00AD6978">
        <w:tc>
          <w:tcPr>
            <w:tcW w:w="1696" w:type="dxa"/>
          </w:tcPr>
          <w:p w14:paraId="6EBD01D1" w14:textId="77777777" w:rsidR="002E4C1C" w:rsidRPr="00F85A5B" w:rsidRDefault="002E4C1C" w:rsidP="00AD6978">
            <w:pPr>
              <w:pStyle w:val="BodyText"/>
              <w:rPr>
                <w:rFonts w:eastAsia="DengXian"/>
                <w:bCs/>
                <w:lang w:val="en-US"/>
              </w:rPr>
            </w:pPr>
          </w:p>
        </w:tc>
        <w:tc>
          <w:tcPr>
            <w:tcW w:w="1560" w:type="dxa"/>
          </w:tcPr>
          <w:p w14:paraId="63FB9D98" w14:textId="77777777" w:rsidR="002E4C1C" w:rsidRPr="00F85A5B" w:rsidRDefault="002E4C1C" w:rsidP="00AD6978">
            <w:pPr>
              <w:pStyle w:val="BodyText"/>
              <w:rPr>
                <w:rFonts w:eastAsia="SimSun"/>
                <w:lang w:val="en-US"/>
              </w:rPr>
            </w:pPr>
          </w:p>
        </w:tc>
        <w:tc>
          <w:tcPr>
            <w:tcW w:w="6378" w:type="dxa"/>
          </w:tcPr>
          <w:p w14:paraId="46D9CBED" w14:textId="77777777" w:rsidR="002E4C1C" w:rsidRPr="00F85A5B" w:rsidRDefault="002E4C1C" w:rsidP="00AD6978">
            <w:pPr>
              <w:pStyle w:val="BodyText"/>
              <w:rPr>
                <w:rFonts w:eastAsia="SimSun"/>
                <w:lang w:val="en-US"/>
              </w:rPr>
            </w:pPr>
          </w:p>
        </w:tc>
      </w:tr>
      <w:tr w:rsidR="002E4C1C" w:rsidRPr="00F85A5B" w14:paraId="07818AAE" w14:textId="77777777" w:rsidTr="00AD6978">
        <w:tc>
          <w:tcPr>
            <w:tcW w:w="1696" w:type="dxa"/>
          </w:tcPr>
          <w:p w14:paraId="09CC1C3C" w14:textId="77777777" w:rsidR="002E4C1C" w:rsidRPr="00F85A5B" w:rsidRDefault="002E4C1C" w:rsidP="00AD6978">
            <w:pPr>
              <w:pStyle w:val="BodyText"/>
              <w:rPr>
                <w:rFonts w:eastAsia="Malgun Gothic"/>
                <w:bCs/>
                <w:lang w:val="en-US" w:eastAsia="ko-KR"/>
              </w:rPr>
            </w:pPr>
          </w:p>
        </w:tc>
        <w:tc>
          <w:tcPr>
            <w:tcW w:w="1560" w:type="dxa"/>
          </w:tcPr>
          <w:p w14:paraId="7663E18A" w14:textId="77777777" w:rsidR="002E4C1C" w:rsidRPr="00F85A5B" w:rsidRDefault="002E4C1C" w:rsidP="00AD6978">
            <w:pPr>
              <w:pStyle w:val="BodyText"/>
              <w:rPr>
                <w:rFonts w:eastAsia="SimSun"/>
                <w:lang w:val="en-US"/>
              </w:rPr>
            </w:pPr>
          </w:p>
        </w:tc>
        <w:tc>
          <w:tcPr>
            <w:tcW w:w="6378" w:type="dxa"/>
          </w:tcPr>
          <w:p w14:paraId="70D070BA" w14:textId="77777777" w:rsidR="002E4C1C" w:rsidRPr="00F85A5B" w:rsidRDefault="002E4C1C" w:rsidP="00AD6978">
            <w:pPr>
              <w:pStyle w:val="BodyText"/>
              <w:rPr>
                <w:rFonts w:eastAsia="SimSun"/>
                <w:lang w:val="en-US"/>
              </w:rPr>
            </w:pP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29704964" w:rsidR="002A24A6" w:rsidRPr="00F85A5B" w:rsidRDefault="002A24A6" w:rsidP="00AD6978">
            <w:pPr>
              <w:pStyle w:val="BodyText"/>
              <w:rPr>
                <w:rFonts w:eastAsia="DengXian"/>
                <w:bCs/>
                <w:lang w:val="en-US"/>
              </w:rPr>
            </w:pPr>
          </w:p>
        </w:tc>
        <w:tc>
          <w:tcPr>
            <w:tcW w:w="1560" w:type="dxa"/>
          </w:tcPr>
          <w:p w14:paraId="64CD3797" w14:textId="7CF97C58" w:rsidR="002A24A6" w:rsidRPr="00F85A5B" w:rsidRDefault="002A24A6" w:rsidP="00AD6978">
            <w:pPr>
              <w:pStyle w:val="BodyText"/>
              <w:rPr>
                <w:rFonts w:eastAsia="SimSun"/>
                <w:lang w:val="en-US"/>
              </w:rPr>
            </w:pPr>
          </w:p>
        </w:tc>
        <w:tc>
          <w:tcPr>
            <w:tcW w:w="6378" w:type="dxa"/>
          </w:tcPr>
          <w:p w14:paraId="6DB93E9D" w14:textId="3D1DB4C9" w:rsidR="002A24A6" w:rsidRPr="00F85A5B" w:rsidRDefault="002A24A6" w:rsidP="00AD6978">
            <w:pPr>
              <w:pStyle w:val="BodyText"/>
              <w:rPr>
                <w:rFonts w:eastAsia="SimSun"/>
                <w:lang w:val="en-US"/>
              </w:rPr>
            </w:pPr>
          </w:p>
        </w:tc>
      </w:tr>
      <w:tr w:rsidR="002A24A6" w:rsidRPr="00F85A5B" w14:paraId="6DA41800" w14:textId="77777777" w:rsidTr="00AD6978">
        <w:tc>
          <w:tcPr>
            <w:tcW w:w="1696" w:type="dxa"/>
          </w:tcPr>
          <w:p w14:paraId="0D85DB88" w14:textId="53BC47E9" w:rsidR="002A24A6" w:rsidRPr="00F85A5B" w:rsidRDefault="002A24A6" w:rsidP="00AD6978">
            <w:pPr>
              <w:pStyle w:val="BodyText"/>
              <w:rPr>
                <w:rFonts w:eastAsia="Malgun Gothic"/>
                <w:bCs/>
                <w:lang w:val="en-US" w:eastAsia="ko-KR"/>
              </w:rPr>
            </w:pPr>
          </w:p>
        </w:tc>
        <w:tc>
          <w:tcPr>
            <w:tcW w:w="1560" w:type="dxa"/>
          </w:tcPr>
          <w:p w14:paraId="63439B30" w14:textId="11F84847" w:rsidR="002A24A6" w:rsidRPr="00F85A5B" w:rsidRDefault="002A24A6" w:rsidP="00AD6978">
            <w:pPr>
              <w:pStyle w:val="BodyText"/>
              <w:rPr>
                <w:rFonts w:eastAsia="SimSun"/>
                <w:lang w:val="en-US"/>
              </w:rPr>
            </w:pPr>
          </w:p>
        </w:tc>
        <w:tc>
          <w:tcPr>
            <w:tcW w:w="6378" w:type="dxa"/>
          </w:tcPr>
          <w:p w14:paraId="33A575C7" w14:textId="37AD6494" w:rsidR="002A24A6" w:rsidRPr="00F85A5B" w:rsidRDefault="002A24A6" w:rsidP="00AD6978">
            <w:pPr>
              <w:pStyle w:val="BodyText"/>
              <w:rPr>
                <w:rFonts w:eastAsia="SimSun"/>
                <w:lang w:val="en-US"/>
              </w:rPr>
            </w:pPr>
          </w:p>
        </w:tc>
      </w:tr>
      <w:tr w:rsidR="002A24A6" w:rsidRPr="00F85A5B" w14:paraId="4998978C" w14:textId="77777777" w:rsidTr="00AD6978">
        <w:tc>
          <w:tcPr>
            <w:tcW w:w="1696" w:type="dxa"/>
          </w:tcPr>
          <w:p w14:paraId="4B39A77E" w14:textId="77777777" w:rsidR="002A24A6" w:rsidRPr="00F85A5B" w:rsidRDefault="002A24A6" w:rsidP="00AD6978">
            <w:pPr>
              <w:pStyle w:val="BodyText"/>
              <w:rPr>
                <w:rFonts w:eastAsia="Malgun Gothic"/>
                <w:bCs/>
                <w:lang w:val="en-US" w:eastAsia="ko-KR"/>
              </w:rPr>
            </w:pPr>
          </w:p>
        </w:tc>
        <w:tc>
          <w:tcPr>
            <w:tcW w:w="1560" w:type="dxa"/>
          </w:tcPr>
          <w:p w14:paraId="7DDB7166" w14:textId="77777777" w:rsidR="002A24A6" w:rsidRPr="00F85A5B" w:rsidRDefault="002A24A6" w:rsidP="00AD6978">
            <w:pPr>
              <w:pStyle w:val="BodyText"/>
              <w:rPr>
                <w:rFonts w:eastAsia="SimSun"/>
                <w:lang w:val="en-US"/>
              </w:rPr>
            </w:pPr>
          </w:p>
        </w:tc>
        <w:tc>
          <w:tcPr>
            <w:tcW w:w="6378" w:type="dxa"/>
          </w:tcPr>
          <w:p w14:paraId="669A5415" w14:textId="77777777" w:rsidR="002A24A6" w:rsidRPr="00F85A5B" w:rsidRDefault="002A24A6" w:rsidP="00AD6978">
            <w:pPr>
              <w:pStyle w:val="BodyText"/>
              <w:rPr>
                <w:rFonts w:eastAsia="SimSun"/>
                <w:lang w:val="en-US"/>
              </w:rPr>
            </w:pPr>
          </w:p>
        </w:tc>
      </w:tr>
      <w:tr w:rsidR="002A24A6" w:rsidRPr="00F85A5B" w14:paraId="6E21426D" w14:textId="77777777" w:rsidTr="00AD6978">
        <w:tc>
          <w:tcPr>
            <w:tcW w:w="1696" w:type="dxa"/>
          </w:tcPr>
          <w:p w14:paraId="7DFAC19A" w14:textId="77777777" w:rsidR="002A24A6" w:rsidRPr="00F85A5B" w:rsidRDefault="002A24A6" w:rsidP="00AD6978">
            <w:pPr>
              <w:pStyle w:val="BodyText"/>
              <w:rPr>
                <w:rFonts w:eastAsia="Malgun Gothic"/>
                <w:bCs/>
                <w:lang w:val="en-US" w:eastAsia="ko-KR"/>
              </w:rPr>
            </w:pPr>
          </w:p>
        </w:tc>
        <w:tc>
          <w:tcPr>
            <w:tcW w:w="1560" w:type="dxa"/>
          </w:tcPr>
          <w:p w14:paraId="17E238CB" w14:textId="77777777" w:rsidR="002A24A6" w:rsidRPr="00F85A5B" w:rsidRDefault="002A24A6" w:rsidP="00AD6978">
            <w:pPr>
              <w:pStyle w:val="BodyText"/>
              <w:rPr>
                <w:rFonts w:eastAsia="SimSun"/>
                <w:lang w:val="en-US"/>
              </w:rPr>
            </w:pPr>
          </w:p>
        </w:tc>
        <w:tc>
          <w:tcPr>
            <w:tcW w:w="6378" w:type="dxa"/>
          </w:tcPr>
          <w:p w14:paraId="5CA9835C" w14:textId="77777777" w:rsidR="002A24A6" w:rsidRPr="00F85A5B" w:rsidRDefault="002A24A6" w:rsidP="00AD6978">
            <w:pPr>
              <w:pStyle w:val="BodyText"/>
              <w:rPr>
                <w:rFonts w:eastAsia="SimSun"/>
                <w:lang w:val="en-US"/>
              </w:rPr>
            </w:pPr>
          </w:p>
        </w:tc>
      </w:tr>
      <w:tr w:rsidR="002A24A6" w:rsidRPr="00F85A5B" w14:paraId="5A87F182" w14:textId="77777777" w:rsidTr="00AD6978">
        <w:tc>
          <w:tcPr>
            <w:tcW w:w="1696" w:type="dxa"/>
          </w:tcPr>
          <w:p w14:paraId="0CFE3FEB" w14:textId="77777777" w:rsidR="002A24A6" w:rsidRPr="00F85A5B" w:rsidRDefault="002A24A6" w:rsidP="00AD6978">
            <w:pPr>
              <w:pStyle w:val="BodyText"/>
              <w:rPr>
                <w:rFonts w:eastAsia="Malgun Gothic"/>
                <w:bCs/>
                <w:lang w:val="en-US" w:eastAsia="ko-KR"/>
              </w:rPr>
            </w:pPr>
          </w:p>
        </w:tc>
        <w:tc>
          <w:tcPr>
            <w:tcW w:w="1560" w:type="dxa"/>
          </w:tcPr>
          <w:p w14:paraId="10E6D8A4" w14:textId="77777777" w:rsidR="002A24A6" w:rsidRPr="00F85A5B" w:rsidRDefault="002A24A6" w:rsidP="00AD6978">
            <w:pPr>
              <w:pStyle w:val="BodyText"/>
              <w:rPr>
                <w:rFonts w:eastAsia="SimSun"/>
                <w:lang w:val="en-US"/>
              </w:rPr>
            </w:pPr>
          </w:p>
        </w:tc>
        <w:tc>
          <w:tcPr>
            <w:tcW w:w="6378" w:type="dxa"/>
          </w:tcPr>
          <w:p w14:paraId="0311BCE3" w14:textId="77777777" w:rsidR="002A24A6" w:rsidRPr="00F85A5B" w:rsidRDefault="002A24A6" w:rsidP="00AD6978">
            <w:pPr>
              <w:pStyle w:val="BodyText"/>
              <w:rPr>
                <w:rFonts w:eastAsia="SimSun"/>
                <w:lang w:val="en-US"/>
              </w:rPr>
            </w:pPr>
          </w:p>
        </w:tc>
      </w:tr>
      <w:tr w:rsidR="002A24A6" w:rsidRPr="00F85A5B" w14:paraId="3177851D" w14:textId="77777777" w:rsidTr="00AD6978">
        <w:tc>
          <w:tcPr>
            <w:tcW w:w="1696" w:type="dxa"/>
          </w:tcPr>
          <w:p w14:paraId="2C48E60A" w14:textId="77777777" w:rsidR="002A24A6" w:rsidRPr="00F85A5B" w:rsidRDefault="002A24A6" w:rsidP="00AD6978">
            <w:pPr>
              <w:pStyle w:val="BodyText"/>
              <w:rPr>
                <w:rFonts w:eastAsia="Malgun Gothic"/>
                <w:bCs/>
                <w:lang w:val="en-US" w:eastAsia="ko-KR"/>
              </w:rPr>
            </w:pPr>
          </w:p>
        </w:tc>
        <w:tc>
          <w:tcPr>
            <w:tcW w:w="1560" w:type="dxa"/>
          </w:tcPr>
          <w:p w14:paraId="03ADE800" w14:textId="77777777" w:rsidR="002A24A6" w:rsidRPr="00F85A5B" w:rsidRDefault="002A24A6" w:rsidP="00AD6978">
            <w:pPr>
              <w:pStyle w:val="BodyText"/>
              <w:rPr>
                <w:rFonts w:eastAsia="SimSun"/>
                <w:lang w:val="en-US"/>
              </w:rPr>
            </w:pPr>
          </w:p>
        </w:tc>
        <w:tc>
          <w:tcPr>
            <w:tcW w:w="6378" w:type="dxa"/>
          </w:tcPr>
          <w:p w14:paraId="41A9FDB9" w14:textId="77777777" w:rsidR="002A24A6" w:rsidRPr="00F85A5B" w:rsidRDefault="002A24A6" w:rsidP="00AD6978">
            <w:pPr>
              <w:pStyle w:val="BodyText"/>
              <w:rPr>
                <w:rFonts w:eastAsia="SimSun"/>
                <w:lang w:val="en-US"/>
              </w:rPr>
            </w:pPr>
          </w:p>
        </w:tc>
      </w:tr>
      <w:tr w:rsidR="002A24A6" w:rsidRPr="00F85A5B" w14:paraId="5F4F3424" w14:textId="77777777" w:rsidTr="00AD6978">
        <w:tc>
          <w:tcPr>
            <w:tcW w:w="1696" w:type="dxa"/>
          </w:tcPr>
          <w:p w14:paraId="513A7A62" w14:textId="77777777" w:rsidR="002A24A6" w:rsidRPr="00F85A5B" w:rsidRDefault="002A24A6" w:rsidP="00AD6978">
            <w:pPr>
              <w:pStyle w:val="BodyText"/>
              <w:rPr>
                <w:rFonts w:eastAsia="DengXian"/>
                <w:bCs/>
                <w:lang w:val="en-US"/>
              </w:rPr>
            </w:pPr>
          </w:p>
        </w:tc>
        <w:tc>
          <w:tcPr>
            <w:tcW w:w="1560" w:type="dxa"/>
          </w:tcPr>
          <w:p w14:paraId="4B75DB11" w14:textId="77777777" w:rsidR="002A24A6" w:rsidRPr="00F85A5B" w:rsidRDefault="002A24A6" w:rsidP="00AD6978">
            <w:pPr>
              <w:pStyle w:val="BodyText"/>
              <w:rPr>
                <w:rFonts w:eastAsia="SimSun"/>
                <w:lang w:val="en-US"/>
              </w:rPr>
            </w:pPr>
          </w:p>
        </w:tc>
        <w:tc>
          <w:tcPr>
            <w:tcW w:w="6378" w:type="dxa"/>
          </w:tcPr>
          <w:p w14:paraId="0361F060" w14:textId="77777777" w:rsidR="002A24A6" w:rsidRPr="00F85A5B" w:rsidRDefault="002A24A6" w:rsidP="00AD6978">
            <w:pPr>
              <w:pStyle w:val="BodyText"/>
              <w:rPr>
                <w:rFonts w:eastAsia="SimSun"/>
                <w:lang w:val="en-US"/>
              </w:rPr>
            </w:pPr>
          </w:p>
        </w:tc>
      </w:tr>
      <w:tr w:rsidR="002A24A6" w:rsidRPr="00F85A5B" w14:paraId="72F4453F" w14:textId="77777777" w:rsidTr="00AD6978">
        <w:tc>
          <w:tcPr>
            <w:tcW w:w="1696" w:type="dxa"/>
          </w:tcPr>
          <w:p w14:paraId="7C903BCA" w14:textId="77777777" w:rsidR="002A24A6" w:rsidRPr="00F85A5B" w:rsidRDefault="002A24A6" w:rsidP="00AD6978">
            <w:pPr>
              <w:pStyle w:val="BodyText"/>
              <w:rPr>
                <w:rFonts w:eastAsia="Malgun Gothic"/>
                <w:bCs/>
                <w:lang w:val="en-US" w:eastAsia="ko-KR"/>
              </w:rPr>
            </w:pPr>
          </w:p>
        </w:tc>
        <w:tc>
          <w:tcPr>
            <w:tcW w:w="1560" w:type="dxa"/>
          </w:tcPr>
          <w:p w14:paraId="4452B81B" w14:textId="77777777" w:rsidR="002A24A6" w:rsidRPr="00F85A5B" w:rsidRDefault="002A24A6" w:rsidP="00AD6978">
            <w:pPr>
              <w:pStyle w:val="BodyText"/>
              <w:rPr>
                <w:rFonts w:eastAsia="SimSun"/>
                <w:lang w:val="en-US"/>
              </w:rPr>
            </w:pPr>
          </w:p>
        </w:tc>
        <w:tc>
          <w:tcPr>
            <w:tcW w:w="6378" w:type="dxa"/>
          </w:tcPr>
          <w:p w14:paraId="346DCA3D" w14:textId="77777777" w:rsidR="002A24A6" w:rsidRPr="00F85A5B" w:rsidRDefault="002A24A6" w:rsidP="00AD6978">
            <w:pPr>
              <w:pStyle w:val="BodyText"/>
              <w:rPr>
                <w:rFonts w:eastAsia="SimSun"/>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xml:space="preserve">: There is some support for introducing neighboring cell </w:t>
      </w:r>
      <w:proofErr w:type="gramStart"/>
      <w:r>
        <w:rPr>
          <w:lang w:val="en-US"/>
        </w:rPr>
        <w:t>information</w:t>
      </w:r>
      <w:r w:rsidR="003154FF">
        <w:rPr>
          <w:lang w:val="en-US"/>
        </w:rPr>
        <w:t>, but</w:t>
      </w:r>
      <w:proofErr w:type="gramEnd"/>
      <w:r w:rsidR="003154FF">
        <w:rPr>
          <w:lang w:val="en-US"/>
        </w:rPr>
        <w:t xml:space="preserve">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w:t>
      </w:r>
      <w:proofErr w:type="gramStart"/>
      <w:r w:rsidR="00020013">
        <w:rPr>
          <w:lang w:val="en-US"/>
        </w:rPr>
        <w:t>e.g.</w:t>
      </w:r>
      <w:proofErr w:type="gramEnd"/>
      <w:r w:rsidR="00020013">
        <w:rPr>
          <w:lang w:val="en-US"/>
        </w:rPr>
        <w:t xml:space="preserve">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7CB550E7" w:rsidR="0051026F" w:rsidRPr="00F85A5B" w:rsidRDefault="0051026F" w:rsidP="00AD6978">
            <w:pPr>
              <w:pStyle w:val="BodyText"/>
              <w:rPr>
                <w:rFonts w:eastAsia="DengXian"/>
                <w:bCs/>
                <w:lang w:val="en-US"/>
              </w:rPr>
            </w:pPr>
          </w:p>
        </w:tc>
        <w:tc>
          <w:tcPr>
            <w:tcW w:w="1560" w:type="dxa"/>
          </w:tcPr>
          <w:p w14:paraId="2835DD80" w14:textId="52D6277A" w:rsidR="0051026F" w:rsidRPr="00F85A5B" w:rsidRDefault="0051026F" w:rsidP="00AD6978">
            <w:pPr>
              <w:pStyle w:val="BodyText"/>
              <w:rPr>
                <w:rFonts w:eastAsia="SimSun"/>
                <w:lang w:val="en-US"/>
              </w:rPr>
            </w:pPr>
          </w:p>
        </w:tc>
        <w:tc>
          <w:tcPr>
            <w:tcW w:w="6378" w:type="dxa"/>
          </w:tcPr>
          <w:p w14:paraId="6FE1CDF7" w14:textId="74D2B77D" w:rsidR="0051026F" w:rsidRPr="00F85A5B" w:rsidRDefault="005113D8" w:rsidP="00AD6978">
            <w:pPr>
              <w:pStyle w:val="BodyText"/>
              <w:rPr>
                <w:rFonts w:eastAsia="SimSun"/>
                <w:lang w:val="en-US"/>
              </w:rPr>
            </w:pPr>
            <w:r>
              <w:rPr>
                <w:rFonts w:eastAsia="SimSun"/>
                <w:lang w:val="en-US"/>
              </w:rPr>
              <w:t xml:space="preserve"> </w:t>
            </w:r>
          </w:p>
        </w:tc>
      </w:tr>
      <w:tr w:rsidR="0051026F" w:rsidRPr="00F85A5B" w14:paraId="4946F326" w14:textId="77777777" w:rsidTr="00AD6978">
        <w:tc>
          <w:tcPr>
            <w:tcW w:w="1696" w:type="dxa"/>
          </w:tcPr>
          <w:p w14:paraId="66CD0173" w14:textId="52EDA919" w:rsidR="0051026F" w:rsidRPr="00F85A5B" w:rsidRDefault="0051026F" w:rsidP="00AD6978">
            <w:pPr>
              <w:pStyle w:val="BodyText"/>
              <w:rPr>
                <w:rFonts w:eastAsia="Malgun Gothic"/>
                <w:bCs/>
                <w:lang w:val="en-US" w:eastAsia="ko-KR"/>
              </w:rPr>
            </w:pPr>
          </w:p>
        </w:tc>
        <w:tc>
          <w:tcPr>
            <w:tcW w:w="1560" w:type="dxa"/>
          </w:tcPr>
          <w:p w14:paraId="61BD935C" w14:textId="027D159A" w:rsidR="0051026F" w:rsidRPr="00F85A5B" w:rsidRDefault="0051026F" w:rsidP="00AD6978">
            <w:pPr>
              <w:pStyle w:val="BodyText"/>
              <w:rPr>
                <w:rFonts w:eastAsia="SimSun"/>
                <w:lang w:val="en-US"/>
              </w:rPr>
            </w:pPr>
          </w:p>
        </w:tc>
        <w:tc>
          <w:tcPr>
            <w:tcW w:w="6378" w:type="dxa"/>
          </w:tcPr>
          <w:p w14:paraId="40CB108E" w14:textId="791F9387" w:rsidR="0051026F" w:rsidRPr="00F85A5B" w:rsidRDefault="0051026F" w:rsidP="00AD6978">
            <w:pPr>
              <w:pStyle w:val="BodyText"/>
              <w:rPr>
                <w:rFonts w:eastAsia="SimSun"/>
                <w:lang w:val="en-US"/>
              </w:rPr>
            </w:pPr>
          </w:p>
        </w:tc>
      </w:tr>
      <w:tr w:rsidR="0051026F" w:rsidRPr="00F85A5B" w14:paraId="32F59D2D" w14:textId="77777777" w:rsidTr="00AD6978">
        <w:tc>
          <w:tcPr>
            <w:tcW w:w="1696" w:type="dxa"/>
          </w:tcPr>
          <w:p w14:paraId="41EAD14C" w14:textId="77777777" w:rsidR="0051026F" w:rsidRPr="00F85A5B" w:rsidRDefault="0051026F" w:rsidP="00AD6978">
            <w:pPr>
              <w:pStyle w:val="BodyText"/>
              <w:rPr>
                <w:rFonts w:eastAsia="Malgun Gothic"/>
                <w:bCs/>
                <w:lang w:val="en-US" w:eastAsia="ko-KR"/>
              </w:rPr>
            </w:pPr>
          </w:p>
        </w:tc>
        <w:tc>
          <w:tcPr>
            <w:tcW w:w="1560" w:type="dxa"/>
          </w:tcPr>
          <w:p w14:paraId="686C17F0" w14:textId="77777777" w:rsidR="0051026F" w:rsidRPr="00F85A5B" w:rsidRDefault="0051026F" w:rsidP="00AD6978">
            <w:pPr>
              <w:pStyle w:val="BodyText"/>
              <w:rPr>
                <w:rFonts w:eastAsia="SimSun"/>
                <w:lang w:val="en-US"/>
              </w:rPr>
            </w:pPr>
          </w:p>
        </w:tc>
        <w:tc>
          <w:tcPr>
            <w:tcW w:w="6378" w:type="dxa"/>
          </w:tcPr>
          <w:p w14:paraId="15DF4F65" w14:textId="77777777" w:rsidR="0051026F" w:rsidRPr="00F85A5B" w:rsidRDefault="0051026F" w:rsidP="00AD6978">
            <w:pPr>
              <w:pStyle w:val="BodyText"/>
              <w:rPr>
                <w:rFonts w:eastAsia="SimSun"/>
                <w:lang w:val="en-US"/>
              </w:rPr>
            </w:pPr>
          </w:p>
        </w:tc>
      </w:tr>
      <w:tr w:rsidR="0051026F" w:rsidRPr="00F85A5B" w14:paraId="319A3754" w14:textId="77777777" w:rsidTr="00AD6978">
        <w:tc>
          <w:tcPr>
            <w:tcW w:w="1696" w:type="dxa"/>
          </w:tcPr>
          <w:p w14:paraId="139B85C4" w14:textId="77777777" w:rsidR="0051026F" w:rsidRPr="00F85A5B" w:rsidRDefault="0051026F" w:rsidP="00AD6978">
            <w:pPr>
              <w:pStyle w:val="BodyText"/>
              <w:rPr>
                <w:rFonts w:eastAsia="Malgun Gothic"/>
                <w:bCs/>
                <w:lang w:val="en-US" w:eastAsia="ko-KR"/>
              </w:rPr>
            </w:pPr>
          </w:p>
        </w:tc>
        <w:tc>
          <w:tcPr>
            <w:tcW w:w="1560" w:type="dxa"/>
          </w:tcPr>
          <w:p w14:paraId="50676F71" w14:textId="77777777" w:rsidR="0051026F" w:rsidRPr="00F85A5B" w:rsidRDefault="0051026F" w:rsidP="00AD6978">
            <w:pPr>
              <w:pStyle w:val="BodyText"/>
              <w:rPr>
                <w:rFonts w:eastAsia="SimSun"/>
                <w:lang w:val="en-US"/>
              </w:rPr>
            </w:pPr>
          </w:p>
        </w:tc>
        <w:tc>
          <w:tcPr>
            <w:tcW w:w="6378" w:type="dxa"/>
          </w:tcPr>
          <w:p w14:paraId="2B2B2795" w14:textId="77777777" w:rsidR="0051026F" w:rsidRPr="00F85A5B" w:rsidRDefault="0051026F" w:rsidP="00AD6978">
            <w:pPr>
              <w:pStyle w:val="BodyText"/>
              <w:rPr>
                <w:rFonts w:eastAsia="SimSun"/>
                <w:lang w:val="en-US"/>
              </w:rPr>
            </w:pPr>
          </w:p>
        </w:tc>
      </w:tr>
      <w:tr w:rsidR="0051026F" w:rsidRPr="00F85A5B" w14:paraId="7408FC7C" w14:textId="77777777" w:rsidTr="00AD6978">
        <w:tc>
          <w:tcPr>
            <w:tcW w:w="1696" w:type="dxa"/>
          </w:tcPr>
          <w:p w14:paraId="04494DD6" w14:textId="77777777" w:rsidR="0051026F" w:rsidRPr="00F85A5B" w:rsidRDefault="0051026F" w:rsidP="00AD6978">
            <w:pPr>
              <w:pStyle w:val="BodyText"/>
              <w:rPr>
                <w:rFonts w:eastAsia="Malgun Gothic"/>
                <w:bCs/>
                <w:lang w:val="en-US" w:eastAsia="ko-KR"/>
              </w:rPr>
            </w:pPr>
          </w:p>
        </w:tc>
        <w:tc>
          <w:tcPr>
            <w:tcW w:w="1560" w:type="dxa"/>
          </w:tcPr>
          <w:p w14:paraId="0B3BC6B0" w14:textId="77777777" w:rsidR="0051026F" w:rsidRPr="00F85A5B" w:rsidRDefault="0051026F" w:rsidP="00AD6978">
            <w:pPr>
              <w:pStyle w:val="BodyText"/>
              <w:rPr>
                <w:rFonts w:eastAsia="SimSun"/>
                <w:lang w:val="en-US"/>
              </w:rPr>
            </w:pPr>
          </w:p>
        </w:tc>
        <w:tc>
          <w:tcPr>
            <w:tcW w:w="6378" w:type="dxa"/>
          </w:tcPr>
          <w:p w14:paraId="0F420D68" w14:textId="77777777" w:rsidR="0051026F" w:rsidRPr="00F85A5B" w:rsidRDefault="0051026F" w:rsidP="00AD6978">
            <w:pPr>
              <w:pStyle w:val="BodyText"/>
              <w:rPr>
                <w:rFonts w:eastAsia="SimSun"/>
                <w:lang w:val="en-US"/>
              </w:rPr>
            </w:pPr>
          </w:p>
        </w:tc>
      </w:tr>
      <w:tr w:rsidR="0051026F" w:rsidRPr="00F85A5B" w14:paraId="04BD5710" w14:textId="77777777" w:rsidTr="00AD6978">
        <w:tc>
          <w:tcPr>
            <w:tcW w:w="1696" w:type="dxa"/>
          </w:tcPr>
          <w:p w14:paraId="17CB199C" w14:textId="77777777" w:rsidR="0051026F" w:rsidRPr="00F85A5B" w:rsidRDefault="0051026F" w:rsidP="00AD6978">
            <w:pPr>
              <w:pStyle w:val="BodyText"/>
              <w:rPr>
                <w:rFonts w:eastAsia="Malgun Gothic"/>
                <w:bCs/>
                <w:lang w:val="en-US" w:eastAsia="ko-KR"/>
              </w:rPr>
            </w:pPr>
          </w:p>
        </w:tc>
        <w:tc>
          <w:tcPr>
            <w:tcW w:w="1560" w:type="dxa"/>
          </w:tcPr>
          <w:p w14:paraId="65A23330" w14:textId="77777777" w:rsidR="0051026F" w:rsidRPr="00F85A5B" w:rsidRDefault="0051026F" w:rsidP="00AD6978">
            <w:pPr>
              <w:pStyle w:val="BodyText"/>
              <w:rPr>
                <w:rFonts w:eastAsia="SimSun"/>
                <w:lang w:val="en-US"/>
              </w:rPr>
            </w:pPr>
          </w:p>
        </w:tc>
        <w:tc>
          <w:tcPr>
            <w:tcW w:w="6378" w:type="dxa"/>
          </w:tcPr>
          <w:p w14:paraId="1A929726" w14:textId="77777777" w:rsidR="0051026F" w:rsidRPr="00F85A5B" w:rsidRDefault="0051026F" w:rsidP="00AD6978">
            <w:pPr>
              <w:pStyle w:val="BodyText"/>
              <w:rPr>
                <w:rFonts w:eastAsia="SimSun"/>
                <w:lang w:val="en-US"/>
              </w:rPr>
            </w:pPr>
          </w:p>
        </w:tc>
      </w:tr>
      <w:tr w:rsidR="0051026F" w:rsidRPr="00F85A5B" w14:paraId="6FB56186" w14:textId="77777777" w:rsidTr="00AD6978">
        <w:tc>
          <w:tcPr>
            <w:tcW w:w="1696" w:type="dxa"/>
          </w:tcPr>
          <w:p w14:paraId="6EC1B483" w14:textId="77777777" w:rsidR="0051026F" w:rsidRPr="00F85A5B" w:rsidRDefault="0051026F" w:rsidP="00AD6978">
            <w:pPr>
              <w:pStyle w:val="BodyText"/>
              <w:rPr>
                <w:rFonts w:eastAsia="DengXian"/>
                <w:bCs/>
                <w:lang w:val="en-US"/>
              </w:rPr>
            </w:pPr>
          </w:p>
        </w:tc>
        <w:tc>
          <w:tcPr>
            <w:tcW w:w="1560" w:type="dxa"/>
          </w:tcPr>
          <w:p w14:paraId="1836EC2B" w14:textId="77777777" w:rsidR="0051026F" w:rsidRPr="00F85A5B" w:rsidRDefault="0051026F" w:rsidP="00AD6978">
            <w:pPr>
              <w:pStyle w:val="BodyText"/>
              <w:rPr>
                <w:rFonts w:eastAsia="SimSun"/>
                <w:lang w:val="en-US"/>
              </w:rPr>
            </w:pPr>
          </w:p>
        </w:tc>
        <w:tc>
          <w:tcPr>
            <w:tcW w:w="6378" w:type="dxa"/>
          </w:tcPr>
          <w:p w14:paraId="0E0EFABA" w14:textId="77777777" w:rsidR="0051026F" w:rsidRPr="00F85A5B" w:rsidRDefault="0051026F" w:rsidP="00AD6978">
            <w:pPr>
              <w:pStyle w:val="BodyText"/>
              <w:rPr>
                <w:rFonts w:eastAsia="SimSun"/>
                <w:lang w:val="en-US"/>
              </w:rPr>
            </w:pPr>
          </w:p>
        </w:tc>
      </w:tr>
      <w:tr w:rsidR="0051026F" w:rsidRPr="00F85A5B" w14:paraId="4D52810B" w14:textId="77777777" w:rsidTr="00AD6978">
        <w:tc>
          <w:tcPr>
            <w:tcW w:w="1696" w:type="dxa"/>
          </w:tcPr>
          <w:p w14:paraId="1C6B351D" w14:textId="77777777" w:rsidR="0051026F" w:rsidRPr="00F85A5B" w:rsidRDefault="0051026F" w:rsidP="00AD6978">
            <w:pPr>
              <w:pStyle w:val="BodyText"/>
              <w:rPr>
                <w:rFonts w:eastAsia="Malgun Gothic"/>
                <w:bCs/>
                <w:lang w:val="en-US" w:eastAsia="ko-KR"/>
              </w:rPr>
            </w:pPr>
          </w:p>
        </w:tc>
        <w:tc>
          <w:tcPr>
            <w:tcW w:w="1560" w:type="dxa"/>
          </w:tcPr>
          <w:p w14:paraId="57E14E82" w14:textId="77777777" w:rsidR="0051026F" w:rsidRPr="00F85A5B" w:rsidRDefault="0051026F" w:rsidP="00AD6978">
            <w:pPr>
              <w:pStyle w:val="BodyText"/>
              <w:rPr>
                <w:rFonts w:eastAsia="SimSun"/>
                <w:lang w:val="en-US"/>
              </w:rPr>
            </w:pPr>
          </w:p>
        </w:tc>
        <w:tc>
          <w:tcPr>
            <w:tcW w:w="6378" w:type="dxa"/>
          </w:tcPr>
          <w:p w14:paraId="798DBB2C" w14:textId="77777777" w:rsidR="0051026F" w:rsidRPr="00F85A5B" w:rsidRDefault="0051026F" w:rsidP="00AD6978">
            <w:pPr>
              <w:pStyle w:val="BodyText"/>
              <w:rPr>
                <w:rFonts w:eastAsia="SimSun"/>
                <w:lang w:val="en-US"/>
              </w:rPr>
            </w:pP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lastRenderedPageBreak/>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w:t>
      </w:r>
      <w:proofErr w:type="gramStart"/>
      <w:r>
        <w:rPr>
          <w:lang w:val="en-US"/>
        </w:rPr>
        <w:t>e.g.</w:t>
      </w:r>
      <w:proofErr w:type="gramEnd"/>
      <w:r>
        <w:rPr>
          <w:lang w:val="en-US"/>
        </w:rPr>
        <w:t xml:space="preserve">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proofErr w:type="gramStart"/>
      <w:r w:rsidR="00257603">
        <w:rPr>
          <w:lang w:val="en-US"/>
        </w:rPr>
        <w:t>particular issues</w:t>
      </w:r>
      <w:proofErr w:type="gramEnd"/>
      <w:r w:rsidR="00257603">
        <w:rPr>
          <w:lang w:val="en-US"/>
        </w:rPr>
        <w:t xml:space="preserve">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w:t>
      </w:r>
      <w:proofErr w:type="gramStart"/>
      <w:r w:rsidR="00195443">
        <w:rPr>
          <w:lang w:val="en-US"/>
        </w:rPr>
        <w:t>e.g.</w:t>
      </w:r>
      <w:proofErr w:type="gramEnd"/>
      <w:r w:rsidR="00195443">
        <w:rPr>
          <w:lang w:val="en-US"/>
        </w:rPr>
        <w:t xml:space="preserve"> Qrxlevmin, Qualmin,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2A1E8489" w:rsidR="00BD5060" w:rsidRPr="00F85A5B" w:rsidRDefault="00BD5060" w:rsidP="00AD6978">
            <w:pPr>
              <w:pStyle w:val="BodyText"/>
              <w:rPr>
                <w:rFonts w:eastAsia="DengXian"/>
                <w:bCs/>
                <w:lang w:val="en-US"/>
              </w:rPr>
            </w:pPr>
          </w:p>
        </w:tc>
        <w:tc>
          <w:tcPr>
            <w:tcW w:w="1560" w:type="dxa"/>
          </w:tcPr>
          <w:p w14:paraId="0C79CD76" w14:textId="59584366" w:rsidR="00BD5060" w:rsidRPr="00F85A5B" w:rsidRDefault="00BD5060" w:rsidP="00AD6978">
            <w:pPr>
              <w:pStyle w:val="BodyText"/>
              <w:rPr>
                <w:rFonts w:eastAsia="SimSun"/>
                <w:lang w:val="en-US"/>
              </w:rPr>
            </w:pPr>
          </w:p>
        </w:tc>
        <w:tc>
          <w:tcPr>
            <w:tcW w:w="6378" w:type="dxa"/>
          </w:tcPr>
          <w:p w14:paraId="20D045FB" w14:textId="77777777" w:rsidR="00BD5060" w:rsidRPr="00F85A5B" w:rsidRDefault="00BD5060" w:rsidP="006D4CF7">
            <w:pPr>
              <w:pStyle w:val="BodyText"/>
              <w:rPr>
                <w:rFonts w:eastAsia="SimSun"/>
                <w:lang w:val="en-US"/>
              </w:rPr>
            </w:pPr>
          </w:p>
        </w:tc>
      </w:tr>
      <w:tr w:rsidR="00BD5060" w:rsidRPr="00F85A5B" w14:paraId="6F94641D" w14:textId="77777777" w:rsidTr="00AD6978">
        <w:tc>
          <w:tcPr>
            <w:tcW w:w="1696" w:type="dxa"/>
          </w:tcPr>
          <w:p w14:paraId="79DD92DC" w14:textId="6FCF457F" w:rsidR="00BD5060" w:rsidRPr="00F85A5B" w:rsidRDefault="00BD5060" w:rsidP="00AD6978">
            <w:pPr>
              <w:pStyle w:val="BodyText"/>
              <w:rPr>
                <w:rFonts w:eastAsia="Malgun Gothic"/>
                <w:bCs/>
                <w:lang w:val="en-US" w:eastAsia="ko-KR"/>
              </w:rPr>
            </w:pPr>
          </w:p>
        </w:tc>
        <w:tc>
          <w:tcPr>
            <w:tcW w:w="1560" w:type="dxa"/>
          </w:tcPr>
          <w:p w14:paraId="4457F9BB" w14:textId="7DAA0F25" w:rsidR="00BD5060" w:rsidRPr="00F85A5B" w:rsidRDefault="00BD5060" w:rsidP="00AD6978">
            <w:pPr>
              <w:pStyle w:val="BodyText"/>
              <w:rPr>
                <w:rFonts w:eastAsia="SimSun"/>
                <w:lang w:val="en-US"/>
              </w:rPr>
            </w:pPr>
          </w:p>
        </w:tc>
        <w:tc>
          <w:tcPr>
            <w:tcW w:w="6378" w:type="dxa"/>
          </w:tcPr>
          <w:p w14:paraId="7E1465DA" w14:textId="0438CB42" w:rsidR="00015685" w:rsidRPr="00F85A5B" w:rsidRDefault="00015685" w:rsidP="00AD6978">
            <w:pPr>
              <w:pStyle w:val="BodyText"/>
              <w:rPr>
                <w:rFonts w:eastAsia="SimSun"/>
                <w:lang w:val="en-US"/>
              </w:rPr>
            </w:pPr>
          </w:p>
        </w:tc>
      </w:tr>
      <w:tr w:rsidR="00BD5060" w:rsidRPr="00F85A5B" w14:paraId="58F67946" w14:textId="77777777" w:rsidTr="00AD6978">
        <w:tc>
          <w:tcPr>
            <w:tcW w:w="1696" w:type="dxa"/>
          </w:tcPr>
          <w:p w14:paraId="2AD1998F" w14:textId="77777777" w:rsidR="00BD5060" w:rsidRPr="00F85A5B" w:rsidRDefault="00BD5060" w:rsidP="00AD6978">
            <w:pPr>
              <w:pStyle w:val="BodyText"/>
              <w:rPr>
                <w:rFonts w:eastAsia="Malgun Gothic"/>
                <w:bCs/>
                <w:lang w:val="en-US" w:eastAsia="ko-KR"/>
              </w:rPr>
            </w:pPr>
          </w:p>
        </w:tc>
        <w:tc>
          <w:tcPr>
            <w:tcW w:w="1560" w:type="dxa"/>
          </w:tcPr>
          <w:p w14:paraId="45FCC184" w14:textId="77777777" w:rsidR="00BD5060" w:rsidRPr="00F85A5B" w:rsidRDefault="00BD5060" w:rsidP="00AD6978">
            <w:pPr>
              <w:pStyle w:val="BodyText"/>
              <w:rPr>
                <w:rFonts w:eastAsia="SimSun"/>
                <w:lang w:val="en-US"/>
              </w:rPr>
            </w:pPr>
          </w:p>
        </w:tc>
        <w:tc>
          <w:tcPr>
            <w:tcW w:w="6378" w:type="dxa"/>
          </w:tcPr>
          <w:p w14:paraId="0C98B222" w14:textId="77777777" w:rsidR="00BD5060" w:rsidRPr="00F85A5B" w:rsidRDefault="00BD5060" w:rsidP="00AD6978">
            <w:pPr>
              <w:pStyle w:val="BodyText"/>
              <w:rPr>
                <w:rFonts w:eastAsia="SimSun"/>
                <w:lang w:val="en-US"/>
              </w:rPr>
            </w:pPr>
          </w:p>
        </w:tc>
      </w:tr>
      <w:tr w:rsidR="00BD5060" w:rsidRPr="00F85A5B" w14:paraId="205996C0" w14:textId="77777777" w:rsidTr="00AD6978">
        <w:tc>
          <w:tcPr>
            <w:tcW w:w="1696" w:type="dxa"/>
          </w:tcPr>
          <w:p w14:paraId="029751BE" w14:textId="77777777" w:rsidR="00BD5060" w:rsidRPr="00F85A5B" w:rsidRDefault="00BD5060" w:rsidP="00AD6978">
            <w:pPr>
              <w:pStyle w:val="BodyText"/>
              <w:rPr>
                <w:rFonts w:eastAsia="Malgun Gothic"/>
                <w:bCs/>
                <w:lang w:val="en-US" w:eastAsia="ko-KR"/>
              </w:rPr>
            </w:pPr>
          </w:p>
        </w:tc>
        <w:tc>
          <w:tcPr>
            <w:tcW w:w="1560" w:type="dxa"/>
          </w:tcPr>
          <w:p w14:paraId="02279B4D" w14:textId="77777777" w:rsidR="00BD5060" w:rsidRPr="00F85A5B" w:rsidRDefault="00BD5060" w:rsidP="00AD6978">
            <w:pPr>
              <w:pStyle w:val="BodyText"/>
              <w:rPr>
                <w:rFonts w:eastAsia="SimSun"/>
                <w:lang w:val="en-US"/>
              </w:rPr>
            </w:pPr>
          </w:p>
        </w:tc>
        <w:tc>
          <w:tcPr>
            <w:tcW w:w="6378" w:type="dxa"/>
          </w:tcPr>
          <w:p w14:paraId="447D9212" w14:textId="77777777" w:rsidR="00BD5060" w:rsidRPr="00F85A5B" w:rsidRDefault="00BD5060" w:rsidP="00AD6978">
            <w:pPr>
              <w:pStyle w:val="BodyText"/>
              <w:rPr>
                <w:rFonts w:eastAsia="SimSun"/>
                <w:lang w:val="en-US"/>
              </w:rPr>
            </w:pPr>
          </w:p>
        </w:tc>
      </w:tr>
      <w:tr w:rsidR="00BD5060" w:rsidRPr="00F85A5B" w14:paraId="61B4F33C" w14:textId="77777777" w:rsidTr="00AD6978">
        <w:tc>
          <w:tcPr>
            <w:tcW w:w="1696" w:type="dxa"/>
          </w:tcPr>
          <w:p w14:paraId="27F90A42" w14:textId="77777777" w:rsidR="00BD5060" w:rsidRPr="00F85A5B" w:rsidRDefault="00BD5060" w:rsidP="00AD6978">
            <w:pPr>
              <w:pStyle w:val="BodyText"/>
              <w:rPr>
                <w:rFonts w:eastAsia="Malgun Gothic"/>
                <w:bCs/>
                <w:lang w:val="en-US" w:eastAsia="ko-KR"/>
              </w:rPr>
            </w:pPr>
          </w:p>
        </w:tc>
        <w:tc>
          <w:tcPr>
            <w:tcW w:w="1560" w:type="dxa"/>
          </w:tcPr>
          <w:p w14:paraId="180B5CE5" w14:textId="77777777" w:rsidR="00BD5060" w:rsidRPr="00F85A5B" w:rsidRDefault="00BD5060" w:rsidP="00AD6978">
            <w:pPr>
              <w:pStyle w:val="BodyText"/>
              <w:rPr>
                <w:rFonts w:eastAsia="SimSun"/>
                <w:lang w:val="en-US"/>
              </w:rPr>
            </w:pPr>
          </w:p>
        </w:tc>
        <w:tc>
          <w:tcPr>
            <w:tcW w:w="6378" w:type="dxa"/>
          </w:tcPr>
          <w:p w14:paraId="06F78BA5" w14:textId="77777777" w:rsidR="00BD5060" w:rsidRPr="00F85A5B" w:rsidRDefault="00BD5060" w:rsidP="00AD6978">
            <w:pPr>
              <w:pStyle w:val="BodyText"/>
              <w:rPr>
                <w:rFonts w:eastAsia="SimSun"/>
                <w:lang w:val="en-US"/>
              </w:rPr>
            </w:pPr>
          </w:p>
        </w:tc>
      </w:tr>
      <w:tr w:rsidR="00BD5060" w:rsidRPr="00F85A5B" w14:paraId="5634EDA2" w14:textId="77777777" w:rsidTr="00AD6978">
        <w:tc>
          <w:tcPr>
            <w:tcW w:w="1696" w:type="dxa"/>
          </w:tcPr>
          <w:p w14:paraId="75E42AC5" w14:textId="77777777" w:rsidR="00BD5060" w:rsidRPr="00F85A5B" w:rsidRDefault="00BD5060" w:rsidP="00AD6978">
            <w:pPr>
              <w:pStyle w:val="BodyText"/>
              <w:rPr>
                <w:rFonts w:eastAsia="Malgun Gothic"/>
                <w:bCs/>
                <w:lang w:val="en-US" w:eastAsia="ko-KR"/>
              </w:rPr>
            </w:pPr>
          </w:p>
        </w:tc>
        <w:tc>
          <w:tcPr>
            <w:tcW w:w="1560" w:type="dxa"/>
          </w:tcPr>
          <w:p w14:paraId="4D49CFEF" w14:textId="77777777" w:rsidR="00BD5060" w:rsidRPr="00F85A5B" w:rsidRDefault="00BD5060" w:rsidP="00AD6978">
            <w:pPr>
              <w:pStyle w:val="BodyText"/>
              <w:rPr>
                <w:rFonts w:eastAsia="SimSun"/>
                <w:lang w:val="en-US"/>
              </w:rPr>
            </w:pPr>
          </w:p>
        </w:tc>
        <w:tc>
          <w:tcPr>
            <w:tcW w:w="6378" w:type="dxa"/>
          </w:tcPr>
          <w:p w14:paraId="23BAF425" w14:textId="77777777" w:rsidR="00BD5060" w:rsidRPr="00F85A5B" w:rsidRDefault="00BD5060" w:rsidP="00AD6978">
            <w:pPr>
              <w:pStyle w:val="BodyText"/>
              <w:rPr>
                <w:rFonts w:eastAsia="SimSun"/>
                <w:lang w:val="en-US"/>
              </w:rPr>
            </w:pPr>
          </w:p>
        </w:tc>
      </w:tr>
      <w:tr w:rsidR="00BD5060" w:rsidRPr="00F85A5B" w14:paraId="57866B52" w14:textId="77777777" w:rsidTr="00AD6978">
        <w:tc>
          <w:tcPr>
            <w:tcW w:w="1696" w:type="dxa"/>
          </w:tcPr>
          <w:p w14:paraId="478D308D" w14:textId="77777777" w:rsidR="00BD5060" w:rsidRPr="00F85A5B" w:rsidRDefault="00BD5060" w:rsidP="00AD6978">
            <w:pPr>
              <w:pStyle w:val="BodyText"/>
              <w:rPr>
                <w:rFonts w:eastAsia="DengXian"/>
                <w:bCs/>
                <w:lang w:val="en-US"/>
              </w:rPr>
            </w:pPr>
          </w:p>
        </w:tc>
        <w:tc>
          <w:tcPr>
            <w:tcW w:w="1560" w:type="dxa"/>
          </w:tcPr>
          <w:p w14:paraId="0E8C5CC1" w14:textId="77777777" w:rsidR="00BD5060" w:rsidRPr="00F85A5B" w:rsidRDefault="00BD5060" w:rsidP="00AD6978">
            <w:pPr>
              <w:pStyle w:val="BodyText"/>
              <w:rPr>
                <w:rFonts w:eastAsia="SimSun"/>
                <w:lang w:val="en-US"/>
              </w:rPr>
            </w:pPr>
          </w:p>
        </w:tc>
        <w:tc>
          <w:tcPr>
            <w:tcW w:w="6378" w:type="dxa"/>
          </w:tcPr>
          <w:p w14:paraId="39CF0F30" w14:textId="77777777" w:rsidR="00BD5060" w:rsidRPr="00F85A5B" w:rsidRDefault="00BD5060" w:rsidP="00AD6978">
            <w:pPr>
              <w:pStyle w:val="BodyText"/>
              <w:rPr>
                <w:rFonts w:eastAsia="SimSun"/>
                <w:lang w:val="en-US"/>
              </w:rPr>
            </w:pPr>
          </w:p>
        </w:tc>
      </w:tr>
      <w:tr w:rsidR="00BD5060" w:rsidRPr="00F85A5B" w14:paraId="395B1F62" w14:textId="77777777" w:rsidTr="00AD6978">
        <w:tc>
          <w:tcPr>
            <w:tcW w:w="1696" w:type="dxa"/>
          </w:tcPr>
          <w:p w14:paraId="5ACFFC2F" w14:textId="77777777" w:rsidR="00BD5060" w:rsidRPr="00F85A5B" w:rsidRDefault="00BD5060" w:rsidP="00AD6978">
            <w:pPr>
              <w:pStyle w:val="BodyText"/>
              <w:rPr>
                <w:rFonts w:eastAsia="Malgun Gothic"/>
                <w:bCs/>
                <w:lang w:val="en-US" w:eastAsia="ko-KR"/>
              </w:rPr>
            </w:pPr>
          </w:p>
        </w:tc>
        <w:tc>
          <w:tcPr>
            <w:tcW w:w="1560" w:type="dxa"/>
          </w:tcPr>
          <w:p w14:paraId="780A7747" w14:textId="77777777" w:rsidR="00BD5060" w:rsidRPr="00F85A5B" w:rsidRDefault="00BD5060" w:rsidP="00AD6978">
            <w:pPr>
              <w:pStyle w:val="BodyText"/>
              <w:rPr>
                <w:rFonts w:eastAsia="SimSun"/>
                <w:lang w:val="en-US"/>
              </w:rPr>
            </w:pPr>
          </w:p>
        </w:tc>
        <w:tc>
          <w:tcPr>
            <w:tcW w:w="6378" w:type="dxa"/>
          </w:tcPr>
          <w:p w14:paraId="448EE7B0" w14:textId="77777777" w:rsidR="00BD5060" w:rsidRPr="00F85A5B" w:rsidRDefault="00BD5060" w:rsidP="00AD6978">
            <w:pPr>
              <w:pStyle w:val="BodyText"/>
              <w:rPr>
                <w:rFonts w:eastAsia="SimSun"/>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lastRenderedPageBreak/>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9D90" w14:textId="77777777" w:rsidR="00BB08B3" w:rsidRDefault="00BB08B3">
      <w:r>
        <w:separator/>
      </w:r>
    </w:p>
  </w:endnote>
  <w:endnote w:type="continuationSeparator" w:id="0">
    <w:p w14:paraId="432419A9" w14:textId="77777777" w:rsidR="00BB08B3" w:rsidRDefault="00BB08B3">
      <w:r>
        <w:continuationSeparator/>
      </w:r>
    </w:p>
  </w:endnote>
  <w:endnote w:type="continuationNotice" w:id="1">
    <w:p w14:paraId="290FA22F" w14:textId="77777777" w:rsidR="00BB08B3" w:rsidRDefault="00BB08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CE5A00" w:rsidRDefault="00CE5A0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A777" w14:textId="77777777" w:rsidR="00BB08B3" w:rsidRDefault="00BB08B3">
      <w:r>
        <w:separator/>
      </w:r>
    </w:p>
  </w:footnote>
  <w:footnote w:type="continuationSeparator" w:id="0">
    <w:p w14:paraId="57282D1B" w14:textId="77777777" w:rsidR="00BB08B3" w:rsidRDefault="00BB08B3">
      <w:r>
        <w:continuationSeparator/>
      </w:r>
    </w:p>
  </w:footnote>
  <w:footnote w:type="continuationNotice" w:id="1">
    <w:p w14:paraId="1D86D26B" w14:textId="77777777" w:rsidR="00BB08B3" w:rsidRDefault="00BB08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E5A00" w:rsidRDefault="00CE5A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6F5"/>
    <w:rsid w:val="0000564C"/>
    <w:rsid w:val="0000570F"/>
    <w:rsid w:val="00006446"/>
    <w:rsid w:val="00006896"/>
    <w:rsid w:val="00007CDC"/>
    <w:rsid w:val="00007FD2"/>
    <w:rsid w:val="00011B28"/>
    <w:rsid w:val="00011FFC"/>
    <w:rsid w:val="000128F6"/>
    <w:rsid w:val="00012AB0"/>
    <w:rsid w:val="00014477"/>
    <w:rsid w:val="00015685"/>
    <w:rsid w:val="00015D15"/>
    <w:rsid w:val="00020013"/>
    <w:rsid w:val="0002564D"/>
    <w:rsid w:val="00025ECA"/>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C26"/>
    <w:rsid w:val="00145819"/>
    <w:rsid w:val="00151A40"/>
    <w:rsid w:val="00151E23"/>
    <w:rsid w:val="001523F9"/>
    <w:rsid w:val="001526E0"/>
    <w:rsid w:val="001530F9"/>
    <w:rsid w:val="00153E0F"/>
    <w:rsid w:val="001551B5"/>
    <w:rsid w:val="00163AC6"/>
    <w:rsid w:val="001647EE"/>
    <w:rsid w:val="001659C1"/>
    <w:rsid w:val="00167254"/>
    <w:rsid w:val="00170F27"/>
    <w:rsid w:val="00173A8E"/>
    <w:rsid w:val="00173ABB"/>
    <w:rsid w:val="0017502C"/>
    <w:rsid w:val="0017517F"/>
    <w:rsid w:val="00176080"/>
    <w:rsid w:val="001801B1"/>
    <w:rsid w:val="0018143F"/>
    <w:rsid w:val="00181FF8"/>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6173"/>
    <w:rsid w:val="001A6CBA"/>
    <w:rsid w:val="001B0D97"/>
    <w:rsid w:val="001B17BA"/>
    <w:rsid w:val="001B1DA7"/>
    <w:rsid w:val="001B25F4"/>
    <w:rsid w:val="001B5A5D"/>
    <w:rsid w:val="001C1CE5"/>
    <w:rsid w:val="001C285F"/>
    <w:rsid w:val="001C3D2A"/>
    <w:rsid w:val="001C588A"/>
    <w:rsid w:val="001C7008"/>
    <w:rsid w:val="001D51BA"/>
    <w:rsid w:val="001D53E7"/>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4DB"/>
    <w:rsid w:val="0022259F"/>
    <w:rsid w:val="00223FCB"/>
    <w:rsid w:val="00224A31"/>
    <w:rsid w:val="00224D87"/>
    <w:rsid w:val="002252C3"/>
    <w:rsid w:val="00225C54"/>
    <w:rsid w:val="00230765"/>
    <w:rsid w:val="00230D18"/>
    <w:rsid w:val="002319E4"/>
    <w:rsid w:val="00233337"/>
    <w:rsid w:val="0023476C"/>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242A"/>
    <w:rsid w:val="002C41E6"/>
    <w:rsid w:val="002C4221"/>
    <w:rsid w:val="002C6674"/>
    <w:rsid w:val="002D071A"/>
    <w:rsid w:val="002D2419"/>
    <w:rsid w:val="002D29F6"/>
    <w:rsid w:val="002D34B2"/>
    <w:rsid w:val="002D48B0"/>
    <w:rsid w:val="002D49B2"/>
    <w:rsid w:val="002D53F8"/>
    <w:rsid w:val="002D5B37"/>
    <w:rsid w:val="002D7637"/>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3ED"/>
    <w:rsid w:val="0034631E"/>
    <w:rsid w:val="003466A1"/>
    <w:rsid w:val="00346988"/>
    <w:rsid w:val="00346DB5"/>
    <w:rsid w:val="003477B1"/>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31DC"/>
    <w:rsid w:val="0044348B"/>
    <w:rsid w:val="00444ECA"/>
    <w:rsid w:val="00444F56"/>
    <w:rsid w:val="00446488"/>
    <w:rsid w:val="004517AA"/>
    <w:rsid w:val="00452CAC"/>
    <w:rsid w:val="00455EC8"/>
    <w:rsid w:val="004565FD"/>
    <w:rsid w:val="00457565"/>
    <w:rsid w:val="00457B71"/>
    <w:rsid w:val="004669E2"/>
    <w:rsid w:val="0047090E"/>
    <w:rsid w:val="00470C31"/>
    <w:rsid w:val="00471DE0"/>
    <w:rsid w:val="004734D0"/>
    <w:rsid w:val="00473550"/>
    <w:rsid w:val="0047556B"/>
    <w:rsid w:val="00477768"/>
    <w:rsid w:val="004834AB"/>
    <w:rsid w:val="00484452"/>
    <w:rsid w:val="00484AC1"/>
    <w:rsid w:val="00492BC5"/>
    <w:rsid w:val="00492BDF"/>
    <w:rsid w:val="00494357"/>
    <w:rsid w:val="004964F1"/>
    <w:rsid w:val="004A0B3C"/>
    <w:rsid w:val="004A16BC"/>
    <w:rsid w:val="004A2B94"/>
    <w:rsid w:val="004A6763"/>
    <w:rsid w:val="004B0402"/>
    <w:rsid w:val="004B6F6A"/>
    <w:rsid w:val="004B7C0C"/>
    <w:rsid w:val="004C12B5"/>
    <w:rsid w:val="004C2892"/>
    <w:rsid w:val="004C289C"/>
    <w:rsid w:val="004C3898"/>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59CB"/>
    <w:rsid w:val="005826BF"/>
    <w:rsid w:val="00582809"/>
    <w:rsid w:val="00585EDA"/>
    <w:rsid w:val="005864F9"/>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57D0"/>
    <w:rsid w:val="00726EA6"/>
    <w:rsid w:val="00727208"/>
    <w:rsid w:val="00727680"/>
    <w:rsid w:val="007315E4"/>
    <w:rsid w:val="00731F20"/>
    <w:rsid w:val="007348B1"/>
    <w:rsid w:val="007350A0"/>
    <w:rsid w:val="0073535A"/>
    <w:rsid w:val="007362A6"/>
    <w:rsid w:val="00736D7D"/>
    <w:rsid w:val="00740450"/>
    <w:rsid w:val="00740E58"/>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7D6F"/>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3D90"/>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4E0"/>
    <w:rsid w:val="00906939"/>
    <w:rsid w:val="00910B7D"/>
    <w:rsid w:val="00911DFB"/>
    <w:rsid w:val="009139D9"/>
    <w:rsid w:val="00914AD8"/>
    <w:rsid w:val="00916079"/>
    <w:rsid w:val="00916112"/>
    <w:rsid w:val="00917CE9"/>
    <w:rsid w:val="00920BF2"/>
    <w:rsid w:val="00922010"/>
    <w:rsid w:val="0092214A"/>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430A"/>
    <w:rsid w:val="0096554B"/>
    <w:rsid w:val="0096584A"/>
    <w:rsid w:val="00967D8D"/>
    <w:rsid w:val="009717A6"/>
    <w:rsid w:val="00971A65"/>
    <w:rsid w:val="00971F08"/>
    <w:rsid w:val="00975D37"/>
    <w:rsid w:val="0097603D"/>
    <w:rsid w:val="00976949"/>
    <w:rsid w:val="00980477"/>
    <w:rsid w:val="00984DEB"/>
    <w:rsid w:val="00985253"/>
    <w:rsid w:val="009853B3"/>
    <w:rsid w:val="00985C77"/>
    <w:rsid w:val="00987F98"/>
    <w:rsid w:val="00990630"/>
    <w:rsid w:val="00990FC0"/>
    <w:rsid w:val="00991761"/>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31D8"/>
    <w:rsid w:val="00A048A8"/>
    <w:rsid w:val="00A04F49"/>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48A"/>
    <w:rsid w:val="00A36297"/>
    <w:rsid w:val="00A41E2B"/>
    <w:rsid w:val="00A45B74"/>
    <w:rsid w:val="00A52C04"/>
    <w:rsid w:val="00A52E1D"/>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639C"/>
    <w:rsid w:val="00B664C7"/>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5A00"/>
    <w:rsid w:val="00CE7561"/>
    <w:rsid w:val="00CF05CC"/>
    <w:rsid w:val="00CF1354"/>
    <w:rsid w:val="00CF330C"/>
    <w:rsid w:val="00CF3B1F"/>
    <w:rsid w:val="00CF3BF6"/>
    <w:rsid w:val="00CF625B"/>
    <w:rsid w:val="00CF687E"/>
    <w:rsid w:val="00CF7EB3"/>
    <w:rsid w:val="00D0349B"/>
    <w:rsid w:val="00D04227"/>
    <w:rsid w:val="00D044EE"/>
    <w:rsid w:val="00D07451"/>
    <w:rsid w:val="00D1011F"/>
    <w:rsid w:val="00D10249"/>
    <w:rsid w:val="00D115C3"/>
    <w:rsid w:val="00D11897"/>
    <w:rsid w:val="00D11F7E"/>
    <w:rsid w:val="00D13135"/>
    <w:rsid w:val="00D13E4E"/>
    <w:rsid w:val="00D1589C"/>
    <w:rsid w:val="00D239A7"/>
    <w:rsid w:val="00D23F47"/>
    <w:rsid w:val="00D2422C"/>
    <w:rsid w:val="00D338C2"/>
    <w:rsid w:val="00D3601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52B5"/>
    <w:rsid w:val="00D66155"/>
    <w:rsid w:val="00D708B0"/>
    <w:rsid w:val="00D723D9"/>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5417"/>
    <w:rsid w:val="00DA56E8"/>
    <w:rsid w:val="00DA6544"/>
    <w:rsid w:val="00DB0A9F"/>
    <w:rsid w:val="00DB377D"/>
    <w:rsid w:val="00DC2062"/>
    <w:rsid w:val="00DC2D36"/>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6FED"/>
    <w:rsid w:val="00E018BD"/>
    <w:rsid w:val="00E051DE"/>
    <w:rsid w:val="00E110E7"/>
    <w:rsid w:val="00E11B20"/>
    <w:rsid w:val="00E13581"/>
    <w:rsid w:val="00E157E1"/>
    <w:rsid w:val="00E16D29"/>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46F1"/>
    <w:rsid w:val="00E46886"/>
    <w:rsid w:val="00E47AEF"/>
    <w:rsid w:val="00E50726"/>
    <w:rsid w:val="00E50876"/>
    <w:rsid w:val="00E51587"/>
    <w:rsid w:val="00E53B75"/>
    <w:rsid w:val="00E54E3B"/>
    <w:rsid w:val="00E57565"/>
    <w:rsid w:val="00E602B8"/>
    <w:rsid w:val="00E61AC2"/>
    <w:rsid w:val="00E63838"/>
    <w:rsid w:val="00E64434"/>
    <w:rsid w:val="00E653E8"/>
    <w:rsid w:val="00E67C51"/>
    <w:rsid w:val="00E71251"/>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49C7"/>
    <w:rsid w:val="00EB4EA2"/>
    <w:rsid w:val="00EB53B6"/>
    <w:rsid w:val="00EB5A35"/>
    <w:rsid w:val="00EC050E"/>
    <w:rsid w:val="00EC06E5"/>
    <w:rsid w:val="00EC0795"/>
    <w:rsid w:val="00EC24D5"/>
    <w:rsid w:val="00EC27C6"/>
    <w:rsid w:val="00EC4207"/>
    <w:rsid w:val="00EC5653"/>
    <w:rsid w:val="00EC71CE"/>
    <w:rsid w:val="00ED1006"/>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FA5"/>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B66"/>
    <w:rsid w:val="00F570CF"/>
    <w:rsid w:val="00F60203"/>
    <w:rsid w:val="00F607C5"/>
    <w:rsid w:val="00F60DEA"/>
    <w:rsid w:val="00F6302A"/>
    <w:rsid w:val="00F63950"/>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3F81"/>
    <w:rsid w:val="00FB46D1"/>
    <w:rsid w:val="00FB4BC8"/>
    <w:rsid w:val="00FB4C80"/>
    <w:rsid w:val="00FB6A6A"/>
    <w:rsid w:val="00FB71C2"/>
    <w:rsid w:val="00FB7888"/>
    <w:rsid w:val="00FC30B4"/>
    <w:rsid w:val="00FC3891"/>
    <w:rsid w:val="00FC4AD2"/>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styleId="UnresolvedMention">
    <w:name w:val="Unresolved Mention"/>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CC1A412B-6549-4CEB-AE47-CF211709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216</TotalTime>
  <Pages>11</Pages>
  <Words>4572</Words>
  <Characters>24602</Characters>
  <Application>Microsoft Office Word</Application>
  <DocSecurity>0</DocSecurity>
  <Lines>683</Lines>
  <Paragraphs>291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28883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Tuomas Tirronen</cp:lastModifiedBy>
  <cp:revision>167</cp:revision>
  <cp:lastPrinted>2008-01-31T07:09:00Z</cp:lastPrinted>
  <dcterms:created xsi:type="dcterms:W3CDTF">2021-08-11T16:52:00Z</dcterms:created>
  <dcterms:modified xsi:type="dcterms:W3CDTF">2021-08-19T13:41:00Z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