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w:t>
      </w:r>
      <w:proofErr w:type="spellStart"/>
      <w:r w:rsidRPr="004F6352">
        <w:rPr>
          <w:lang w:val="en-US"/>
        </w:rPr>
        <w:t>RedCap</w:t>
      </w:r>
      <w:proofErr w:type="spellEnd"/>
      <w:r w:rsidRPr="004F6352">
        <w:rPr>
          <w:lang w:val="en-US"/>
        </w:rPr>
        <w:t>]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1"/>
        <w:rPr>
          <w:lang w:val="en-US"/>
        </w:rPr>
      </w:pPr>
      <w:r w:rsidRPr="004F6352">
        <w:rPr>
          <w:lang w:val="en-US"/>
        </w:rPr>
        <w:t>1</w:t>
      </w:r>
      <w:r w:rsidRPr="004F6352">
        <w:rPr>
          <w:lang w:val="en-US"/>
        </w:rPr>
        <w:tab/>
        <w:t>Introduction</w:t>
      </w:r>
    </w:p>
    <w:p w14:paraId="25F52103" w14:textId="77777777" w:rsidR="008B0343" w:rsidRPr="004F6352" w:rsidRDefault="009F5367">
      <w:pPr>
        <w:pStyle w:val="a6"/>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w:t>
      </w:r>
      <w:proofErr w:type="spellStart"/>
      <w:r>
        <w:t>RedCap</w:t>
      </w:r>
      <w:proofErr w:type="spellEnd"/>
      <w:r>
        <w:t>] Identification, access and camping (Ericsson)</w:t>
      </w:r>
    </w:p>
    <w:p w14:paraId="7A3B35F1" w14:textId="77777777" w:rsidR="00BD2536" w:rsidRPr="007663D8" w:rsidRDefault="00BD2536" w:rsidP="00BD2536">
      <w:pPr>
        <w:pStyle w:val="EmailDiscussion2"/>
        <w:ind w:left="1619" w:firstLine="0"/>
        <w:rPr>
          <w:color w:val="35A53B" w:themeColor="background1" w:themeShade="80"/>
        </w:rPr>
      </w:pPr>
      <w:r w:rsidRPr="007663D8">
        <w:rPr>
          <w:color w:val="35A53B"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35A53B" w:themeColor="background1" w:themeShade="80"/>
        </w:rPr>
      </w:pPr>
      <w:r w:rsidRPr="007663D8">
        <w:rPr>
          <w:color w:val="35A53B"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35A53B" w:themeColor="background1" w:themeShade="80"/>
        </w:rPr>
      </w:pPr>
      <w:r w:rsidRPr="007663D8">
        <w:rPr>
          <w:color w:val="35A53B"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35A53B" w:themeColor="background1" w:themeShade="80"/>
        </w:rPr>
      </w:pPr>
      <w:r w:rsidRPr="007663D8">
        <w:rPr>
          <w:color w:val="35A53B"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35A53B" w:themeColor="background1" w:themeShade="80"/>
        </w:rPr>
      </w:pPr>
      <w:r w:rsidRPr="007663D8">
        <w:rPr>
          <w:color w:val="35A53B"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35A53B" w:themeColor="background1" w:themeShade="80"/>
        </w:rPr>
      </w:pPr>
      <w:r w:rsidRPr="007663D8">
        <w:rPr>
          <w:color w:val="35A53B"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35A53B" w:themeColor="background1" w:themeShade="80"/>
        </w:rPr>
      </w:pPr>
      <w:r w:rsidRPr="007663D8">
        <w:rPr>
          <w:color w:val="35A53B" w:themeColor="background1" w:themeShade="80"/>
        </w:rPr>
        <w:t xml:space="preserve">Initial deadline (for </w:t>
      </w:r>
      <w:r w:rsidRPr="00F42988">
        <w:rPr>
          <w:rStyle w:val="Doc-text2Char"/>
          <w:color w:val="35A53B" w:themeColor="background1" w:themeShade="80"/>
          <w:lang w:val="en-US"/>
        </w:rPr>
        <w:t xml:space="preserve">rapporteur's summary in </w:t>
      </w:r>
      <w:hyperlink r:id="rId13" w:tooltip="C:Data3GPPRAN2InboxR2-2108892.zip" w:history="1">
        <w:r w:rsidRPr="007663D8">
          <w:rPr>
            <w:rStyle w:val="af9"/>
            <w:color w:val="35A53B" w:themeColor="background1" w:themeShade="80"/>
          </w:rPr>
          <w:t>R2-2108892</w:t>
        </w:r>
      </w:hyperlink>
      <w:r w:rsidRPr="00F42988">
        <w:rPr>
          <w:rStyle w:val="Doc-text2Char"/>
          <w:color w:val="35A53B" w:themeColor="background1" w:themeShade="80"/>
          <w:lang w:val="en-US"/>
        </w:rPr>
        <w:t xml:space="preserve">): </w:t>
      </w:r>
      <w:r w:rsidRPr="007663D8">
        <w:rPr>
          <w:color w:val="35A53B"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35A53B" w:themeColor="background1" w:themeShade="80"/>
          <w:u w:val="single"/>
        </w:rPr>
      </w:pPr>
      <w:r w:rsidRPr="007663D8">
        <w:rPr>
          <w:color w:val="35A53B" w:themeColor="background1" w:themeShade="80"/>
          <w:u w:val="single"/>
        </w:rPr>
        <w:t xml:space="preserve">Proposals marked "for agreement" in </w:t>
      </w:r>
      <w:hyperlink r:id="rId14" w:tooltip="C:Data3GPPRAN2InboxR2-2108892.zip" w:history="1">
        <w:r w:rsidRPr="007663D8">
          <w:rPr>
            <w:rStyle w:val="af9"/>
            <w:color w:val="35A53B" w:themeColor="background1" w:themeShade="80"/>
          </w:rPr>
          <w:t>R2-2108892</w:t>
        </w:r>
      </w:hyperlink>
      <w:r w:rsidRPr="00F42988">
        <w:rPr>
          <w:rStyle w:val="Doc-text2Char"/>
          <w:color w:val="35A53B" w:themeColor="background1" w:themeShade="80"/>
          <w:u w:val="single"/>
          <w:lang w:val="en-US"/>
        </w:rPr>
        <w:t xml:space="preserve"> </w:t>
      </w:r>
      <w:r w:rsidRPr="007663D8">
        <w:rPr>
          <w:color w:val="35A53B"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5" w:history="1">
        <w:r w:rsidRPr="006722EC">
          <w:rPr>
            <w:rStyle w:val="af9"/>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af9"/>
          <w:highlight w:val="yellow"/>
        </w:rPr>
        <w:t>R2-210</w:t>
      </w:r>
      <w:r w:rsidRPr="00186246">
        <w:rPr>
          <w:rStyle w:val="af9"/>
          <w:highlight w:val="yellow"/>
        </w:rPr>
        <w:t>9</w:t>
      </w:r>
      <w:r>
        <w:rPr>
          <w:rStyle w:val="af9"/>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af9"/>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a6"/>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a6"/>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a6"/>
        <w:rPr>
          <w:lang w:val="en-US"/>
        </w:rPr>
      </w:pPr>
      <w:r w:rsidRPr="004F6352">
        <w:rPr>
          <w:lang w:val="en-US"/>
        </w:rPr>
        <w:t xml:space="preserve">The following papers discuss access restrictions, cell barring or network support for </w:t>
      </w:r>
      <w:proofErr w:type="spellStart"/>
      <w:r w:rsidRPr="004F6352">
        <w:rPr>
          <w:lang w:val="en-US"/>
        </w:rPr>
        <w:t>RedCap</w:t>
      </w:r>
      <w:proofErr w:type="spellEnd"/>
      <w:r w:rsidRPr="004F6352">
        <w:rPr>
          <w:lang w:val="en-US"/>
        </w:rPr>
        <w:t xml:space="preserve">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a6"/>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a6"/>
        <w:rPr>
          <w:lang w:val="en-US"/>
        </w:rPr>
      </w:pPr>
    </w:p>
    <w:p w14:paraId="15E87CFB" w14:textId="77777777" w:rsidR="008B0343" w:rsidRPr="004F6352" w:rsidRDefault="009F5367">
      <w:pPr>
        <w:pStyle w:val="a6"/>
        <w:rPr>
          <w:lang w:val="en-US"/>
        </w:rPr>
      </w:pPr>
      <w:r w:rsidRPr="004F6352">
        <w:rPr>
          <w:lang w:val="en-US"/>
        </w:rPr>
        <w:lastRenderedPageBreak/>
        <w:t xml:space="preserve">It is stipulated by the WID and agreed in RAN2 already that SIB1 indicates barring for 1 Rx and 2 Rx branches separately for </w:t>
      </w:r>
      <w:proofErr w:type="spellStart"/>
      <w:r w:rsidRPr="004F6352">
        <w:rPr>
          <w:lang w:val="en-US"/>
        </w:rPr>
        <w:t>RedCap</w:t>
      </w:r>
      <w:proofErr w:type="spellEnd"/>
      <w:r w:rsidRPr="004F6352">
        <w:rPr>
          <w:lang w:val="en-US"/>
        </w:rPr>
        <w:t xml:space="preserve">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a6"/>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a6"/>
        <w:rPr>
          <w:lang w:val="en-US"/>
        </w:rPr>
      </w:pPr>
    </w:p>
    <w:p w14:paraId="2723A9D9" w14:textId="77777777" w:rsidR="008B0343" w:rsidRPr="004F6352" w:rsidRDefault="009F5367">
      <w:pPr>
        <w:pStyle w:val="a6"/>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afc"/>
        <w:ind w:left="1287"/>
        <w:rPr>
          <w:lang w:val="en-US"/>
        </w:rPr>
      </w:pPr>
    </w:p>
    <w:p w14:paraId="58EDB699" w14:textId="77777777" w:rsidR="008B0343" w:rsidRPr="004F6352" w:rsidRDefault="009F5367">
      <w:pPr>
        <w:pStyle w:val="a6"/>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w:t>
      </w:r>
      <w:proofErr w:type="spellStart"/>
      <w:r w:rsidRPr="004F6352">
        <w:rPr>
          <w:lang w:val="en-US"/>
        </w:rPr>
        <w:t>RedCap</w:t>
      </w:r>
      <w:proofErr w:type="spellEnd"/>
      <w:r w:rsidRPr="004F6352">
        <w:rPr>
          <w:lang w:val="en-US"/>
        </w:rPr>
        <w:t xml:space="preserve">-only cells or SSBs, similar solution as IAB-MT adopted. </w:t>
      </w:r>
    </w:p>
    <w:p w14:paraId="32830245" w14:textId="77777777" w:rsidR="008B0343" w:rsidRPr="004F6352" w:rsidRDefault="009F5367">
      <w:pPr>
        <w:pStyle w:val="a6"/>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proofErr w:type="spellStart"/>
      <w:r w:rsidRPr="004F6352">
        <w:rPr>
          <w:lang w:val="en-US"/>
        </w:rPr>
        <w:t>Xiaomi</w:t>
      </w:r>
      <w:proofErr w:type="spellEnd"/>
      <w:r w:rsidRPr="004F6352">
        <w:rPr>
          <w:lang w:val="en-US"/>
        </w:rPr>
        <w:t xml:space="preserve">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afc"/>
        <w:ind w:left="1287"/>
        <w:rPr>
          <w:lang w:val="en-US"/>
        </w:rPr>
      </w:pPr>
    </w:p>
    <w:p w14:paraId="4174AA94" w14:textId="77777777" w:rsidR="008B0343" w:rsidRPr="004F6352" w:rsidRDefault="009F5367">
      <w:pPr>
        <w:pStyle w:val="a6"/>
        <w:ind w:left="1134"/>
        <w:rPr>
          <w:lang w:val="en-US"/>
        </w:rPr>
      </w:pPr>
      <w:r w:rsidRPr="004F6352">
        <w:rPr>
          <w:lang w:val="en-US"/>
        </w:rPr>
        <w:t xml:space="preserve">The main arguments for this option include that there’s no need to support </w:t>
      </w:r>
      <w:proofErr w:type="spellStart"/>
      <w:r w:rsidRPr="004F6352">
        <w:rPr>
          <w:lang w:val="en-US"/>
        </w:rPr>
        <w:t>RedCap</w:t>
      </w:r>
      <w:proofErr w:type="spellEnd"/>
      <w:r w:rsidRPr="004F6352">
        <w:rPr>
          <w:lang w:val="en-US"/>
        </w:rPr>
        <w:t>-specific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a6"/>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a6"/>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a6"/>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a6"/>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a6"/>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a6"/>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af4"/>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a6"/>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a6"/>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a6"/>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23C992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are neutral on this issue but have 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5B0FBC3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06FF311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While we do agree there won’t be many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cells, doing so would make it easier for NWs with wider (&gt;20MHz) SIB1 initial BWP BW to handle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sidRPr="004F6352">
              <w:rPr>
                <w:rFonts w:eastAsia="宋体"/>
                <w:sz w:val="20"/>
                <w:szCs w:val="20"/>
                <w:lang w:val="en-US"/>
              </w:rPr>
              <w:t>compatiability</w:t>
            </w:r>
            <w:proofErr w:type="spellEnd"/>
            <w:r w:rsidRPr="004F6352">
              <w:rPr>
                <w:rFonts w:eastAsia="宋体"/>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a6"/>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3E592321"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No strong motivation to support the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a6"/>
              <w:rPr>
                <w:rFonts w:eastAsia="Malgun Gothic"/>
                <w:bCs/>
                <w:sz w:val="20"/>
                <w:szCs w:val="20"/>
                <w:lang w:val="en-US" w:eastAsia="ko-KR"/>
              </w:rPr>
            </w:pPr>
            <w:r w:rsidRPr="004F6352">
              <w:rPr>
                <w:rFonts w:eastAsia="宋体"/>
                <w:bCs/>
                <w:sz w:val="20"/>
                <w:szCs w:val="20"/>
                <w:lang w:val="en-US"/>
              </w:rPr>
              <w:lastRenderedPageBreak/>
              <w:t>V</w:t>
            </w:r>
            <w:r w:rsidR="009F5367" w:rsidRPr="004F6352">
              <w:rPr>
                <w:rFonts w:eastAsia="宋体"/>
                <w:bCs/>
                <w:sz w:val="20"/>
                <w:szCs w:val="20"/>
                <w:lang w:val="en-US"/>
              </w:rPr>
              <w:t>ivo</w:t>
            </w:r>
          </w:p>
        </w:tc>
        <w:tc>
          <w:tcPr>
            <w:tcW w:w="2127" w:type="dxa"/>
          </w:tcPr>
          <w:p w14:paraId="0848BDBB"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69A36B66"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It has been agreed that Specify a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in SIB1 during online discussion. Hence,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check SIB1 for IFRI even if the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is applied to </w:t>
            </w:r>
            <w:proofErr w:type="spellStart"/>
            <w:r w:rsidRPr="004F6352">
              <w:rPr>
                <w:rFonts w:eastAsia="宋体"/>
                <w:sz w:val="20"/>
                <w:szCs w:val="20"/>
                <w:lang w:val="en-US"/>
              </w:rPr>
              <w:t>RedCap</w:t>
            </w:r>
            <w:proofErr w:type="spellEnd"/>
            <w:r w:rsidRPr="004F6352">
              <w:rPr>
                <w:rFonts w:eastAsia="宋体"/>
                <w:sz w:val="20"/>
                <w:szCs w:val="20"/>
                <w:lang w:val="en-US"/>
              </w:rPr>
              <w:t xml:space="preserve"> and set to barred. Applying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t>
            </w:r>
            <w:r w:rsidRPr="004F6352">
              <w:rPr>
                <w:lang w:val="en-US"/>
              </w:rPr>
              <w:t>when the cell is in maintenance</w:t>
            </w:r>
            <w:r w:rsidRPr="004F6352">
              <w:rPr>
                <w:rFonts w:eastAsia="宋体"/>
                <w:sz w:val="20"/>
                <w:szCs w:val="20"/>
                <w:lang w:val="en-US"/>
              </w:rPr>
              <w:t xml:space="preserve"> will not save any UE power consumption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w:t>
            </w:r>
          </w:p>
        </w:tc>
      </w:tr>
      <w:tr w:rsidR="008B0343" w:rsidRPr="004F6352" w14:paraId="223088FD" w14:textId="77777777">
        <w:tc>
          <w:tcPr>
            <w:tcW w:w="1696" w:type="dxa"/>
          </w:tcPr>
          <w:p w14:paraId="111CF933"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054D9B4"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barring indications will be provided over SIB1, it would be good to always read the SIB1. However, we don’t intend to introduce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7E9E92FE" w14:textId="77777777">
        <w:tc>
          <w:tcPr>
            <w:tcW w:w="1696" w:type="dxa"/>
          </w:tcPr>
          <w:p w14:paraId="3B040709" w14:textId="77777777" w:rsidR="008B0343" w:rsidRPr="004F6352" w:rsidRDefault="009F5367">
            <w:pPr>
              <w:pStyle w:val="a6"/>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1E0F834" w14:textId="77777777" w:rsidR="008B0343" w:rsidRPr="004F6352" w:rsidRDefault="008B0343">
            <w:pPr>
              <w:pStyle w:val="a6"/>
              <w:rPr>
                <w:rFonts w:eastAsia="宋体"/>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a6"/>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77D2622E"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a6"/>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a6"/>
              <w:rPr>
                <w:rFonts w:eastAsia="宋体"/>
                <w:lang w:val="en-US"/>
              </w:rPr>
            </w:pPr>
            <w:r w:rsidRPr="004F6352">
              <w:rPr>
                <w:rFonts w:eastAsia="宋体"/>
                <w:sz w:val="20"/>
                <w:szCs w:val="20"/>
                <w:lang w:val="en-US"/>
              </w:rPr>
              <w:t>Apply</w:t>
            </w:r>
          </w:p>
        </w:tc>
        <w:tc>
          <w:tcPr>
            <w:tcW w:w="5811" w:type="dxa"/>
          </w:tcPr>
          <w:p w14:paraId="6F44CC5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When MIB cell barring is active, we don’t want any device to access into the cell and that includes </w:t>
            </w:r>
            <w:proofErr w:type="spellStart"/>
            <w:r w:rsidRPr="004F6352">
              <w:rPr>
                <w:rFonts w:eastAsia="宋体"/>
                <w:sz w:val="20"/>
                <w:szCs w:val="20"/>
                <w:lang w:val="en-US"/>
              </w:rPr>
              <w:t>RedCap</w:t>
            </w:r>
            <w:proofErr w:type="spellEnd"/>
            <w:r w:rsidRPr="004F6352">
              <w:rPr>
                <w:rFonts w:eastAsia="宋体"/>
                <w:sz w:val="20"/>
                <w:szCs w:val="20"/>
                <w:lang w:val="en-US"/>
              </w:rPr>
              <w:t>.</w:t>
            </w:r>
          </w:p>
          <w:p w14:paraId="3D6150FF" w14:textId="77777777" w:rsidR="008B0343" w:rsidRPr="004F6352" w:rsidRDefault="009F5367">
            <w:pPr>
              <w:pStyle w:val="a6"/>
              <w:rPr>
                <w:rFonts w:eastAsia="宋体"/>
                <w:lang w:val="en-US"/>
              </w:rPr>
            </w:pPr>
            <w:r w:rsidRPr="004F6352">
              <w:rPr>
                <w:rFonts w:eastAsia="宋体"/>
                <w:sz w:val="20"/>
                <w:szCs w:val="20"/>
                <w:lang w:val="en-US"/>
              </w:rPr>
              <w:t xml:space="preserve">With this reasoning, if MIB is ignored, </w:t>
            </w:r>
            <w:proofErr w:type="spellStart"/>
            <w:r w:rsidRPr="004F6352">
              <w:rPr>
                <w:rFonts w:eastAsia="宋体"/>
                <w:sz w:val="20"/>
                <w:szCs w:val="20"/>
                <w:lang w:val="en-US"/>
              </w:rPr>
              <w:t>RedCap</w:t>
            </w:r>
            <w:proofErr w:type="spellEnd"/>
            <w:r w:rsidRPr="004F6352">
              <w:rPr>
                <w:rFonts w:eastAsia="宋体"/>
                <w:sz w:val="20"/>
                <w:szCs w:val="20"/>
                <w:lang w:val="en-US"/>
              </w:rPr>
              <w:t xml:space="preserve">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a6"/>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5728B618" w14:textId="77777777" w:rsidR="008B0343" w:rsidRPr="004F6352" w:rsidRDefault="009F5367">
            <w:pPr>
              <w:pStyle w:val="a6"/>
              <w:rPr>
                <w:rFonts w:eastAsia="宋体"/>
                <w:lang w:val="en-US"/>
              </w:rPr>
            </w:pPr>
            <w:r w:rsidRPr="004F6352">
              <w:rPr>
                <w:rFonts w:eastAsia="宋体"/>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a6"/>
              <w:rPr>
                <w:rFonts w:eastAsia="DengXian"/>
                <w:bCs/>
                <w:sz w:val="20"/>
                <w:szCs w:val="20"/>
                <w:lang w:val="en-US"/>
              </w:rPr>
            </w:pPr>
            <w:proofErr w:type="spellStart"/>
            <w:r w:rsidRPr="004F6352">
              <w:rPr>
                <w:rFonts w:eastAsia="DengXian"/>
                <w:bCs/>
                <w:sz w:val="20"/>
                <w:szCs w:val="20"/>
                <w:lang w:val="en-US"/>
              </w:rPr>
              <w:t>Futurewei</w:t>
            </w:r>
            <w:proofErr w:type="spellEnd"/>
          </w:p>
        </w:tc>
        <w:tc>
          <w:tcPr>
            <w:tcW w:w="2127" w:type="dxa"/>
          </w:tcPr>
          <w:p w14:paraId="647E5A56"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E5C8256" w14:textId="77777777" w:rsidR="008B0343" w:rsidRPr="004F6352" w:rsidRDefault="009F5367">
            <w:pPr>
              <w:pStyle w:val="a6"/>
              <w:rPr>
                <w:rFonts w:eastAsia="宋体"/>
                <w:lang w:val="en-US"/>
              </w:rPr>
            </w:pPr>
            <w:r w:rsidRPr="004F6352">
              <w:rPr>
                <w:rFonts w:eastAsia="宋体"/>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a6"/>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6714A7AC" w14:textId="77777777" w:rsidR="008B0343" w:rsidRPr="004F6352" w:rsidRDefault="009F5367">
            <w:pPr>
              <w:pStyle w:val="a6"/>
              <w:rPr>
                <w:rFonts w:eastAsia="宋体"/>
                <w:lang w:val="en-US"/>
              </w:rPr>
            </w:pPr>
            <w:r w:rsidRPr="004F6352">
              <w:rPr>
                <w:rFonts w:eastAsia="宋体"/>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a6"/>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a6"/>
              <w:rPr>
                <w:rFonts w:eastAsia="宋体"/>
                <w:lang w:val="en-US"/>
              </w:rPr>
            </w:pPr>
            <w:r w:rsidRPr="004F6352">
              <w:rPr>
                <w:rFonts w:eastAsia="宋体"/>
                <w:sz w:val="20"/>
                <w:szCs w:val="20"/>
                <w:lang w:val="en-US"/>
              </w:rPr>
              <w:t xml:space="preserve">Apply </w:t>
            </w:r>
          </w:p>
        </w:tc>
        <w:tc>
          <w:tcPr>
            <w:tcW w:w="5811" w:type="dxa"/>
          </w:tcPr>
          <w:p w14:paraId="62760ABF" w14:textId="77777777" w:rsidR="008B0343" w:rsidRPr="004F6352" w:rsidRDefault="009F5367">
            <w:pPr>
              <w:pStyle w:val="a6"/>
              <w:rPr>
                <w:rFonts w:eastAsia="宋体"/>
                <w:lang w:val="en-US"/>
              </w:rPr>
            </w:pPr>
            <w:r w:rsidRPr="004F6352">
              <w:rPr>
                <w:rFonts w:eastAsia="宋体"/>
                <w:sz w:val="20"/>
                <w:szCs w:val="20"/>
                <w:lang w:val="en-US"/>
              </w:rPr>
              <w:t xml:space="preserve">We do not see the need to introduce a new mechanism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 And therefore legacy cell bar indicator in MIB shall also be applied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t>
            </w:r>
          </w:p>
        </w:tc>
      </w:tr>
      <w:tr w:rsidR="008B0343" w:rsidRPr="004F6352" w14:paraId="258126C9" w14:textId="77777777">
        <w:tc>
          <w:tcPr>
            <w:tcW w:w="1696" w:type="dxa"/>
          </w:tcPr>
          <w:p w14:paraId="0E488DEC"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1976DBE7"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anyway have more sympathy with the “ignore” considerations. Given that </w:t>
            </w:r>
            <w:proofErr w:type="spellStart"/>
            <w:r w:rsidRPr="004F6352">
              <w:rPr>
                <w:rFonts w:eastAsia="宋体"/>
                <w:sz w:val="20"/>
                <w:szCs w:val="20"/>
                <w:lang w:val="en-US"/>
              </w:rPr>
              <w:t>RedCap</w:t>
            </w:r>
            <w:proofErr w:type="spellEnd"/>
            <w:r w:rsidRPr="004F6352">
              <w:rPr>
                <w:rFonts w:eastAsia="宋体"/>
                <w:sz w:val="20"/>
                <w:szCs w:val="20"/>
                <w:lang w:val="en-US"/>
              </w:rPr>
              <w:t xml:space="preserve"> IFRI was agreed for SIB1, we think there is no drawback in having this indication only there as well.</w:t>
            </w:r>
          </w:p>
          <w:p w14:paraId="7FDEE842" w14:textId="77777777" w:rsidR="008B0343" w:rsidRPr="004F6352" w:rsidRDefault="009F5367">
            <w:pPr>
              <w:pStyle w:val="a6"/>
              <w:rPr>
                <w:rFonts w:eastAsia="宋体"/>
                <w:sz w:val="20"/>
                <w:szCs w:val="20"/>
                <w:lang w:val="en-US"/>
              </w:rPr>
            </w:pPr>
            <w:r w:rsidRPr="004F6352">
              <w:rPr>
                <w:rFonts w:eastAsia="宋体"/>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a6"/>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a6"/>
              <w:rPr>
                <w:rFonts w:eastAsia="宋体"/>
                <w:sz w:val="20"/>
                <w:lang w:val="en-US"/>
              </w:rPr>
            </w:pPr>
            <w:r w:rsidRPr="004F6352">
              <w:rPr>
                <w:rFonts w:eastAsia="宋体"/>
                <w:sz w:val="20"/>
                <w:lang w:val="en-US"/>
              </w:rPr>
              <w:t>Ignore</w:t>
            </w:r>
          </w:p>
        </w:tc>
        <w:tc>
          <w:tcPr>
            <w:tcW w:w="5811" w:type="dxa"/>
          </w:tcPr>
          <w:p w14:paraId="0EF0E3CB" w14:textId="77777777" w:rsidR="008B0343" w:rsidRPr="004F6352" w:rsidRDefault="009F5367">
            <w:pPr>
              <w:pStyle w:val="a6"/>
              <w:rPr>
                <w:rFonts w:eastAsia="宋体"/>
                <w:sz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read SIB1 to check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to ignore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will not cause additional UE power. In addition, cell barring is rare case, reading SIB1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w:t>
            </w:r>
            <w:proofErr w:type="spellStart"/>
            <w:r w:rsidRPr="004F6352">
              <w:rPr>
                <w:rFonts w:eastAsia="宋体"/>
                <w:sz w:val="20"/>
                <w:szCs w:val="20"/>
                <w:lang w:val="en-US"/>
              </w:rPr>
              <w:t>cellbar</w:t>
            </w:r>
            <w:proofErr w:type="spellEnd"/>
            <w:r w:rsidRPr="004F6352">
              <w:rPr>
                <w:rFonts w:eastAsia="宋体"/>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a6"/>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a6"/>
              <w:rPr>
                <w:rFonts w:eastAsia="宋体"/>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a6"/>
              <w:rPr>
                <w:rFonts w:eastAsia="宋体"/>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i.e.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w:t>
            </w:r>
            <w:proofErr w:type="spellStart"/>
            <w:r w:rsidRPr="004F6352">
              <w:rPr>
                <w:rFonts w:eastAsia="Yu Mincho"/>
                <w:sz w:val="20"/>
                <w:szCs w:val="20"/>
                <w:lang w:val="en-US" w:eastAsia="ja-JP"/>
              </w:rPr>
              <w:t>RedCap</w:t>
            </w:r>
            <w:proofErr w:type="spellEnd"/>
            <w:r w:rsidRPr="004F6352">
              <w:rPr>
                <w:rFonts w:eastAsia="Yu Mincho"/>
                <w:sz w:val="20"/>
                <w:szCs w:val="20"/>
                <w:lang w:val="en-US" w:eastAsia="ja-JP"/>
              </w:rPr>
              <w:t xml:space="preserve">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a6"/>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a6"/>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a6"/>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a6"/>
              <w:rPr>
                <w:rFonts w:eastAsia="Yu Mincho"/>
                <w:lang w:val="en-US" w:eastAsia="ja-JP"/>
              </w:rPr>
            </w:pPr>
            <w:r w:rsidRPr="004F6352">
              <w:rPr>
                <w:rFonts w:eastAsia="Yu Mincho"/>
                <w:lang w:val="en-US" w:eastAsia="ja-JP"/>
              </w:rPr>
              <w:t xml:space="preserve">While both options can work, we do not see a strong justification for </w:t>
            </w:r>
            <w:proofErr w:type="spellStart"/>
            <w:r w:rsidRPr="004F6352">
              <w:rPr>
                <w:rFonts w:eastAsia="Yu Mincho"/>
                <w:lang w:val="en-US" w:eastAsia="ja-JP"/>
              </w:rPr>
              <w:t>RedCap</w:t>
            </w:r>
            <w:proofErr w:type="spellEnd"/>
            <w:r w:rsidRPr="004F6352">
              <w:rPr>
                <w:rFonts w:eastAsia="Yu Mincho"/>
                <w:lang w:val="en-US" w:eastAsia="ja-JP"/>
              </w:rPr>
              <w:t xml:space="preserve"> specific cells. Therefore, we would prefer to apply cell barring in MIB to </w:t>
            </w:r>
            <w:proofErr w:type="spellStart"/>
            <w:r w:rsidRPr="004F6352">
              <w:rPr>
                <w:rFonts w:eastAsia="Yu Mincho"/>
                <w:lang w:val="en-US" w:eastAsia="ja-JP"/>
              </w:rPr>
              <w:t>RedCap</w:t>
            </w:r>
            <w:proofErr w:type="spellEnd"/>
            <w:r w:rsidRPr="004F6352">
              <w:rPr>
                <w:rFonts w:eastAsia="Yu Mincho"/>
                <w:lang w:val="en-US" w:eastAsia="ja-JP"/>
              </w:rPr>
              <w:t xml:space="preserve"> UEs.</w:t>
            </w:r>
          </w:p>
        </w:tc>
      </w:tr>
      <w:tr w:rsidR="008B0343" w:rsidRPr="004F6352" w14:paraId="6149D805" w14:textId="77777777">
        <w:tc>
          <w:tcPr>
            <w:tcW w:w="1696" w:type="dxa"/>
          </w:tcPr>
          <w:p w14:paraId="6710B82F" w14:textId="77777777" w:rsidR="008B0343" w:rsidRPr="004F6352" w:rsidRDefault="009F5367">
            <w:pPr>
              <w:pStyle w:val="a6"/>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a6"/>
              <w:rPr>
                <w:rFonts w:eastAsia="Yu Mincho"/>
                <w:lang w:val="en-US" w:eastAsia="ja-JP"/>
              </w:rPr>
            </w:pPr>
            <w:r w:rsidRPr="004F6352">
              <w:rPr>
                <w:rFonts w:eastAsia="宋体"/>
                <w:sz w:val="20"/>
                <w:szCs w:val="20"/>
                <w:lang w:val="en-US"/>
              </w:rPr>
              <w:t>Neutral</w:t>
            </w:r>
          </w:p>
        </w:tc>
        <w:tc>
          <w:tcPr>
            <w:tcW w:w="5811" w:type="dxa"/>
          </w:tcPr>
          <w:p w14:paraId="7602B795" w14:textId="77777777" w:rsidR="008B0343" w:rsidRPr="004F6352" w:rsidRDefault="009F5367">
            <w:pPr>
              <w:pStyle w:val="a6"/>
              <w:rPr>
                <w:rFonts w:eastAsia="Yu Mincho"/>
                <w:lang w:val="en-US" w:eastAsia="ja-JP"/>
              </w:rPr>
            </w:pPr>
            <w:r w:rsidRPr="004F6352">
              <w:rPr>
                <w:rFonts w:eastAsia="宋体"/>
                <w:lang w:val="en-US"/>
              </w:rPr>
              <w:t xml:space="preserve">This may depend on if there is Redcap only cell. </w:t>
            </w:r>
            <w:r w:rsidRPr="004F6352">
              <w:rPr>
                <w:rFonts w:eastAsia="宋体"/>
                <w:sz w:val="20"/>
                <w:szCs w:val="20"/>
                <w:lang w:val="en-US"/>
              </w:rPr>
              <w:t xml:space="preserve">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a6"/>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a6"/>
              <w:rPr>
                <w:rFonts w:eastAsia="宋体"/>
                <w:lang w:val="en-US"/>
              </w:rPr>
            </w:pPr>
            <w:r w:rsidRPr="004F6352">
              <w:rPr>
                <w:lang w:val="en-US"/>
              </w:rPr>
              <w:t>Ignore</w:t>
            </w:r>
          </w:p>
        </w:tc>
        <w:tc>
          <w:tcPr>
            <w:tcW w:w="5811" w:type="dxa"/>
          </w:tcPr>
          <w:p w14:paraId="328271AC" w14:textId="77777777" w:rsidR="008B0343" w:rsidRPr="004F6352" w:rsidRDefault="009F5367">
            <w:pPr>
              <w:pStyle w:val="a6"/>
              <w:rPr>
                <w:rFonts w:eastAsia="宋体"/>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a6"/>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a6"/>
              <w:rPr>
                <w:lang w:val="en-US"/>
              </w:rPr>
            </w:pPr>
            <w:r w:rsidRPr="004F6352">
              <w:rPr>
                <w:rFonts w:eastAsia="宋体"/>
                <w:sz w:val="20"/>
                <w:szCs w:val="20"/>
                <w:lang w:val="en-US"/>
              </w:rPr>
              <w:t>Apply</w:t>
            </w:r>
          </w:p>
        </w:tc>
        <w:tc>
          <w:tcPr>
            <w:tcW w:w="5811" w:type="dxa"/>
          </w:tcPr>
          <w:p w14:paraId="61A885C3" w14:textId="77777777" w:rsidR="008B0343" w:rsidRPr="004F6352" w:rsidRDefault="009F5367">
            <w:pPr>
              <w:pStyle w:val="a6"/>
              <w:rPr>
                <w:lang w:val="en-US"/>
              </w:rPr>
            </w:pPr>
            <w:r w:rsidRPr="004F6352">
              <w:rPr>
                <w:rFonts w:eastAsia="宋体"/>
                <w:sz w:val="20"/>
                <w:szCs w:val="20"/>
                <w:lang w:val="en-US"/>
              </w:rPr>
              <w:t xml:space="preserve">We don’t intend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61F5A20B" w14:textId="77777777">
        <w:tc>
          <w:tcPr>
            <w:tcW w:w="1696" w:type="dxa"/>
          </w:tcPr>
          <w:p w14:paraId="0C2C69E9" w14:textId="77777777" w:rsidR="008B0343" w:rsidRPr="004F6352" w:rsidRDefault="009F5367">
            <w:pPr>
              <w:pStyle w:val="a6"/>
              <w:rPr>
                <w:rFonts w:eastAsia="DengXian"/>
                <w:bCs/>
                <w:sz w:val="20"/>
                <w:szCs w:val="20"/>
                <w:lang w:val="en-US"/>
              </w:rPr>
            </w:pPr>
            <w:proofErr w:type="spellStart"/>
            <w:r w:rsidRPr="004F6352">
              <w:rPr>
                <w:rFonts w:eastAsia="宋体"/>
                <w:bCs/>
                <w:lang w:val="en-US"/>
              </w:rPr>
              <w:t>ChinaTelecom</w:t>
            </w:r>
            <w:proofErr w:type="spellEnd"/>
          </w:p>
        </w:tc>
        <w:tc>
          <w:tcPr>
            <w:tcW w:w="2127" w:type="dxa"/>
          </w:tcPr>
          <w:p w14:paraId="1EE7C54C" w14:textId="77777777" w:rsidR="008B0343" w:rsidRPr="004F6352" w:rsidRDefault="009F5367">
            <w:pPr>
              <w:pStyle w:val="a6"/>
              <w:rPr>
                <w:rFonts w:eastAsia="宋体"/>
                <w:sz w:val="20"/>
                <w:szCs w:val="20"/>
                <w:lang w:val="en-US"/>
              </w:rPr>
            </w:pPr>
            <w:r w:rsidRPr="004F6352">
              <w:rPr>
                <w:rFonts w:eastAsia="宋体"/>
                <w:sz w:val="20"/>
                <w:lang w:val="en-US"/>
              </w:rPr>
              <w:t>Ignore</w:t>
            </w:r>
          </w:p>
        </w:tc>
        <w:tc>
          <w:tcPr>
            <w:tcW w:w="5811" w:type="dxa"/>
          </w:tcPr>
          <w:p w14:paraId="3C88AA2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w:t>
            </w:r>
            <w:r w:rsidRPr="004F6352">
              <w:rPr>
                <w:rFonts w:eastAsia="Malgun Gothic"/>
                <w:bCs/>
                <w:sz w:val="20"/>
                <w:lang w:val="en-US" w:eastAsia="ko-KR"/>
              </w:rPr>
              <w:t>ZTE</w:t>
            </w:r>
            <w:r w:rsidRPr="004F6352">
              <w:rPr>
                <w:rFonts w:eastAsia="宋体"/>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a6"/>
              <w:rPr>
                <w:rFonts w:eastAsia="Malgun Gothic"/>
                <w:bCs/>
                <w:sz w:val="20"/>
                <w:szCs w:val="20"/>
                <w:lang w:val="en-US" w:eastAsia="ko-KR"/>
              </w:rPr>
            </w:pPr>
            <w:r w:rsidRPr="004F6352">
              <w:rPr>
                <w:rFonts w:eastAsia="Malgun Gothic"/>
                <w:bCs/>
                <w:sz w:val="20"/>
                <w:szCs w:val="20"/>
                <w:lang w:val="en-US" w:eastAsia="ko-KR"/>
              </w:rPr>
              <w:lastRenderedPageBreak/>
              <w:t>LGE</w:t>
            </w:r>
          </w:p>
        </w:tc>
        <w:tc>
          <w:tcPr>
            <w:tcW w:w="2127" w:type="dxa"/>
          </w:tcPr>
          <w:p w14:paraId="36A479B5"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 xml:space="preserve">It depends whether </w:t>
            </w:r>
            <w:proofErr w:type="spellStart"/>
            <w:r w:rsidRPr="004F6352">
              <w:rPr>
                <w:rFonts w:eastAsia="Malgun Gothic"/>
                <w:sz w:val="20"/>
                <w:szCs w:val="20"/>
                <w:lang w:val="en-US" w:eastAsia="ko-KR"/>
              </w:rPr>
              <w:t>RedCap</w:t>
            </w:r>
            <w:proofErr w:type="spellEnd"/>
            <w:r w:rsidRPr="004F6352">
              <w:rPr>
                <w:rFonts w:eastAsia="Malgun Gothic"/>
                <w:sz w:val="20"/>
                <w:szCs w:val="20"/>
                <w:lang w:val="en-US" w:eastAsia="ko-KR"/>
              </w:rPr>
              <w:t xml:space="preserve"> only cells exist or not.</w:t>
            </w:r>
          </w:p>
        </w:tc>
      </w:tr>
      <w:tr w:rsidR="00E6160F" w:rsidRPr="004F6352" w14:paraId="39F51176" w14:textId="77777777">
        <w:tc>
          <w:tcPr>
            <w:tcW w:w="1696" w:type="dxa"/>
          </w:tcPr>
          <w:p w14:paraId="5336C53E" w14:textId="0FD2E50D"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a6"/>
              <w:rPr>
                <w:rFonts w:eastAsia="Malgun Gothic"/>
                <w:lang w:val="en-US" w:eastAsia="ko-KR"/>
              </w:rPr>
            </w:pPr>
            <w:r w:rsidRPr="004F6352">
              <w:rPr>
                <w:rFonts w:eastAsia="宋体"/>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a6"/>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a6"/>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a6"/>
              <w:rPr>
                <w:rFonts w:eastAsia="宋体"/>
                <w:lang w:val="en-US"/>
              </w:rPr>
            </w:pPr>
            <w:r w:rsidRPr="004F6352">
              <w:rPr>
                <w:rFonts w:eastAsia="宋体"/>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a6"/>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a6"/>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a6"/>
              <w:rPr>
                <w:rFonts w:eastAsia="宋体"/>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w:t>
      </w:r>
      <w:proofErr w:type="spellStart"/>
      <w:r w:rsidRPr="004F6352">
        <w:rPr>
          <w:rFonts w:ascii="Arial" w:hAnsi="Arial" w:cs="Arial"/>
          <w:lang w:val="en-US"/>
        </w:rPr>
        <w:t>RedCap</w:t>
      </w:r>
      <w:proofErr w:type="spellEnd"/>
      <w:r w:rsidRPr="004F6352">
        <w:rPr>
          <w:rFonts w:ascii="Arial" w:hAnsi="Arial" w:cs="Arial"/>
          <w:lang w:val="en-US"/>
        </w:rPr>
        <w:t xml:space="preserve">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proofErr w:type="spellStart"/>
      <w:r w:rsidR="00B7069A" w:rsidRPr="004F6352">
        <w:rPr>
          <w:rFonts w:ascii="Arial" w:hAnsi="Arial" w:cs="Arial"/>
          <w:b/>
          <w:bCs/>
          <w:lang w:val="en-US"/>
        </w:rPr>
        <w:t>RedCap</w:t>
      </w:r>
      <w:proofErr w:type="spellEnd"/>
      <w:r w:rsidR="00B7069A" w:rsidRPr="004F6352">
        <w:rPr>
          <w:rFonts w:ascii="Arial" w:hAnsi="Arial" w:cs="Arial"/>
          <w:b/>
          <w:bCs/>
          <w:lang w:val="en-US"/>
        </w:rPr>
        <w:t xml:space="preserve">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Question: Do you support the above proposal: “</w:t>
      </w:r>
      <w:proofErr w:type="spellStart"/>
      <w:r w:rsidRPr="00E64451">
        <w:rPr>
          <w:rFonts w:ascii="Arial" w:hAnsi="Arial" w:cs="Arial"/>
          <w:b/>
          <w:bCs/>
          <w:lang w:val="en-US"/>
        </w:rPr>
        <w:t>RedCap</w:t>
      </w:r>
      <w:proofErr w:type="spellEnd"/>
      <w:r w:rsidRPr="00E64451">
        <w:rPr>
          <w:rFonts w:ascii="Arial" w:hAnsi="Arial" w:cs="Arial"/>
          <w:b/>
          <w:bCs/>
          <w:lang w:val="en-US"/>
        </w:rPr>
        <w:t xml:space="preserve">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af4"/>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a6"/>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a6"/>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a6"/>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a6"/>
              <w:rPr>
                <w:rFonts w:eastAsia="宋体"/>
                <w:lang w:val="en-US"/>
              </w:rPr>
            </w:pPr>
            <w:r>
              <w:rPr>
                <w:rFonts w:eastAsia="宋体"/>
                <w:lang w:val="en-US"/>
              </w:rPr>
              <w:t>Yes</w:t>
            </w:r>
          </w:p>
        </w:tc>
        <w:tc>
          <w:tcPr>
            <w:tcW w:w="6044" w:type="dxa"/>
          </w:tcPr>
          <w:p w14:paraId="71FCF3B4" w14:textId="77777777" w:rsidR="008B0343" w:rsidRDefault="00F30F39">
            <w:pPr>
              <w:pStyle w:val="a6"/>
              <w:rPr>
                <w:rFonts w:eastAsia="宋体"/>
                <w:lang w:val="en-US"/>
              </w:rPr>
            </w:pPr>
            <w:r>
              <w:rPr>
                <w:rFonts w:eastAsia="宋体"/>
                <w:lang w:val="en-US"/>
              </w:rPr>
              <w:t xml:space="preserve">It would be better (and logical) to keep barring along with (agreed) IFRI, and so this is one more reason for the UE to ignore MIB </w:t>
            </w:r>
            <w:proofErr w:type="spellStart"/>
            <w:r>
              <w:rPr>
                <w:rFonts w:eastAsia="宋体"/>
                <w:lang w:val="en-US"/>
              </w:rPr>
              <w:t>cellBarred</w:t>
            </w:r>
            <w:proofErr w:type="spellEnd"/>
            <w:r>
              <w:rPr>
                <w:rFonts w:eastAsia="宋体"/>
                <w:lang w:val="en-US"/>
              </w:rPr>
              <w:t xml:space="preserve">.  Also as mentioned earlier, without this, the NW deployment options for </w:t>
            </w:r>
            <w:proofErr w:type="spellStart"/>
            <w:r>
              <w:rPr>
                <w:rFonts w:eastAsia="宋体"/>
                <w:lang w:val="en-US"/>
              </w:rPr>
              <w:t>RedCap</w:t>
            </w:r>
            <w:proofErr w:type="spellEnd"/>
            <w:r>
              <w:rPr>
                <w:rFonts w:eastAsia="宋体"/>
                <w:lang w:val="en-US"/>
              </w:rPr>
              <w:t xml:space="preserve"> would be restricted in cells where the initial DL BWP is &gt;20MHz. And we also agree with ZTE’s view above as an additional reason. </w:t>
            </w:r>
          </w:p>
          <w:p w14:paraId="66C961B3" w14:textId="6C1FA4E9" w:rsidR="00F30F39" w:rsidRPr="004F6352" w:rsidRDefault="0023077E">
            <w:pPr>
              <w:pStyle w:val="a6"/>
              <w:rPr>
                <w:rFonts w:eastAsia="宋体"/>
                <w:lang w:val="en-US"/>
              </w:rPr>
            </w:pPr>
            <w:r>
              <w:rPr>
                <w:rFonts w:eastAsia="宋体"/>
                <w:lang w:val="en-US"/>
              </w:rPr>
              <w:t>More</w:t>
            </w:r>
            <w:r w:rsidR="00F30F39">
              <w:rPr>
                <w:rFonts w:eastAsia="宋体"/>
                <w:lang w:val="en-US"/>
              </w:rPr>
              <w:t xml:space="preserve"> reasons to support than not support </w:t>
            </w:r>
            <w:r w:rsidR="00F30F39" w:rsidRPr="00F30F39">
              <w:rPr>
                <w:rFonts w:eastAsia="宋体"/>
                <w:lang w:val="en-US"/>
              </w:rPr>
              <w:sym w:font="Wingdings" w:char="F04A"/>
            </w:r>
            <w:r w:rsidR="00F30F39">
              <w:rPr>
                <w:rFonts w:eastAsia="宋体"/>
                <w:lang w:val="en-US"/>
              </w:rPr>
              <w:t>.</w:t>
            </w:r>
          </w:p>
        </w:tc>
      </w:tr>
      <w:tr w:rsidR="008B0343" w:rsidRPr="004F6352" w14:paraId="4DE5AB14" w14:textId="77777777">
        <w:tc>
          <w:tcPr>
            <w:tcW w:w="1662" w:type="dxa"/>
          </w:tcPr>
          <w:p w14:paraId="1D0A7914" w14:textId="203707AF" w:rsidR="008B0343" w:rsidRPr="004F6352" w:rsidRDefault="008D5B7F">
            <w:pPr>
              <w:pStyle w:val="a6"/>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a6"/>
              <w:rPr>
                <w:rFonts w:eastAsia="宋体"/>
                <w:lang w:val="en-US"/>
              </w:rPr>
            </w:pPr>
            <w:r>
              <w:rPr>
                <w:rFonts w:eastAsia="宋体"/>
                <w:lang w:val="en-US"/>
              </w:rPr>
              <w:t>No</w:t>
            </w:r>
          </w:p>
        </w:tc>
        <w:tc>
          <w:tcPr>
            <w:tcW w:w="6044" w:type="dxa"/>
          </w:tcPr>
          <w:p w14:paraId="5D5131BE" w14:textId="093B9FE0" w:rsidR="008B0343" w:rsidRDefault="00B817F5">
            <w:pPr>
              <w:pStyle w:val="a6"/>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a6"/>
              <w:rPr>
                <w:lang w:val="en-US"/>
              </w:rPr>
            </w:pPr>
            <w:r>
              <w:rPr>
                <w:lang w:val="en-US"/>
              </w:rPr>
              <w:t xml:space="preserve">With latest agreement, IFRI is used </w:t>
            </w:r>
            <w:r w:rsidR="00432E53">
              <w:rPr>
                <w:lang w:val="en-US"/>
              </w:rPr>
              <w:t xml:space="preserve">to identify if the cell support </w:t>
            </w:r>
            <w:proofErr w:type="spellStart"/>
            <w:r w:rsidR="00432E53">
              <w:rPr>
                <w:lang w:val="en-US"/>
              </w:rPr>
              <w:t>RedCap</w:t>
            </w:r>
            <w:proofErr w:type="spellEnd"/>
            <w:r w:rsidR="00432E53">
              <w:rPr>
                <w:lang w:val="en-US"/>
              </w:rPr>
              <w:t xml:space="preserve"> devices that is completely different</w:t>
            </w:r>
            <w:r w:rsidR="009C28F7">
              <w:rPr>
                <w:lang w:val="en-US"/>
              </w:rPr>
              <w:t xml:space="preserve"> </w:t>
            </w:r>
            <w:r w:rsidR="002E0B4D">
              <w:rPr>
                <w:lang w:val="en-US"/>
              </w:rPr>
              <w:t xml:space="preserve">to say that </w:t>
            </w:r>
            <w:proofErr w:type="spellStart"/>
            <w:r w:rsidR="002E0B4D">
              <w:rPr>
                <w:lang w:val="en-US"/>
              </w:rPr>
              <w:t>RedCap</w:t>
            </w:r>
            <w:proofErr w:type="spellEnd"/>
            <w:r w:rsidR="002E0B4D">
              <w:rPr>
                <w:lang w:val="en-US"/>
              </w:rPr>
              <w:t xml:space="preserve"> are barred from that cell.</w:t>
            </w:r>
            <w:r w:rsidR="005D06FF">
              <w:rPr>
                <w:lang w:val="en-US"/>
              </w:rPr>
              <w:t xml:space="preserve"> We are mixing things here.</w:t>
            </w:r>
          </w:p>
          <w:p w14:paraId="06F21938" w14:textId="004B9A28" w:rsidR="00812A81" w:rsidRDefault="00290A1D">
            <w:pPr>
              <w:pStyle w:val="a6"/>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 xml:space="preserve">mum BW supported by </w:t>
            </w:r>
            <w:proofErr w:type="spellStart"/>
            <w:r w:rsidR="005D1338">
              <w:rPr>
                <w:lang w:val="en-US"/>
              </w:rPr>
              <w:t>RedCap</w:t>
            </w:r>
            <w:proofErr w:type="spellEnd"/>
            <w:r w:rsidR="005D1338">
              <w:rPr>
                <w:lang w:val="en-US"/>
              </w:rPr>
              <w:t xml:space="preserve">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a6"/>
              <w:rPr>
                <w:lang w:val="en-US"/>
              </w:rPr>
            </w:pPr>
            <w:r>
              <w:rPr>
                <w:lang w:val="en-US"/>
              </w:rPr>
              <w:t>In reference to ZTE comments</w:t>
            </w:r>
            <w:r w:rsidR="0091760D">
              <w:rPr>
                <w:lang w:val="en-US"/>
              </w:rPr>
              <w:t xml:space="preserve"> about power consumption</w:t>
            </w:r>
            <w:r>
              <w:rPr>
                <w:lang w:val="en-US"/>
              </w:rPr>
              <w:t xml:space="preserve">, </w:t>
            </w:r>
            <w:r w:rsidR="0091760D">
              <w:rPr>
                <w:lang w:val="en-US"/>
              </w:rPr>
              <w:lastRenderedPageBreak/>
              <w:t xml:space="preserve">is it possible to prove that is it beneficial for </w:t>
            </w:r>
            <w:proofErr w:type="spellStart"/>
            <w:r w:rsidR="0091760D">
              <w:rPr>
                <w:lang w:val="en-US"/>
              </w:rPr>
              <w:t>RedCap</w:t>
            </w:r>
            <w:proofErr w:type="spellEnd"/>
            <w:r w:rsidR="0091760D">
              <w:rPr>
                <w:lang w:val="en-US"/>
              </w:rPr>
              <w:t xml:space="preserve">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a6"/>
              <w:rPr>
                <w:lang w:val="en-US"/>
              </w:rPr>
            </w:pPr>
            <w:r>
              <w:rPr>
                <w:lang w:val="en-US"/>
              </w:rPr>
              <w:t xml:space="preserve">From an operational point of view, any operator that wants to </w:t>
            </w:r>
            <w:r w:rsidR="00773446">
              <w:rPr>
                <w:lang w:val="en-US"/>
              </w:rPr>
              <w:t>manage</w:t>
            </w:r>
            <w:r>
              <w:rPr>
                <w:lang w:val="en-US"/>
              </w:rPr>
              <w:t xml:space="preserve"> UE and </w:t>
            </w:r>
            <w:proofErr w:type="spellStart"/>
            <w:r>
              <w:rPr>
                <w:lang w:val="en-US"/>
              </w:rPr>
              <w:t>RedCap</w:t>
            </w:r>
            <w:proofErr w:type="spellEnd"/>
            <w:r>
              <w:rPr>
                <w:lang w:val="en-US"/>
              </w:rPr>
              <w:t xml:space="preserve">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w:t>
            </w:r>
            <w:proofErr w:type="spellStart"/>
            <w:r w:rsidR="00B95552">
              <w:rPr>
                <w:lang w:val="en-US"/>
              </w:rPr>
              <w:t>RedCap</w:t>
            </w:r>
            <w:proofErr w:type="spellEnd"/>
            <w:r w:rsidR="00773446">
              <w:rPr>
                <w:lang w:val="en-US"/>
              </w:rPr>
              <w:t>.</w:t>
            </w:r>
          </w:p>
          <w:p w14:paraId="623F7E56" w14:textId="400D00BD" w:rsidR="00AF3989" w:rsidRDefault="00AF3989" w:rsidP="00DC1C51">
            <w:pPr>
              <w:pStyle w:val="a6"/>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a6"/>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a6"/>
              <w:rPr>
                <w:lang w:val="en-US"/>
              </w:rPr>
            </w:pPr>
            <w:r>
              <w:rPr>
                <w:lang w:val="en-US"/>
              </w:rPr>
              <w:t>Finally, d</w:t>
            </w:r>
            <w:r w:rsidR="007B630E">
              <w:rPr>
                <w:lang w:val="en-US"/>
              </w:rPr>
              <w:t xml:space="preserve">edicated </w:t>
            </w:r>
            <w:proofErr w:type="spellStart"/>
            <w:r w:rsidR="001D0B28">
              <w:rPr>
                <w:lang w:val="en-US"/>
              </w:rPr>
              <w:t>RedCap</w:t>
            </w:r>
            <w:proofErr w:type="spellEnd"/>
            <w:r w:rsidR="001D0B28">
              <w:rPr>
                <w:lang w:val="en-US"/>
              </w:rPr>
              <w:t xml:space="preserve">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a6"/>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a6"/>
              <w:rPr>
                <w:rFonts w:eastAsia="宋体"/>
                <w:lang w:val="en-US"/>
              </w:rPr>
            </w:pPr>
            <w:r>
              <w:rPr>
                <w:rFonts w:eastAsia="宋体"/>
                <w:lang w:val="en-US"/>
              </w:rPr>
              <w:t>Yes</w:t>
            </w:r>
          </w:p>
        </w:tc>
        <w:tc>
          <w:tcPr>
            <w:tcW w:w="6044" w:type="dxa"/>
          </w:tcPr>
          <w:p w14:paraId="56DA880C" w14:textId="77777777" w:rsidR="008B0343" w:rsidRDefault="00AB7D59" w:rsidP="00AB7D59">
            <w:pPr>
              <w:pStyle w:val="a6"/>
              <w:tabs>
                <w:tab w:val="left" w:pos="0"/>
              </w:tabs>
              <w:rPr>
                <w:rFonts w:eastAsia="宋体"/>
                <w:lang w:val="en-US"/>
              </w:rPr>
            </w:pPr>
            <w:r>
              <w:rPr>
                <w:rFonts w:eastAsia="宋体"/>
                <w:lang w:val="en-US"/>
              </w:rPr>
              <w:t xml:space="preserve">It is </w:t>
            </w:r>
            <w:r w:rsidR="00936434">
              <w:rPr>
                <w:rFonts w:eastAsia="宋体"/>
                <w:lang w:val="en-US"/>
              </w:rPr>
              <w:t>easier</w:t>
            </w:r>
            <w:r>
              <w:rPr>
                <w:rFonts w:eastAsia="宋体"/>
                <w:lang w:val="en-US"/>
              </w:rPr>
              <w:t xml:space="preserve"> for UEs if all cell barring indications are </w:t>
            </w:r>
            <w:r w:rsidR="00936434">
              <w:rPr>
                <w:rFonts w:eastAsia="宋体"/>
                <w:lang w:val="en-US"/>
              </w:rPr>
              <w:t>in the same SIB.</w:t>
            </w:r>
          </w:p>
          <w:p w14:paraId="3AEC5019" w14:textId="526E0457" w:rsidR="00936434" w:rsidRPr="004F6352" w:rsidRDefault="00936434" w:rsidP="00AB7D59">
            <w:pPr>
              <w:pStyle w:val="a6"/>
              <w:tabs>
                <w:tab w:val="left" w:pos="0"/>
              </w:tabs>
              <w:rPr>
                <w:rFonts w:eastAsia="宋体"/>
                <w:lang w:val="en-US"/>
              </w:rPr>
            </w:pPr>
            <w:r>
              <w:rPr>
                <w:rFonts w:eastAsia="宋体"/>
                <w:lang w:val="en-US"/>
              </w:rPr>
              <w:t xml:space="preserve">It is more flexible if </w:t>
            </w:r>
            <w:r w:rsidR="00AE1FEF">
              <w:rPr>
                <w:rFonts w:eastAsia="宋体"/>
                <w:lang w:val="en-US"/>
              </w:rPr>
              <w:t xml:space="preserve">UE ignores </w:t>
            </w:r>
            <w:proofErr w:type="spellStart"/>
            <w:r w:rsidR="00AE1FEF" w:rsidRPr="00AE1FEF">
              <w:rPr>
                <w:rFonts w:eastAsia="宋体"/>
                <w:i/>
                <w:iCs/>
                <w:lang w:val="en-US"/>
              </w:rPr>
              <w:t>cellBarred</w:t>
            </w:r>
            <w:proofErr w:type="spellEnd"/>
            <w:r w:rsidR="00AE1FEF">
              <w:rPr>
                <w:rFonts w:eastAsia="宋体"/>
                <w:i/>
                <w:iCs/>
                <w:lang w:val="en-US"/>
              </w:rPr>
              <w:t>,</w:t>
            </w:r>
            <w:r w:rsidR="00AE1FEF">
              <w:rPr>
                <w:rFonts w:eastAsia="宋体"/>
                <w:lang w:val="en-US"/>
              </w:rPr>
              <w:t xml:space="preserve"> </w:t>
            </w:r>
            <w:r w:rsidR="001F352F">
              <w:rPr>
                <w:rFonts w:eastAsia="宋体"/>
                <w:lang w:val="en-US"/>
              </w:rPr>
              <w:t>al</w:t>
            </w:r>
            <w:r w:rsidR="00AE1FEF">
              <w:rPr>
                <w:rFonts w:eastAsia="宋体"/>
                <w:lang w:val="en-US"/>
              </w:rPr>
              <w:t>though</w:t>
            </w:r>
            <w:r w:rsidR="001F352F">
              <w:rPr>
                <w:rFonts w:eastAsia="宋体"/>
                <w:lang w:val="en-US"/>
              </w:rPr>
              <w:t xml:space="preserve"> currently there is no clear use case of</w:t>
            </w:r>
            <w:r w:rsidR="00AE1FEF">
              <w:rPr>
                <w:rFonts w:eastAsia="宋体"/>
                <w:lang w:val="en-US"/>
              </w:rPr>
              <w:t xml:space="preserve"> </w:t>
            </w:r>
            <w:proofErr w:type="spellStart"/>
            <w:r w:rsidR="00AE1FEF">
              <w:rPr>
                <w:rFonts w:eastAsia="宋体"/>
                <w:lang w:val="en-US"/>
              </w:rPr>
              <w:t>RedCap</w:t>
            </w:r>
            <w:proofErr w:type="spellEnd"/>
            <w:r w:rsidR="00AE1FEF">
              <w:rPr>
                <w:rFonts w:eastAsia="宋体"/>
                <w:lang w:val="en-US"/>
              </w:rPr>
              <w:t xml:space="preserve"> only cells</w:t>
            </w:r>
            <w:r w:rsidR="001F352F">
              <w:rPr>
                <w:rFonts w:eastAsia="宋体"/>
                <w:lang w:val="en-US"/>
              </w:rPr>
              <w:t>.</w:t>
            </w:r>
          </w:p>
        </w:tc>
      </w:tr>
      <w:tr w:rsidR="008B0343" w:rsidRPr="004F6352" w14:paraId="021C6496" w14:textId="77777777">
        <w:tc>
          <w:tcPr>
            <w:tcW w:w="1662" w:type="dxa"/>
          </w:tcPr>
          <w:p w14:paraId="515F5789" w14:textId="2E7007AF" w:rsidR="008B0343" w:rsidRPr="004F6352" w:rsidRDefault="00CF7844">
            <w:pPr>
              <w:pStyle w:val="a6"/>
              <w:rPr>
                <w:rFonts w:eastAsia="Malgun Gothic"/>
                <w:bCs/>
                <w:lang w:val="en-US" w:eastAsia="ko-KR"/>
              </w:rPr>
            </w:pPr>
            <w:proofErr w:type="spellStart"/>
            <w:r>
              <w:rPr>
                <w:rFonts w:eastAsia="Malgun Gothic"/>
                <w:bCs/>
                <w:lang w:val="en-US" w:eastAsia="ko-KR"/>
              </w:rPr>
              <w:t>Futurewei</w:t>
            </w:r>
            <w:proofErr w:type="spellEnd"/>
          </w:p>
        </w:tc>
        <w:tc>
          <w:tcPr>
            <w:tcW w:w="1928" w:type="dxa"/>
          </w:tcPr>
          <w:p w14:paraId="51AE0047" w14:textId="4B3EC692" w:rsidR="008B0343" w:rsidRPr="004F6352" w:rsidRDefault="00CF7844">
            <w:pPr>
              <w:pStyle w:val="a6"/>
              <w:rPr>
                <w:rFonts w:eastAsia="宋体"/>
                <w:lang w:val="en-US"/>
              </w:rPr>
            </w:pPr>
            <w:r>
              <w:rPr>
                <w:rFonts w:eastAsia="宋体"/>
                <w:lang w:val="en-US"/>
              </w:rPr>
              <w:t>Leaning towards Yes</w:t>
            </w:r>
          </w:p>
        </w:tc>
        <w:tc>
          <w:tcPr>
            <w:tcW w:w="6044" w:type="dxa"/>
          </w:tcPr>
          <w:p w14:paraId="2E4A3CAB" w14:textId="617AFDB6" w:rsidR="00DD325A" w:rsidRDefault="00CF7844">
            <w:pPr>
              <w:pStyle w:val="a6"/>
              <w:rPr>
                <w:rFonts w:cs="Arial"/>
                <w:lang w:val="en-US"/>
              </w:rPr>
            </w:pPr>
            <w:r>
              <w:rPr>
                <w:rFonts w:eastAsia="宋体"/>
                <w:lang w:val="en-US"/>
              </w:rPr>
              <w:t xml:space="preserve">Given RAN2 has agreed on a common </w:t>
            </w:r>
            <w:proofErr w:type="spellStart"/>
            <w:r>
              <w:rPr>
                <w:rFonts w:eastAsia="宋体"/>
                <w:lang w:val="en-US"/>
              </w:rPr>
              <w:t>RedCap</w:t>
            </w:r>
            <w:proofErr w:type="spellEnd"/>
            <w:r>
              <w:rPr>
                <w:rFonts w:eastAsia="宋体"/>
                <w:lang w:val="en-US"/>
              </w:rPr>
              <w:t xml:space="preserve">-specific IFRI in SIB1, if the </w:t>
            </w:r>
            <w:proofErr w:type="spellStart"/>
            <w:r>
              <w:rPr>
                <w:rFonts w:eastAsia="宋体"/>
                <w:lang w:val="en-US"/>
              </w:rPr>
              <w:t>cellBarred</w:t>
            </w:r>
            <w:proofErr w:type="spellEnd"/>
            <w:r>
              <w:rPr>
                <w:rFonts w:eastAsia="宋体"/>
                <w:lang w:val="en-US"/>
              </w:rPr>
              <w:t xml:space="preserve"> in MIB is set to </w:t>
            </w:r>
            <w:r w:rsidRPr="00CF7844">
              <w:rPr>
                <w:rFonts w:eastAsia="宋体"/>
                <w:i/>
                <w:iCs/>
                <w:lang w:val="en-US"/>
              </w:rPr>
              <w:t>barred</w:t>
            </w:r>
            <w:r>
              <w:rPr>
                <w:rFonts w:eastAsia="宋体"/>
                <w:lang w:val="en-US"/>
              </w:rPr>
              <w:t xml:space="preserve">, a </w:t>
            </w:r>
            <w:proofErr w:type="spellStart"/>
            <w:r>
              <w:rPr>
                <w:rFonts w:eastAsia="宋体"/>
                <w:lang w:val="en-US"/>
              </w:rPr>
              <w:t>RedCap</w:t>
            </w:r>
            <w:proofErr w:type="spellEnd"/>
            <w:r>
              <w:rPr>
                <w:rFonts w:eastAsia="宋体"/>
                <w:lang w:val="en-US"/>
              </w:rPr>
              <w:t xml:space="preserve"> UE still needs to read SIB1 to know if it can reselect a neighboring cell on the barred frequency channel or not. So, it may be untrue</w:t>
            </w:r>
            <w:r w:rsidR="00DD325A">
              <w:rPr>
                <w:rFonts w:eastAsia="宋体"/>
                <w:lang w:val="en-US"/>
              </w:rPr>
              <w:t xml:space="preserve"> to say</w:t>
            </w:r>
            <w:r>
              <w:rPr>
                <w:rFonts w:eastAsia="宋体"/>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a6"/>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w:t>
            </w:r>
            <w:proofErr w:type="spellStart"/>
            <w:r w:rsidR="00CF7844">
              <w:rPr>
                <w:rFonts w:cs="Arial"/>
                <w:lang w:val="en-US"/>
              </w:rPr>
              <w:t>RedCap</w:t>
            </w:r>
            <w:proofErr w:type="spell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a6"/>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a6"/>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a6"/>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a6"/>
              <w:rPr>
                <w:rFonts w:eastAsia="Malgun Gothic"/>
                <w:bCs/>
                <w:lang w:val="en-US" w:eastAsia="ko-KR"/>
              </w:rPr>
            </w:pPr>
            <w:proofErr w:type="spellStart"/>
            <w:r>
              <w:rPr>
                <w:rFonts w:eastAsia="Malgun Gothic"/>
                <w:bCs/>
                <w:lang w:val="en-US" w:eastAsia="ko-KR"/>
              </w:rPr>
              <w:t>RedCap</w:t>
            </w:r>
            <w:proofErr w:type="spellEnd"/>
            <w:r>
              <w:rPr>
                <w:rFonts w:eastAsia="Malgun Gothic"/>
                <w:bCs/>
                <w:lang w:val="en-US" w:eastAsia="ko-KR"/>
              </w:rPr>
              <w:t xml:space="preserve"> UEs read SIB1 and we don’t know yet whether </w:t>
            </w:r>
            <w:proofErr w:type="spellStart"/>
            <w:r>
              <w:rPr>
                <w:rFonts w:eastAsia="Malgun Gothic"/>
                <w:bCs/>
                <w:lang w:val="en-US" w:eastAsia="ko-KR"/>
              </w:rPr>
              <w:t>RedCap</w:t>
            </w:r>
            <w:proofErr w:type="spellEnd"/>
            <w:r>
              <w:rPr>
                <w:rFonts w:eastAsia="Malgun Gothic"/>
                <w:bCs/>
                <w:lang w:val="en-US" w:eastAsia="ko-KR"/>
              </w:rPr>
              <w:t xml:space="preserve"> only cells can be supported or not.</w:t>
            </w:r>
          </w:p>
        </w:tc>
      </w:tr>
      <w:tr w:rsidR="008B0343" w:rsidRPr="004F6352" w14:paraId="3D1936B9" w14:textId="77777777">
        <w:tc>
          <w:tcPr>
            <w:tcW w:w="1662" w:type="dxa"/>
          </w:tcPr>
          <w:p w14:paraId="380F3B10" w14:textId="11D97A66" w:rsidR="008B0343" w:rsidRPr="00F42988" w:rsidRDefault="00F42988">
            <w:pPr>
              <w:pStyle w:val="a6"/>
              <w:rPr>
                <w:rFonts w:eastAsiaTheme="minor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a6"/>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a6"/>
              <w:rPr>
                <w:rFonts w:eastAsiaTheme="minorEastAsia"/>
                <w:lang w:val="en-US"/>
              </w:rPr>
            </w:pPr>
            <w:proofErr w:type="spellStart"/>
            <w:r>
              <w:rPr>
                <w:rFonts w:eastAsiaTheme="minorEastAsia" w:hint="eastAsia"/>
                <w:lang w:val="en-US"/>
              </w:rPr>
              <w:t>R</w:t>
            </w:r>
            <w:r>
              <w:rPr>
                <w:rFonts w:eastAsiaTheme="minorEastAsia"/>
                <w:lang w:val="en-US"/>
              </w:rPr>
              <w:t>edCap</w:t>
            </w:r>
            <w:proofErr w:type="spellEnd"/>
            <w:r>
              <w:rPr>
                <w:rFonts w:eastAsiaTheme="minorEastAsia"/>
                <w:lang w:val="en-US"/>
              </w:rPr>
              <w:t xml:space="preserve"> UEs can read SIB1 to determine whether the cell is allowed for camping. </w:t>
            </w:r>
          </w:p>
        </w:tc>
      </w:tr>
      <w:tr w:rsidR="008B0343" w:rsidRPr="004F6352" w14:paraId="51A8E509" w14:textId="77777777">
        <w:tc>
          <w:tcPr>
            <w:tcW w:w="1662" w:type="dxa"/>
          </w:tcPr>
          <w:p w14:paraId="0B5520DD" w14:textId="2B32FEBF" w:rsidR="008B0343" w:rsidRPr="004F6352" w:rsidRDefault="008E60FF">
            <w:pPr>
              <w:pStyle w:val="a6"/>
              <w:rPr>
                <w:rFonts w:eastAsia="Yu Mincho"/>
                <w:bCs/>
                <w:lang w:val="en-US" w:eastAsia="ja-JP"/>
              </w:rPr>
            </w:pPr>
            <w:r>
              <w:rPr>
                <w:rFonts w:eastAsia="Yu Mincho"/>
                <w:bCs/>
                <w:lang w:val="en-US" w:eastAsia="ja-JP"/>
              </w:rPr>
              <w:t>Intel</w:t>
            </w:r>
          </w:p>
        </w:tc>
        <w:tc>
          <w:tcPr>
            <w:tcW w:w="1928" w:type="dxa"/>
          </w:tcPr>
          <w:p w14:paraId="5BDA86F7" w14:textId="313941F0" w:rsidR="008B0343" w:rsidRPr="004F6352" w:rsidRDefault="008E60FF">
            <w:pPr>
              <w:pStyle w:val="a6"/>
              <w:rPr>
                <w:rFonts w:eastAsia="Yu Mincho"/>
                <w:lang w:val="en-US" w:eastAsia="ja-JP"/>
              </w:rPr>
            </w:pPr>
            <w:r>
              <w:rPr>
                <w:rFonts w:eastAsia="Yu Mincho"/>
                <w:lang w:val="en-US" w:eastAsia="ja-JP"/>
              </w:rPr>
              <w:t>No</w:t>
            </w:r>
          </w:p>
        </w:tc>
        <w:tc>
          <w:tcPr>
            <w:tcW w:w="6044" w:type="dxa"/>
          </w:tcPr>
          <w:p w14:paraId="697892E9" w14:textId="5A024036" w:rsidR="008B0343" w:rsidRPr="004F6352" w:rsidRDefault="008E60FF">
            <w:pPr>
              <w:pStyle w:val="a6"/>
              <w:rPr>
                <w:rFonts w:eastAsia="Yu Mincho"/>
                <w:lang w:val="en-US" w:eastAsia="ja-JP"/>
              </w:rPr>
            </w:pPr>
            <w:r>
              <w:rPr>
                <w:rFonts w:eastAsia="Yu Mincho"/>
                <w:lang w:val="en-US" w:eastAsia="ja-JP"/>
              </w:rPr>
              <w:t xml:space="preserve">Agree with BT. Fail to understand how “ignore checking bit in MIB” can reduce the cost. </w:t>
            </w:r>
          </w:p>
        </w:tc>
      </w:tr>
      <w:tr w:rsidR="008B0343" w:rsidRPr="004F6352" w14:paraId="2ED60000" w14:textId="77777777">
        <w:tc>
          <w:tcPr>
            <w:tcW w:w="1662" w:type="dxa"/>
          </w:tcPr>
          <w:p w14:paraId="576775CA" w14:textId="117E28A0" w:rsidR="008B0343" w:rsidRPr="00601AFC" w:rsidRDefault="00601AFC">
            <w:pPr>
              <w:pStyle w:val="a6"/>
              <w:rPr>
                <w:rFonts w:eastAsiaTheme="minorEastAsia"/>
                <w:bCs/>
                <w:lang w:val="en-US"/>
              </w:rPr>
            </w:pPr>
            <w:r>
              <w:rPr>
                <w:rFonts w:eastAsiaTheme="minorEastAsia" w:hint="eastAsia"/>
                <w:bCs/>
                <w:lang w:val="en-US"/>
              </w:rPr>
              <w:t>O</w:t>
            </w:r>
            <w:r>
              <w:rPr>
                <w:rFonts w:eastAsiaTheme="minorEastAsia"/>
                <w:bCs/>
                <w:lang w:val="en-US"/>
              </w:rPr>
              <w:t>PPO</w:t>
            </w:r>
          </w:p>
        </w:tc>
        <w:tc>
          <w:tcPr>
            <w:tcW w:w="1928" w:type="dxa"/>
          </w:tcPr>
          <w:p w14:paraId="371EB953" w14:textId="2712466C" w:rsidR="008B0343" w:rsidRPr="00601AFC" w:rsidRDefault="00601AFC">
            <w:pPr>
              <w:pStyle w:val="a6"/>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30B8710E" w14:textId="58C26800" w:rsidR="008B0343" w:rsidRPr="00601AFC" w:rsidRDefault="00601AFC">
            <w:pPr>
              <w:pStyle w:val="a6"/>
              <w:rPr>
                <w:rFonts w:eastAsiaTheme="minorEastAsia"/>
                <w:lang w:val="en-US"/>
              </w:rPr>
            </w:pPr>
            <w:r>
              <w:rPr>
                <w:rFonts w:eastAsiaTheme="minorEastAsia"/>
                <w:lang w:val="en-US"/>
              </w:rPr>
              <w:t>This is more flexible and more future-proof.</w:t>
            </w:r>
          </w:p>
        </w:tc>
      </w:tr>
      <w:tr w:rsidR="008B0343" w:rsidRPr="004F6352" w14:paraId="29C3718F" w14:textId="77777777">
        <w:tc>
          <w:tcPr>
            <w:tcW w:w="1662" w:type="dxa"/>
          </w:tcPr>
          <w:p w14:paraId="62CAD8A3" w14:textId="23057A0B" w:rsidR="008B0343" w:rsidRPr="009A2917" w:rsidRDefault="009A2917" w:rsidP="00801F30">
            <w:pPr>
              <w:pStyle w:val="a6"/>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w:t>
            </w:r>
            <w:r w:rsidR="00801F30">
              <w:rPr>
                <w:rFonts w:eastAsiaTheme="minorEastAsia"/>
                <w:bCs/>
                <w:lang w:val="en-US"/>
              </w:rPr>
              <w:t>i</w:t>
            </w:r>
            <w:r>
              <w:rPr>
                <w:rFonts w:eastAsiaTheme="minorEastAsia"/>
                <w:bCs/>
                <w:lang w:val="en-US"/>
              </w:rPr>
              <w:t>con</w:t>
            </w:r>
            <w:proofErr w:type="spellEnd"/>
          </w:p>
        </w:tc>
        <w:tc>
          <w:tcPr>
            <w:tcW w:w="1928" w:type="dxa"/>
          </w:tcPr>
          <w:p w14:paraId="1AE5E0D9" w14:textId="0F5CAAC7" w:rsidR="008B0343" w:rsidRPr="004F6352" w:rsidRDefault="009A2917">
            <w:pPr>
              <w:pStyle w:val="a6"/>
              <w:rPr>
                <w:rFonts w:eastAsia="宋体"/>
                <w:lang w:val="en-US"/>
              </w:rPr>
            </w:pPr>
            <w:r>
              <w:rPr>
                <w:rFonts w:eastAsia="宋体" w:hint="eastAsia"/>
                <w:lang w:val="en-US"/>
              </w:rPr>
              <w:t>N</w:t>
            </w:r>
            <w:r>
              <w:rPr>
                <w:rFonts w:eastAsia="宋体"/>
                <w:lang w:val="en-US"/>
              </w:rPr>
              <w:t>o</w:t>
            </w:r>
          </w:p>
        </w:tc>
        <w:tc>
          <w:tcPr>
            <w:tcW w:w="6044" w:type="dxa"/>
          </w:tcPr>
          <w:p w14:paraId="41B03910" w14:textId="77777777" w:rsidR="008B0343" w:rsidRDefault="009A2917">
            <w:pPr>
              <w:pStyle w:val="a6"/>
              <w:rPr>
                <w:rFonts w:eastAsia="宋体"/>
                <w:lang w:val="en-US"/>
              </w:rPr>
            </w:pPr>
            <w:r>
              <w:rPr>
                <w:rFonts w:eastAsia="宋体"/>
                <w:lang w:val="en-US"/>
              </w:rPr>
              <w:t xml:space="preserve">There is no so-called low-complexity benefit, since </w:t>
            </w:r>
            <w:proofErr w:type="spellStart"/>
            <w:r>
              <w:rPr>
                <w:rFonts w:eastAsia="宋体"/>
                <w:lang w:val="en-US"/>
              </w:rPr>
              <w:t>RedCap</w:t>
            </w:r>
            <w:proofErr w:type="spellEnd"/>
            <w:r>
              <w:rPr>
                <w:rFonts w:eastAsia="宋体"/>
                <w:lang w:val="en-US"/>
              </w:rPr>
              <w:t xml:space="preserve"> anyway has to read the MIB.</w:t>
            </w:r>
          </w:p>
          <w:p w14:paraId="7FEFB36E" w14:textId="4F1CE423" w:rsidR="009A2917" w:rsidRPr="007D169D" w:rsidRDefault="009A2917" w:rsidP="007843F4">
            <w:pPr>
              <w:pStyle w:val="a6"/>
              <w:rPr>
                <w:rFonts w:eastAsia="宋体"/>
                <w:lang w:val="en-US"/>
              </w:rPr>
            </w:pPr>
            <w:r>
              <w:rPr>
                <w:rFonts w:eastAsia="宋体"/>
                <w:lang w:val="en-US"/>
              </w:rPr>
              <w:t xml:space="preserve">For the flexibility, the only motivation to ignore </w:t>
            </w:r>
            <w:proofErr w:type="spellStart"/>
            <w:r w:rsidRPr="009A2917">
              <w:rPr>
                <w:rFonts w:eastAsia="宋体"/>
                <w:lang w:val="en-US"/>
              </w:rPr>
              <w:t>cellBarred</w:t>
            </w:r>
            <w:proofErr w:type="spellEnd"/>
            <w:r w:rsidRPr="009A2917">
              <w:rPr>
                <w:rFonts w:eastAsia="宋体"/>
                <w:lang w:val="en-US"/>
              </w:rPr>
              <w:t xml:space="preserve"> in </w:t>
            </w:r>
            <w:r w:rsidRPr="009A2917">
              <w:rPr>
                <w:rFonts w:eastAsia="宋体"/>
                <w:lang w:val="en-US"/>
              </w:rPr>
              <w:lastRenderedPageBreak/>
              <w:t xml:space="preserve">MIB, i.e. the motivation </w:t>
            </w:r>
            <w:proofErr w:type="spellStart"/>
            <w:r w:rsidRPr="009A2917">
              <w:rPr>
                <w:rFonts w:eastAsia="宋体"/>
                <w:lang w:val="en-US"/>
              </w:rPr>
              <w:t>gNB</w:t>
            </w:r>
            <w:proofErr w:type="spellEnd"/>
            <w:r w:rsidRPr="009A2917">
              <w:rPr>
                <w:rFonts w:eastAsia="宋体"/>
                <w:lang w:val="en-US"/>
              </w:rPr>
              <w:t xml:space="preserve"> set barring differently in SIB1 for </w:t>
            </w:r>
            <w:proofErr w:type="spellStart"/>
            <w:r w:rsidRPr="009A2917">
              <w:rPr>
                <w:rFonts w:eastAsia="宋体"/>
                <w:lang w:val="en-US"/>
              </w:rPr>
              <w:t>RedCap</w:t>
            </w:r>
            <w:proofErr w:type="spellEnd"/>
            <w:r w:rsidRPr="009A2917">
              <w:rPr>
                <w:rFonts w:eastAsia="宋体"/>
                <w:lang w:val="en-US"/>
              </w:rPr>
              <w:t xml:space="preserve"> and in MIB for legacy, is for </w:t>
            </w:r>
            <w:proofErr w:type="spellStart"/>
            <w:r w:rsidRPr="009A2917">
              <w:rPr>
                <w:rFonts w:eastAsia="宋体"/>
                <w:lang w:val="en-US"/>
              </w:rPr>
              <w:t>R</w:t>
            </w:r>
            <w:r w:rsidR="007843F4">
              <w:rPr>
                <w:rFonts w:eastAsia="宋体"/>
                <w:lang w:val="en-US"/>
              </w:rPr>
              <w:t>edCap</w:t>
            </w:r>
            <w:proofErr w:type="spellEnd"/>
            <w:r w:rsidR="007843F4">
              <w:rPr>
                <w:rFonts w:eastAsia="宋体"/>
                <w:lang w:val="en-US"/>
              </w:rPr>
              <w:t xml:space="preserve"> only deploy cell purpose, which is not the consensus yet.</w:t>
            </w:r>
          </w:p>
        </w:tc>
      </w:tr>
      <w:tr w:rsidR="008B0343" w:rsidRPr="004F6352" w14:paraId="37529659" w14:textId="77777777">
        <w:tc>
          <w:tcPr>
            <w:tcW w:w="1662" w:type="dxa"/>
          </w:tcPr>
          <w:p w14:paraId="49E83252" w14:textId="1B5728C1" w:rsidR="008B0343" w:rsidRPr="004F6352" w:rsidRDefault="00214FCF">
            <w:pPr>
              <w:pStyle w:val="a6"/>
              <w:rPr>
                <w:bCs/>
                <w:lang w:val="en-US"/>
              </w:rPr>
            </w:pPr>
            <w:r>
              <w:rPr>
                <w:bCs/>
                <w:lang w:val="en-US"/>
              </w:rPr>
              <w:lastRenderedPageBreak/>
              <w:t>Ericsson</w:t>
            </w:r>
          </w:p>
        </w:tc>
        <w:tc>
          <w:tcPr>
            <w:tcW w:w="1928" w:type="dxa"/>
          </w:tcPr>
          <w:p w14:paraId="6BDF568B" w14:textId="4FB2EA71" w:rsidR="008B0343" w:rsidRPr="004F6352" w:rsidRDefault="00214FCF">
            <w:pPr>
              <w:pStyle w:val="a6"/>
              <w:rPr>
                <w:lang w:val="en-US"/>
              </w:rPr>
            </w:pPr>
            <w:r>
              <w:rPr>
                <w:lang w:val="en-US"/>
              </w:rPr>
              <w:t>No</w:t>
            </w:r>
          </w:p>
        </w:tc>
        <w:tc>
          <w:tcPr>
            <w:tcW w:w="6044" w:type="dxa"/>
          </w:tcPr>
          <w:p w14:paraId="7207FBC5" w14:textId="6160849C" w:rsidR="008B0343" w:rsidRPr="004F6352" w:rsidRDefault="00214FCF">
            <w:pPr>
              <w:pStyle w:val="a6"/>
              <w:rPr>
                <w:lang w:val="en-US"/>
              </w:rPr>
            </w:pPr>
            <w:r>
              <w:rPr>
                <w:lang w:val="en-US"/>
              </w:rPr>
              <w:t xml:space="preserve">Agree with BT and HW comments – there is no way around UE not reading MIB and in the end only motivation to ignore </w:t>
            </w:r>
            <w:proofErr w:type="spellStart"/>
            <w:r>
              <w:rPr>
                <w:i/>
                <w:iCs/>
                <w:lang w:val="en-US"/>
              </w:rPr>
              <w:t>cellBarred</w:t>
            </w:r>
            <w:proofErr w:type="spellEnd"/>
            <w:r>
              <w:rPr>
                <w:lang w:val="en-US"/>
              </w:rPr>
              <w:t xml:space="preserve"> would be to enable </w:t>
            </w:r>
            <w:proofErr w:type="spellStart"/>
            <w:r>
              <w:rPr>
                <w:lang w:val="en-US"/>
              </w:rPr>
              <w:t>RedCap</w:t>
            </w:r>
            <w:proofErr w:type="spellEnd"/>
            <w:r>
              <w:rPr>
                <w:lang w:val="en-US"/>
              </w:rPr>
              <w:t xml:space="preserve">-only </w:t>
            </w:r>
            <w:proofErr w:type="spellStart"/>
            <w:r>
              <w:rPr>
                <w:lang w:val="en-US"/>
              </w:rPr>
              <w:t>behaviour</w:t>
            </w:r>
            <w:proofErr w:type="spellEnd"/>
            <w:r>
              <w:rPr>
                <w:lang w:val="en-US"/>
              </w:rPr>
              <w:t xml:space="preserve">.  </w:t>
            </w:r>
          </w:p>
        </w:tc>
      </w:tr>
      <w:tr w:rsidR="008B0343" w:rsidRPr="004F6352" w14:paraId="04EBE6ED" w14:textId="77777777">
        <w:tc>
          <w:tcPr>
            <w:tcW w:w="1662" w:type="dxa"/>
          </w:tcPr>
          <w:p w14:paraId="765EAFD1" w14:textId="5B02F158" w:rsidR="008B0343" w:rsidRPr="004F6352" w:rsidRDefault="00C9635E">
            <w:pPr>
              <w:pStyle w:val="a6"/>
              <w:rPr>
                <w:bCs/>
                <w:lang w:val="en-US"/>
              </w:rPr>
            </w:pPr>
            <w:r>
              <w:rPr>
                <w:rFonts w:hint="eastAsia"/>
                <w:bCs/>
                <w:lang w:val="en-US"/>
              </w:rPr>
              <w:t>CATT</w:t>
            </w:r>
          </w:p>
        </w:tc>
        <w:tc>
          <w:tcPr>
            <w:tcW w:w="1928" w:type="dxa"/>
          </w:tcPr>
          <w:p w14:paraId="298BDCD0" w14:textId="1AF196F6" w:rsidR="008B0343" w:rsidRPr="004F6352" w:rsidRDefault="00C9635E">
            <w:pPr>
              <w:pStyle w:val="a6"/>
              <w:rPr>
                <w:rFonts w:eastAsia="Yu Mincho" w:hint="eastAsia"/>
                <w:lang w:val="en-US"/>
              </w:rPr>
            </w:pPr>
            <w:r>
              <w:rPr>
                <w:rFonts w:eastAsia="Yu Mincho" w:hint="eastAsia"/>
                <w:lang w:val="en-US"/>
              </w:rPr>
              <w:t>Yes</w:t>
            </w:r>
          </w:p>
        </w:tc>
        <w:tc>
          <w:tcPr>
            <w:tcW w:w="6044" w:type="dxa"/>
          </w:tcPr>
          <w:p w14:paraId="75A2E303" w14:textId="45D89C2F" w:rsidR="008B0343" w:rsidRPr="004F6352" w:rsidRDefault="00C9635E">
            <w:pPr>
              <w:pStyle w:val="a6"/>
              <w:rPr>
                <w:lang w:val="en-US"/>
              </w:rPr>
            </w:pPr>
            <w:r>
              <w:rPr>
                <w:rFonts w:eastAsia="宋体"/>
                <w:lang w:val="en-US"/>
              </w:rPr>
              <w:t>A</w:t>
            </w:r>
            <w:r>
              <w:rPr>
                <w:rFonts w:eastAsia="宋体" w:hint="eastAsia"/>
                <w:lang w:val="en-US"/>
              </w:rPr>
              <w:t xml:space="preserve">nyway UE need to read the SIB1 to get the IFRI when the cell is barred for redcap UE, so it is better to set the </w:t>
            </w:r>
            <w:proofErr w:type="spellStart"/>
            <w:r>
              <w:rPr>
                <w:rFonts w:eastAsia="宋体" w:hint="eastAsia"/>
                <w:lang w:val="en-US"/>
              </w:rPr>
              <w:t>cellBarred</w:t>
            </w:r>
            <w:proofErr w:type="spellEnd"/>
            <w:r>
              <w:rPr>
                <w:rFonts w:eastAsia="宋体" w:hint="eastAsia"/>
                <w:lang w:val="en-US"/>
              </w:rPr>
              <w:t xml:space="preserve"> together with the IFRI.</w:t>
            </w:r>
            <w:bookmarkStart w:id="4" w:name="_GoBack"/>
            <w:bookmarkEnd w:id="4"/>
          </w:p>
        </w:tc>
      </w:tr>
      <w:tr w:rsidR="00B63ED0" w:rsidRPr="004F6352" w14:paraId="636587BA" w14:textId="77777777">
        <w:tc>
          <w:tcPr>
            <w:tcW w:w="1662" w:type="dxa"/>
          </w:tcPr>
          <w:p w14:paraId="6906B6E3" w14:textId="4B0313B6" w:rsidR="00B63ED0" w:rsidRPr="004F6352" w:rsidRDefault="00B63ED0" w:rsidP="00B63ED0">
            <w:pPr>
              <w:pStyle w:val="a6"/>
              <w:rPr>
                <w:rFonts w:eastAsia="Malgun Gothic"/>
                <w:bCs/>
                <w:lang w:val="en-US" w:eastAsia="ko-KR"/>
              </w:rPr>
            </w:pPr>
          </w:p>
        </w:tc>
        <w:tc>
          <w:tcPr>
            <w:tcW w:w="1928" w:type="dxa"/>
          </w:tcPr>
          <w:p w14:paraId="41A3036C" w14:textId="28BBE313" w:rsidR="00B63ED0" w:rsidRPr="004F6352" w:rsidRDefault="00B63ED0" w:rsidP="00B63ED0">
            <w:pPr>
              <w:pStyle w:val="a6"/>
              <w:rPr>
                <w:rFonts w:eastAsia="Malgun Gothic"/>
                <w:lang w:val="en-US" w:eastAsia="ko-KR"/>
              </w:rPr>
            </w:pPr>
          </w:p>
        </w:tc>
        <w:tc>
          <w:tcPr>
            <w:tcW w:w="6044" w:type="dxa"/>
          </w:tcPr>
          <w:p w14:paraId="25C721B9" w14:textId="77777777" w:rsidR="00B63ED0" w:rsidRPr="004F6352" w:rsidRDefault="00B63ED0" w:rsidP="00B63ED0">
            <w:pPr>
              <w:pStyle w:val="a6"/>
              <w:rPr>
                <w:rFonts w:eastAsia="宋体"/>
                <w:lang w:val="en-US"/>
              </w:rPr>
            </w:pPr>
          </w:p>
        </w:tc>
      </w:tr>
      <w:tr w:rsidR="00E6160F" w:rsidRPr="004F6352" w14:paraId="7D9F8F0C" w14:textId="77777777">
        <w:tc>
          <w:tcPr>
            <w:tcW w:w="1662" w:type="dxa"/>
          </w:tcPr>
          <w:p w14:paraId="523EEABF" w14:textId="094113C8" w:rsidR="00E6160F" w:rsidRPr="004F6352" w:rsidRDefault="00E6160F" w:rsidP="00B63ED0">
            <w:pPr>
              <w:pStyle w:val="a6"/>
              <w:rPr>
                <w:rFonts w:eastAsia="Malgun Gothic"/>
                <w:bCs/>
                <w:sz w:val="20"/>
                <w:szCs w:val="20"/>
                <w:lang w:val="en-US" w:eastAsia="ko-KR"/>
              </w:rPr>
            </w:pPr>
          </w:p>
        </w:tc>
        <w:tc>
          <w:tcPr>
            <w:tcW w:w="1928" w:type="dxa"/>
          </w:tcPr>
          <w:p w14:paraId="52C09167" w14:textId="6D023891" w:rsidR="00E6160F" w:rsidRPr="004F6352" w:rsidRDefault="00E6160F" w:rsidP="00B63ED0">
            <w:pPr>
              <w:pStyle w:val="a6"/>
              <w:rPr>
                <w:rFonts w:eastAsia="Malgun Gothic"/>
                <w:bCs/>
                <w:sz w:val="20"/>
                <w:szCs w:val="20"/>
                <w:lang w:val="en-US" w:eastAsia="ko-KR"/>
              </w:rPr>
            </w:pPr>
          </w:p>
        </w:tc>
        <w:tc>
          <w:tcPr>
            <w:tcW w:w="6044" w:type="dxa"/>
          </w:tcPr>
          <w:p w14:paraId="40970B76" w14:textId="44C8F8EB" w:rsidR="00E6160F" w:rsidRPr="004F6352" w:rsidRDefault="00E6160F" w:rsidP="00E6160F">
            <w:pPr>
              <w:pStyle w:val="a6"/>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a6"/>
              <w:rPr>
                <w:rFonts w:eastAsiaTheme="minorEastAsia"/>
                <w:bCs/>
                <w:lang w:val="en-US"/>
              </w:rPr>
            </w:pPr>
          </w:p>
        </w:tc>
        <w:tc>
          <w:tcPr>
            <w:tcW w:w="1928" w:type="dxa"/>
          </w:tcPr>
          <w:p w14:paraId="118C36F1" w14:textId="4B0B5318" w:rsidR="004F1ABA" w:rsidRPr="004F6352" w:rsidRDefault="004F1ABA" w:rsidP="00B63ED0">
            <w:pPr>
              <w:pStyle w:val="a6"/>
              <w:rPr>
                <w:rFonts w:eastAsia="Malgun Gothic"/>
                <w:bCs/>
                <w:lang w:val="en-US" w:eastAsia="ko-KR"/>
              </w:rPr>
            </w:pPr>
          </w:p>
        </w:tc>
        <w:tc>
          <w:tcPr>
            <w:tcW w:w="6044" w:type="dxa"/>
          </w:tcPr>
          <w:p w14:paraId="4B24873A" w14:textId="20A091EF" w:rsidR="004F1ABA" w:rsidRPr="004F6352" w:rsidRDefault="004F1ABA" w:rsidP="00E6160F">
            <w:pPr>
              <w:pStyle w:val="a6"/>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a6"/>
              <w:rPr>
                <w:bCs/>
                <w:lang w:val="en-US"/>
              </w:rPr>
            </w:pPr>
          </w:p>
        </w:tc>
        <w:tc>
          <w:tcPr>
            <w:tcW w:w="1928" w:type="dxa"/>
          </w:tcPr>
          <w:p w14:paraId="0B7F3022" w14:textId="19D1A58E" w:rsidR="002F2EF1" w:rsidRPr="004F6352" w:rsidRDefault="002F2EF1" w:rsidP="002F2EF1">
            <w:pPr>
              <w:pStyle w:val="a6"/>
              <w:rPr>
                <w:rFonts w:eastAsia="宋体"/>
                <w:lang w:val="en-US"/>
              </w:rPr>
            </w:pPr>
          </w:p>
        </w:tc>
        <w:tc>
          <w:tcPr>
            <w:tcW w:w="6044" w:type="dxa"/>
          </w:tcPr>
          <w:p w14:paraId="2966328A" w14:textId="1483A806" w:rsidR="002F2EF1" w:rsidRPr="004F6352" w:rsidRDefault="002F2EF1" w:rsidP="002F2EF1">
            <w:pPr>
              <w:pStyle w:val="a6"/>
              <w:rPr>
                <w:lang w:val="en-US"/>
              </w:rPr>
            </w:pPr>
          </w:p>
        </w:tc>
      </w:tr>
    </w:tbl>
    <w:p w14:paraId="541EF5BA" w14:textId="77777777" w:rsidR="00276E61" w:rsidRPr="004F6352" w:rsidRDefault="00276E61">
      <w:pPr>
        <w:pStyle w:val="a0"/>
        <w:numPr>
          <w:ilvl w:val="0"/>
          <w:numId w:val="0"/>
        </w:numPr>
        <w:tabs>
          <w:tab w:val="left" w:pos="3380"/>
        </w:tabs>
        <w:rPr>
          <w:lang w:val="en-US"/>
        </w:rPr>
      </w:pPr>
    </w:p>
    <w:p w14:paraId="39D24EED" w14:textId="7F5ABCE2" w:rsidR="008B0343" w:rsidRPr="004F6352" w:rsidRDefault="009F5367" w:rsidP="00582C37">
      <w:pPr>
        <w:pStyle w:val="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a0"/>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a0"/>
        <w:numPr>
          <w:ilvl w:val="0"/>
          <w:numId w:val="0"/>
        </w:numPr>
        <w:ind w:left="2260" w:hanging="2260"/>
        <w:rPr>
          <w:b/>
          <w:bCs/>
          <w:lang w:val="en-US"/>
        </w:rPr>
      </w:pPr>
    </w:p>
    <w:p w14:paraId="3E17207F" w14:textId="77777777" w:rsidR="00283FE0" w:rsidRPr="004F6352" w:rsidRDefault="00283FE0" w:rsidP="005250BC">
      <w:pPr>
        <w:pStyle w:val="a0"/>
        <w:numPr>
          <w:ilvl w:val="0"/>
          <w:numId w:val="0"/>
        </w:numPr>
        <w:ind w:left="2260" w:hanging="2260"/>
        <w:rPr>
          <w:b/>
          <w:bCs/>
          <w:lang w:val="en-US"/>
        </w:rPr>
      </w:pPr>
    </w:p>
    <w:p w14:paraId="64654072" w14:textId="0D210297" w:rsidR="00283FE0" w:rsidRDefault="00283FE0" w:rsidP="00283FE0">
      <w:pPr>
        <w:pStyle w:val="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a6"/>
        <w:ind w:left="2260" w:hanging="2260"/>
        <w:rPr>
          <w:lang w:val="en-US"/>
        </w:rPr>
      </w:pPr>
    </w:p>
    <w:p w14:paraId="0FDAA973" w14:textId="54E946C3" w:rsidR="008B0343" w:rsidRPr="004F6352" w:rsidRDefault="00283FE0">
      <w:pPr>
        <w:pStyle w:val="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5"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af9"/>
          <w:color w:val="0563C1" w:themeColor="hyperlink"/>
          <w:lang w:val="en-US"/>
        </w:rPr>
        <w:t>R2-2107071</w:t>
      </w:r>
      <w:r w:rsidRPr="004F6352">
        <w:rPr>
          <w:rStyle w:val="af9"/>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early identification, OPPO, RAN2#115, Electronic, August 2021</w:t>
      </w:r>
      <w:bookmarkEnd w:id="5"/>
    </w:p>
    <w:bookmarkStart w:id="6"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af9"/>
          <w:color w:val="0563C1" w:themeColor="hyperlink"/>
          <w:lang w:val="en-US"/>
        </w:rPr>
        <w:t>R2-2107072</w:t>
      </w:r>
      <w:r w:rsidRPr="004F6352">
        <w:rPr>
          <w:rStyle w:val="af9"/>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access restrictions, OPPO, RAN2#115, Electronic, August 2021</w:t>
      </w:r>
      <w:bookmarkEnd w:id="6"/>
    </w:p>
    <w:bookmarkStart w:id="7"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af9"/>
          <w:color w:val="0563C1" w:themeColor="hyperlink"/>
          <w:lang w:val="en-US"/>
        </w:rPr>
        <w:t>R2-2107117</w:t>
      </w:r>
      <w:r w:rsidRPr="004F6352">
        <w:rPr>
          <w:rStyle w:val="af9"/>
          <w:color w:val="0563C1" w:themeColor="hyperlink"/>
          <w:lang w:val="en-US"/>
        </w:rPr>
        <w:fldChar w:fldCharType="end"/>
      </w:r>
      <w:r w:rsidRPr="004F6352">
        <w:rPr>
          <w:lang w:val="en-US"/>
        </w:rPr>
        <w:t>, NR-REDCAP access restriction/allowance indication to ease mobility, THALES, RAN2#115, Electronic, August 2021</w:t>
      </w:r>
      <w:bookmarkEnd w:id="7"/>
    </w:p>
    <w:bookmarkStart w:id="8"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af9"/>
          <w:color w:val="0563C1" w:themeColor="hyperlink"/>
          <w:lang w:val="en-US"/>
        </w:rPr>
        <w:t>R2-2107209</w:t>
      </w:r>
      <w:r w:rsidRPr="004F6352">
        <w:rPr>
          <w:rStyle w:val="af9"/>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8"/>
    </w:p>
    <w:bookmarkStart w:id="9"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af9"/>
          <w:color w:val="0563C1" w:themeColor="hyperlink"/>
          <w:lang w:val="en-US"/>
        </w:rPr>
        <w:t>R2-2107216</w:t>
      </w:r>
      <w:r w:rsidRPr="004F6352">
        <w:rPr>
          <w:rStyle w:val="af9"/>
          <w:color w:val="0563C1" w:themeColor="hyperlink"/>
          <w:lang w:val="en-US"/>
        </w:rPr>
        <w:fldChar w:fldCharType="end"/>
      </w:r>
      <w:r w:rsidRPr="004F6352">
        <w:rPr>
          <w:lang w:val="en-US"/>
        </w:rPr>
        <w:t xml:space="preserve">, Access and camping restriction for </w:t>
      </w:r>
      <w:proofErr w:type="spellStart"/>
      <w:r w:rsidRPr="004F6352">
        <w:rPr>
          <w:lang w:val="en-US"/>
        </w:rPr>
        <w:t>RedCap</w:t>
      </w:r>
      <w:proofErr w:type="spellEnd"/>
      <w:r w:rsidRPr="004F6352">
        <w:rPr>
          <w:lang w:val="en-US"/>
        </w:rPr>
        <w:t xml:space="preserve"> UEs, Qualcomm Incorporated, RAN2#115, Electronic, August 2021</w:t>
      </w:r>
      <w:bookmarkEnd w:id="9"/>
    </w:p>
    <w:bookmarkStart w:id="10"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af9"/>
          <w:color w:val="0563C1" w:themeColor="hyperlink"/>
          <w:lang w:val="en-US"/>
        </w:rPr>
        <w:t>R2-2107352</w:t>
      </w:r>
      <w:r w:rsidRPr="004F6352">
        <w:rPr>
          <w:rStyle w:val="af9"/>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10"/>
    </w:p>
    <w:bookmarkStart w:id="11"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af9"/>
          <w:color w:val="0563C1" w:themeColor="hyperlink"/>
          <w:lang w:val="en-US"/>
        </w:rPr>
        <w:t>R2-2107411</w:t>
      </w:r>
      <w:r w:rsidRPr="004F6352">
        <w:rPr>
          <w:rStyle w:val="af9"/>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vivo,  Guangdong Genius, RAN2#115, Electronic, August 2021</w:t>
      </w:r>
      <w:bookmarkEnd w:id="11"/>
    </w:p>
    <w:bookmarkStart w:id="12"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af9"/>
          <w:color w:val="0563C1" w:themeColor="hyperlink"/>
          <w:lang w:val="en-US"/>
        </w:rPr>
        <w:t>R2-2107535</w:t>
      </w:r>
      <w:r w:rsidRPr="004F6352">
        <w:rPr>
          <w:rStyle w:val="af9"/>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2"/>
    </w:p>
    <w:bookmarkStart w:id="13" w:name="_Ref9"/>
    <w:p w14:paraId="716D6618"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"https://www.3gpp.org/ftp/tsg_ran/WG2_RL2/TSGR2_115-e/Docs//R2-2107555.zip" \h </w:instrText>
      </w:r>
      <w:r w:rsidRPr="004F6352">
        <w:fldChar w:fldCharType="separate"/>
      </w:r>
      <w:r w:rsidRPr="004F6352">
        <w:rPr>
          <w:rStyle w:val="af9"/>
          <w:color w:val="0563C1" w:themeColor="hyperlink"/>
          <w:lang w:val="en-US"/>
        </w:rPr>
        <w:t>R2-2107555</w:t>
      </w:r>
      <w:r w:rsidRPr="004F6352">
        <w:rPr>
          <w:rStyle w:val="af9"/>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Sierra Wireless, S.A., RAN2#115, Electronic, August 2021</w:t>
      </w:r>
      <w:bookmarkEnd w:id="13"/>
    </w:p>
    <w:bookmarkStart w:id="14"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af9"/>
          <w:color w:val="0563C1" w:themeColor="hyperlink"/>
          <w:lang w:val="en-US"/>
        </w:rPr>
        <w:t>R2-2107606</w:t>
      </w:r>
      <w:r w:rsidRPr="004F6352">
        <w:rPr>
          <w:rStyle w:val="af9"/>
          <w:color w:val="0563C1" w:themeColor="hyperlink"/>
          <w:lang w:val="en-US"/>
        </w:rPr>
        <w:fldChar w:fldCharType="end"/>
      </w:r>
      <w:r w:rsidRPr="004F6352">
        <w:rPr>
          <w:lang w:val="en-US"/>
        </w:rPr>
        <w:t xml:space="preserve">, Power-saving aspects from cell access and camping of </w:t>
      </w:r>
      <w:proofErr w:type="spellStart"/>
      <w:r w:rsidRPr="004F6352">
        <w:rPr>
          <w:lang w:val="en-US"/>
        </w:rPr>
        <w:t>RedCap</w:t>
      </w:r>
      <w:proofErr w:type="spellEnd"/>
      <w:r w:rsidRPr="004F6352">
        <w:rPr>
          <w:lang w:val="en-US"/>
        </w:rPr>
        <w:t xml:space="preserve"> UEs, Apple, RAN2#115, Electronic, August 2021</w:t>
      </w:r>
      <w:bookmarkEnd w:id="14"/>
    </w:p>
    <w:bookmarkStart w:id="15"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af9"/>
          <w:color w:val="0563C1" w:themeColor="hyperlink"/>
          <w:lang w:val="en-US"/>
        </w:rPr>
        <w:t>R2-2107607</w:t>
      </w:r>
      <w:r w:rsidRPr="004F6352">
        <w:rPr>
          <w:rStyle w:val="af9"/>
          <w:color w:val="0563C1" w:themeColor="hyperlink"/>
          <w:lang w:val="en-US"/>
        </w:rPr>
        <w:fldChar w:fldCharType="end"/>
      </w:r>
      <w:r w:rsidRPr="004F6352">
        <w:rPr>
          <w:lang w:val="en-US"/>
        </w:rPr>
        <w:t xml:space="preserve">, Issues with MSG3 based </w:t>
      </w:r>
      <w:proofErr w:type="spellStart"/>
      <w:r w:rsidRPr="004F6352">
        <w:rPr>
          <w:lang w:val="en-US"/>
        </w:rPr>
        <w:t>RedCap</w:t>
      </w:r>
      <w:proofErr w:type="spellEnd"/>
      <w:r w:rsidRPr="004F6352">
        <w:rPr>
          <w:lang w:val="en-US"/>
        </w:rPr>
        <w:t xml:space="preserve"> UE identification at </w:t>
      </w:r>
      <w:proofErr w:type="spellStart"/>
      <w:r w:rsidRPr="004F6352">
        <w:rPr>
          <w:lang w:val="en-US"/>
        </w:rPr>
        <w:t>intial</w:t>
      </w:r>
      <w:proofErr w:type="spellEnd"/>
      <w:r w:rsidRPr="004F6352">
        <w:rPr>
          <w:lang w:val="en-US"/>
        </w:rPr>
        <w:t xml:space="preserve"> access, Apple, RAN2#115, Electronic, August 2021</w:t>
      </w:r>
      <w:bookmarkEnd w:id="15"/>
    </w:p>
    <w:bookmarkStart w:id="16"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af9"/>
          <w:color w:val="0563C1" w:themeColor="hyperlink"/>
          <w:lang w:val="en-US"/>
        </w:rPr>
        <w:t>R2-2107652</w:t>
      </w:r>
      <w:r w:rsidRPr="004F6352">
        <w:rPr>
          <w:rStyle w:val="af9"/>
          <w:color w:val="0563C1" w:themeColor="hyperlink"/>
          <w:lang w:val="en-US"/>
        </w:rPr>
        <w:fldChar w:fldCharType="end"/>
      </w:r>
      <w:r w:rsidRPr="004F6352">
        <w:rPr>
          <w:lang w:val="en-US"/>
        </w:rPr>
        <w:t xml:space="preserve">, Camping restrictions of </w:t>
      </w:r>
      <w:proofErr w:type="spellStart"/>
      <w:r w:rsidRPr="004F6352">
        <w:rPr>
          <w:lang w:val="en-US"/>
        </w:rPr>
        <w:t>RedCap</w:t>
      </w:r>
      <w:proofErr w:type="spellEnd"/>
      <w:r w:rsidRPr="004F6352">
        <w:rPr>
          <w:lang w:val="en-US"/>
        </w:rPr>
        <w:t xml:space="preserve"> UE, Fujitsu, RAN2#115, Electronic, August 2021</w:t>
      </w:r>
      <w:bookmarkEnd w:id="16"/>
    </w:p>
    <w:bookmarkStart w:id="17"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af9"/>
          <w:color w:val="0563C1" w:themeColor="hyperlink"/>
          <w:lang w:val="en-US"/>
        </w:rPr>
        <w:t>R2-2107678</w:t>
      </w:r>
      <w:r w:rsidRPr="004F6352">
        <w:rPr>
          <w:rStyle w:val="af9"/>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Intel Corporation, RAN2#115, Electronic, August 2021</w:t>
      </w:r>
      <w:bookmarkEnd w:id="17"/>
    </w:p>
    <w:bookmarkStart w:id="18"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af9"/>
          <w:color w:val="0563C1" w:themeColor="hyperlink"/>
          <w:lang w:val="en-US"/>
        </w:rPr>
        <w:t>R2-2107707</w:t>
      </w:r>
      <w:r w:rsidRPr="004F6352">
        <w:rPr>
          <w:rStyle w:val="af9"/>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LG Electronics UK, RAN2#115, Electronic, August 2021</w:t>
      </w:r>
      <w:bookmarkEnd w:id="18"/>
    </w:p>
    <w:bookmarkStart w:id="19"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af9"/>
          <w:color w:val="0563C1" w:themeColor="hyperlink"/>
          <w:lang w:val="en-US"/>
        </w:rPr>
        <w:t>R2-2107750</w:t>
      </w:r>
      <w:r w:rsidRPr="004F6352">
        <w:rPr>
          <w:rStyle w:val="af9"/>
          <w:color w:val="0563C1" w:themeColor="hyperlink"/>
          <w:lang w:val="en-US"/>
        </w:rPr>
        <w:fldChar w:fldCharType="end"/>
      </w:r>
      <w:r w:rsidRPr="004F6352">
        <w:rPr>
          <w:lang w:val="en-US"/>
        </w:rPr>
        <w:t xml:space="preserve">, Identification and Access Restriction for </w:t>
      </w:r>
      <w:proofErr w:type="spellStart"/>
      <w:r w:rsidRPr="004F6352">
        <w:rPr>
          <w:lang w:val="en-US"/>
        </w:rPr>
        <w:t>RedCap</w:t>
      </w:r>
      <w:proofErr w:type="spellEnd"/>
      <w:r w:rsidRPr="004F6352">
        <w:rPr>
          <w:lang w:val="en-US"/>
        </w:rPr>
        <w:t xml:space="preserve"> UEs, ZTE Corporation, </w:t>
      </w:r>
      <w:proofErr w:type="spellStart"/>
      <w:r w:rsidRPr="004F6352">
        <w:rPr>
          <w:lang w:val="en-US"/>
        </w:rPr>
        <w:t>Sanechips</w:t>
      </w:r>
      <w:proofErr w:type="spellEnd"/>
      <w:r w:rsidRPr="004F6352">
        <w:rPr>
          <w:lang w:val="en-US"/>
        </w:rPr>
        <w:t>, RAN2#115, Electronic, August 2021</w:t>
      </w:r>
      <w:bookmarkEnd w:id="19"/>
    </w:p>
    <w:bookmarkStart w:id="20"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af9"/>
          <w:color w:val="0563C1" w:themeColor="hyperlink"/>
          <w:lang w:val="en-US"/>
        </w:rPr>
        <w:t>R2-2107783</w:t>
      </w:r>
      <w:r w:rsidRPr="004F6352">
        <w:rPr>
          <w:rStyle w:val="af9"/>
          <w:color w:val="0563C1" w:themeColor="hyperlink"/>
          <w:lang w:val="en-US"/>
        </w:rPr>
        <w:fldChar w:fldCharType="end"/>
      </w:r>
      <w:r w:rsidRPr="004F6352">
        <w:rPr>
          <w:lang w:val="en-US"/>
        </w:rPr>
        <w:t xml:space="preserve">, Access control for </w:t>
      </w:r>
      <w:proofErr w:type="spellStart"/>
      <w:r w:rsidRPr="004F6352">
        <w:rPr>
          <w:lang w:val="en-US"/>
        </w:rPr>
        <w:t>RedCap</w:t>
      </w:r>
      <w:proofErr w:type="spellEnd"/>
      <w:r w:rsidRPr="004F6352">
        <w:rPr>
          <w:lang w:val="en-US"/>
        </w:rPr>
        <w:t xml:space="preserve"> UEs, Samsung, RAN2#115, Electronic, August 2021</w:t>
      </w:r>
      <w:bookmarkEnd w:id="20"/>
    </w:p>
    <w:bookmarkStart w:id="21"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af9"/>
          <w:color w:val="0563C1" w:themeColor="hyperlink"/>
          <w:lang w:val="en-US"/>
        </w:rPr>
        <w:t>R2-2107834</w:t>
      </w:r>
      <w:r w:rsidRPr="004F6352">
        <w:rPr>
          <w:rStyle w:val="af9"/>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1"/>
    </w:p>
    <w:bookmarkStart w:id="22"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af9"/>
          <w:color w:val="0563C1" w:themeColor="hyperlink"/>
          <w:lang w:val="en-US"/>
        </w:rPr>
        <w:t>R2-2107870</w:t>
      </w:r>
      <w:r w:rsidRPr="004F6352">
        <w:rPr>
          <w:rStyle w:val="af9"/>
          <w:color w:val="0563C1" w:themeColor="hyperlink"/>
          <w:lang w:val="en-US"/>
        </w:rPr>
        <w:fldChar w:fldCharType="end"/>
      </w:r>
      <w:r w:rsidRPr="004F6352">
        <w:rPr>
          <w:lang w:val="en-US"/>
        </w:rPr>
        <w:t>, Leftover issues on camping restriction and cell selection criterion, DENSO CORPORATION, RAN2#115, Electronic, August 2021</w:t>
      </w:r>
      <w:bookmarkEnd w:id="22"/>
    </w:p>
    <w:bookmarkStart w:id="23"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af9"/>
          <w:color w:val="0563C1" w:themeColor="hyperlink"/>
          <w:lang w:val="en-US"/>
        </w:rPr>
        <w:t>R2-2108136</w:t>
      </w:r>
      <w:r w:rsidRPr="004F6352">
        <w:rPr>
          <w:rStyle w:val="af9"/>
          <w:color w:val="0563C1" w:themeColor="hyperlink"/>
          <w:lang w:val="en-US"/>
        </w:rPr>
        <w:fldChar w:fldCharType="end"/>
      </w:r>
      <w:r w:rsidRPr="004F6352">
        <w:rPr>
          <w:lang w:val="en-US"/>
        </w:rPr>
        <w:t>, Further discussions on early identification and SI indication, NEC, RAN2#115, Electronic, August 2021</w:t>
      </w:r>
      <w:bookmarkEnd w:id="23"/>
    </w:p>
    <w:bookmarkStart w:id="24"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af9"/>
          <w:color w:val="0563C1" w:themeColor="hyperlink"/>
          <w:lang w:val="en-US"/>
        </w:rPr>
        <w:t>R2-2108137</w:t>
      </w:r>
      <w:r w:rsidRPr="004F6352">
        <w:rPr>
          <w:rStyle w:val="af9"/>
          <w:color w:val="0563C1" w:themeColor="hyperlink"/>
          <w:lang w:val="en-US"/>
        </w:rPr>
        <w:fldChar w:fldCharType="end"/>
      </w:r>
      <w:r w:rsidRPr="004F6352">
        <w:rPr>
          <w:lang w:val="en-US"/>
        </w:rPr>
        <w:t xml:space="preserve">, Initial BWP for </w:t>
      </w:r>
      <w:proofErr w:type="spellStart"/>
      <w:r w:rsidRPr="004F6352">
        <w:rPr>
          <w:lang w:val="en-US"/>
        </w:rPr>
        <w:t>RedCap</w:t>
      </w:r>
      <w:proofErr w:type="spellEnd"/>
      <w:r w:rsidRPr="004F6352">
        <w:rPr>
          <w:lang w:val="en-US"/>
        </w:rPr>
        <w:t>, NEC, RAN2#115, Electronic, August 2021</w:t>
      </w:r>
      <w:bookmarkEnd w:id="24"/>
    </w:p>
    <w:bookmarkStart w:id="25"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af9"/>
          <w:color w:val="0563C1" w:themeColor="hyperlink"/>
          <w:lang w:val="en-US"/>
        </w:rPr>
        <w:t>R2-2108244</w:t>
      </w:r>
      <w:r w:rsidRPr="004F6352">
        <w:rPr>
          <w:rStyle w:val="af9"/>
          <w:color w:val="0563C1" w:themeColor="hyperlink"/>
          <w:lang w:val="en-US"/>
        </w:rPr>
        <w:fldChar w:fldCharType="end"/>
      </w:r>
      <w:r w:rsidRPr="004F6352">
        <w:rPr>
          <w:lang w:val="en-US"/>
        </w:rPr>
        <w:t>, Access for REDCAP UE, Nokia, Nokia Shanghai Bell, RAN2#115, Electronic, August 2021</w:t>
      </w:r>
      <w:bookmarkEnd w:id="25"/>
    </w:p>
    <w:bookmarkStart w:id="26"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af9"/>
          <w:color w:val="0563C1" w:themeColor="hyperlink"/>
          <w:lang w:val="en-US"/>
        </w:rPr>
        <w:t>R2-2108245</w:t>
      </w:r>
      <w:r w:rsidRPr="004F6352">
        <w:rPr>
          <w:rStyle w:val="af9"/>
          <w:color w:val="0563C1" w:themeColor="hyperlink"/>
          <w:lang w:val="en-US"/>
        </w:rPr>
        <w:fldChar w:fldCharType="end"/>
      </w:r>
      <w:r w:rsidRPr="004F6352">
        <w:rPr>
          <w:lang w:val="en-US"/>
        </w:rPr>
        <w:t>, REDCAP UE early identification, Nokia, Nokia Shanghai Bell, RAN2#115, Electronic, August 2021</w:t>
      </w:r>
      <w:bookmarkEnd w:id="26"/>
    </w:p>
    <w:bookmarkStart w:id="27"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af9"/>
          <w:color w:val="0563C1" w:themeColor="hyperlink"/>
          <w:lang w:val="en-US"/>
        </w:rPr>
        <w:t>R2-2108279</w:t>
      </w:r>
      <w:r w:rsidRPr="004F6352">
        <w:rPr>
          <w:rStyle w:val="af9"/>
          <w:color w:val="0563C1" w:themeColor="hyperlink"/>
          <w:lang w:val="en-US"/>
        </w:rPr>
        <w:fldChar w:fldCharType="end"/>
      </w:r>
      <w:r w:rsidRPr="004F6352">
        <w:rPr>
          <w:lang w:val="en-US"/>
        </w:rPr>
        <w:t xml:space="preserve">, Early indication &amp; access restriction for </w:t>
      </w:r>
      <w:proofErr w:type="spellStart"/>
      <w:r w:rsidRPr="004F6352">
        <w:rPr>
          <w:lang w:val="en-US"/>
        </w:rPr>
        <w:t>RedCap</w:t>
      </w:r>
      <w:proofErr w:type="spellEnd"/>
      <w:r w:rsidRPr="004F6352">
        <w:rPr>
          <w:lang w:val="en-US"/>
        </w:rPr>
        <w:t xml:space="preserve"> UEs, Ericsson, RAN2#115, Electronic, August 2021</w:t>
      </w:r>
      <w:bookmarkEnd w:id="27"/>
    </w:p>
    <w:bookmarkStart w:id="28"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af9"/>
          <w:color w:val="0563C1" w:themeColor="hyperlink"/>
          <w:lang w:val="en-US"/>
        </w:rPr>
        <w:t>R2-2108463</w:t>
      </w:r>
      <w:r w:rsidRPr="004F6352">
        <w:rPr>
          <w:rStyle w:val="af9"/>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w:t>
      </w:r>
      <w:proofErr w:type="spellStart"/>
      <w:r w:rsidRPr="004F6352">
        <w:rPr>
          <w:lang w:val="en-US"/>
        </w:rPr>
        <w:t>Futurewei</w:t>
      </w:r>
      <w:proofErr w:type="spellEnd"/>
      <w:r w:rsidRPr="004F6352">
        <w:rPr>
          <w:lang w:val="en-US"/>
        </w:rPr>
        <w:t xml:space="preserve"> Technologies, RAN2#115, Electronic, August 2021</w:t>
      </w:r>
      <w:bookmarkEnd w:id="28"/>
    </w:p>
    <w:bookmarkStart w:id="29"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af9"/>
          <w:color w:val="0563C1" w:themeColor="hyperlink"/>
          <w:lang w:val="en-US"/>
        </w:rPr>
        <w:t>R2-2108524</w:t>
      </w:r>
      <w:r w:rsidRPr="004F6352">
        <w:rPr>
          <w:rStyle w:val="af9"/>
          <w:color w:val="0563C1" w:themeColor="hyperlink"/>
          <w:lang w:val="en-US"/>
        </w:rPr>
        <w:fldChar w:fldCharType="end"/>
      </w:r>
      <w:r w:rsidRPr="004F6352">
        <w:rPr>
          <w:lang w:val="en-US"/>
        </w:rPr>
        <w:t>, Discussion on identification and access restrictions, CMCC, RAN2#115, Electronic, August 2021</w:t>
      </w:r>
      <w:bookmarkEnd w:id="29"/>
    </w:p>
    <w:bookmarkStart w:id="30"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af9"/>
          <w:color w:val="0563C1" w:themeColor="hyperlink"/>
          <w:lang w:val="en-US"/>
        </w:rPr>
        <w:t>R2-2108628</w:t>
      </w:r>
      <w:r w:rsidRPr="004F6352">
        <w:rPr>
          <w:rStyle w:val="af9"/>
          <w:color w:val="0563C1" w:themeColor="hyperlink"/>
          <w:lang w:val="en-US"/>
        </w:rPr>
        <w:fldChar w:fldCharType="end"/>
      </w:r>
      <w:r w:rsidRPr="004F6352">
        <w:rPr>
          <w:lang w:val="en-US"/>
        </w:rPr>
        <w:t xml:space="preserve">, Access and camping restrictions for </w:t>
      </w:r>
      <w:proofErr w:type="spellStart"/>
      <w:r w:rsidRPr="004F6352">
        <w:rPr>
          <w:lang w:val="en-US"/>
        </w:rPr>
        <w:t>RedCap</w:t>
      </w:r>
      <w:proofErr w:type="spellEnd"/>
      <w:r w:rsidRPr="004F6352">
        <w:rPr>
          <w:lang w:val="en-US"/>
        </w:rPr>
        <w:t xml:space="preserve"> UE, China Telecommunications, RAN2#115, Electronic, August 2021</w:t>
      </w:r>
      <w:bookmarkEnd w:id="30"/>
    </w:p>
    <w:bookmarkStart w:id="31"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af9"/>
          <w:color w:val="0563C1" w:themeColor="hyperlink"/>
          <w:lang w:val="en-US"/>
        </w:rPr>
        <w:t>R2-2108698</w:t>
      </w:r>
      <w:r w:rsidRPr="004F6352">
        <w:rPr>
          <w:rStyle w:val="af9"/>
          <w:color w:val="0563C1" w:themeColor="hyperlink"/>
          <w:lang w:val="en-US"/>
        </w:rPr>
        <w:fldChar w:fldCharType="end"/>
      </w:r>
      <w:r w:rsidRPr="004F6352">
        <w:rPr>
          <w:lang w:val="en-US"/>
        </w:rPr>
        <w:t>, Early Identification and Camping Restrictions for Redcap UEs, CATT, RAN2#115, Electronic, August 2021</w:t>
      </w:r>
      <w:bookmarkEnd w:id="31"/>
    </w:p>
    <w:sectPr w:rsidR="008B0343" w:rsidRPr="004F6352">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526C4" w14:textId="77777777" w:rsidR="00EA66E9" w:rsidRDefault="00EA66E9">
      <w:pPr>
        <w:spacing w:after="0"/>
      </w:pPr>
      <w:r>
        <w:separator/>
      </w:r>
    </w:p>
  </w:endnote>
  <w:endnote w:type="continuationSeparator" w:id="0">
    <w:p w14:paraId="2E52F335" w14:textId="77777777" w:rsidR="00EA66E9" w:rsidRDefault="00EA66E9">
      <w:pPr>
        <w:spacing w:after="0"/>
      </w:pPr>
      <w:r>
        <w:continuationSeparator/>
      </w:r>
    </w:p>
  </w:endnote>
  <w:endnote w:type="continuationNotice" w:id="1">
    <w:p w14:paraId="6EC6F13A" w14:textId="77777777" w:rsidR="00EA66E9" w:rsidRDefault="00EA6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91CC" w14:textId="068BF373" w:rsidR="009A2917" w:rsidRDefault="009A291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9635E">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9635E">
      <w:rPr>
        <w:rStyle w:val="af6"/>
        <w:noProof/>
      </w:rPr>
      <w:t>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C78B4" w14:textId="77777777" w:rsidR="00EA66E9" w:rsidRDefault="00EA66E9">
      <w:pPr>
        <w:spacing w:after="0"/>
      </w:pPr>
      <w:r>
        <w:separator/>
      </w:r>
    </w:p>
  </w:footnote>
  <w:footnote w:type="continuationSeparator" w:id="0">
    <w:p w14:paraId="48D32EE7" w14:textId="77777777" w:rsidR="00EA66E9" w:rsidRDefault="00EA66E9">
      <w:pPr>
        <w:spacing w:after="0"/>
      </w:pPr>
      <w:r>
        <w:continuationSeparator/>
      </w:r>
    </w:p>
  </w:footnote>
  <w:footnote w:type="continuationNotice" w:id="1">
    <w:p w14:paraId="71136EEB" w14:textId="77777777" w:rsidR="00EA66E9" w:rsidRDefault="00EA66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E3FE" w14:textId="77777777" w:rsidR="009A2917" w:rsidRDefault="009A29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4ED63A"/>
    <w:lvl w:ilvl="0">
      <w:start w:val="1"/>
      <w:numFmt w:val="decimal"/>
      <w:lvlText w:val="%1."/>
      <w:lvlJc w:val="left"/>
      <w:pPr>
        <w:tabs>
          <w:tab w:val="num" w:pos="1492"/>
        </w:tabs>
        <w:ind w:left="1492" w:hanging="360"/>
      </w:pPr>
    </w:lvl>
  </w:abstractNum>
  <w:abstractNum w:abstractNumId="1">
    <w:nsid w:val="FFFFFF7D"/>
    <w:multiLevelType w:val="singleLevel"/>
    <w:tmpl w:val="F1C4988E"/>
    <w:lvl w:ilvl="0">
      <w:start w:val="1"/>
      <w:numFmt w:val="decimal"/>
      <w:lvlText w:val="%1."/>
      <w:lvlJc w:val="left"/>
      <w:pPr>
        <w:tabs>
          <w:tab w:val="num" w:pos="1209"/>
        </w:tabs>
        <w:ind w:left="1209" w:hanging="360"/>
      </w:p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385"/>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4FCF"/>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742"/>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2787"/>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AFC"/>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43F4"/>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169D"/>
    <w:rsid w:val="007D5901"/>
    <w:rsid w:val="007D5C04"/>
    <w:rsid w:val="007D6A5A"/>
    <w:rsid w:val="007D7526"/>
    <w:rsid w:val="007E0F5F"/>
    <w:rsid w:val="007E4610"/>
    <w:rsid w:val="007E4715"/>
    <w:rsid w:val="007E505B"/>
    <w:rsid w:val="007E60B7"/>
    <w:rsid w:val="007E7017"/>
    <w:rsid w:val="007E7091"/>
    <w:rsid w:val="007F0E02"/>
    <w:rsid w:val="007F4EE8"/>
    <w:rsid w:val="00801F30"/>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0FF"/>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917"/>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54B18"/>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97B9E"/>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9635E"/>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2B9"/>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66E9"/>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列出段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3">
    <w:name w:val="未处理的提及1"/>
    <w:basedOn w:val="a2"/>
    <w:uiPriority w:val="99"/>
    <w:semiHidden/>
    <w:unhideWhenUsed/>
    <w:rsid w:val="006722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列出段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3">
    <w:name w:val="未处理的提及1"/>
    <w:basedOn w:val="a2"/>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10889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5-e/Inbox/R2-2108892.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6E60D0-854A-471D-882A-2F7FF567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7</Pages>
  <Words>2957</Words>
  <Characters>16857</Characters>
  <Application>Microsoft Office Word</Application>
  <DocSecurity>0</DocSecurity>
  <Lines>140</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19775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3</cp:revision>
  <cp:lastPrinted>2008-01-31T07:09:00Z</cp:lastPrinted>
  <dcterms:created xsi:type="dcterms:W3CDTF">2021-08-26T06:08:00Z</dcterms:created>
  <dcterms:modified xsi:type="dcterms:W3CDTF">2021-08-26T06:09:00Z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(3)7zD6fMxugWHwCGj4WG3t66NK4zj7thkVRRh7FRwl3pD2NvHYHNpnDlKga7G/QKcgv+wm9KEx
68Exv4iKFiCOg4wtdVd3ao6X4lJxbNLHKkQoUiOHbjvLTbo7JoQDObp3PF4pgEvhtACAZQ7p
NDRtXlMqedkuXkaPQ1wvrk3xMH+NcJmLAVkMOkNGWmURs3Urfbi07tMfDQqRcRw3ePb1Ay2u
FzaVjc4lPkIE/RNlaz</vt:lpwstr>
  </property>
  <property fmtid="{D5CDD505-2E9C-101B-9397-08002B2CF9AE}" pid="15" name="_2015_ms_pID_7253431">
    <vt:lpwstr>FbSvZzfl+QQLmqSPmAGLVS3LJneNvek7TwI43rpnqJnC+GnJrVbIoc
MYHCmnBo/FYn0ncj2RU/uJIuMpV8nQf4ceYCOunTYbONyCpFhyV6vBWVCi0LUkhYstfkwuQS
ox6ML+F5dUg2MO81Y/6MEB79JP53t9/PUCtE5DqG6mSLyCy5VZGW/OFQhtyIT+V3yXgUhdlL
3csGro+bNoxfxW6XsQ+nP/rAskgIkPbkl377</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y fmtid="{D5CDD505-2E9C-101B-9397-08002B2CF9AE}" pid="26" name="_2015_ms_pID_7253432">
    <vt:lpwstr>+Q==</vt:lpwstr>
  </property>
</Properties>
</file>