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eastAsia" w:ascii="Arial" w:hAnsi="Arial" w:eastAsia="宋体" w:cs="Times New Roman"/>
          <w:b/>
          <w:strike w:val="0"/>
          <w:dstrike w:val="0"/>
          <w:kern w:val="2"/>
          <w:sz w:val="24"/>
          <w:szCs w:val="21"/>
          <w:highlight w:val="none"/>
          <w:lang w:val="en-US" w:eastAsia="zh-CN" w:bidi="ar-SA"/>
        </w:rPr>
      </w:pPr>
      <w:bookmarkStart w:id="0" w:name="_Toc18403966"/>
      <w:bookmarkStart w:id="1" w:name="_Toc18404533"/>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2106432</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NR QoE configuration</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8.14.2.1</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bookmarkEnd w:id="0"/>
    <w:bookmarkEnd w:id="1"/>
    <w:bookmarkEnd w:id="2"/>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p>
    <w:p>
      <w:pPr>
        <w:rPr>
          <w:rFonts w:hint="eastAsia" w:eastAsia="宋体" w:cs="Arial"/>
          <w:sz w:val="21"/>
          <w:szCs w:val="21"/>
          <w:lang w:val="en-US" w:eastAsia="zh-CN"/>
        </w:rPr>
      </w:pPr>
      <w:r>
        <w:rPr>
          <w:rFonts w:hint="eastAsia" w:eastAsia="宋体" w:cs="Arial"/>
          <w:sz w:val="21"/>
          <w:szCs w:val="21"/>
          <w:lang w:val="en-US" w:eastAsia="zh-CN"/>
        </w:rPr>
        <w:t>Below agreements about NR QoE configuration have been made by companies in RAN2#113bis_e [1]:</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Configure QoE measurements for NR in RRCReconfiguration.</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Add configuration of QoE measurements in OtherConfig in RRCReconfiguration.</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Add the configuration of QoE measurements by means of list to enable configuration of multiple simultaneous measurements.</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 xml:space="preserve">R2 assumes that for RRC an ID is required to identify a measurement, </w:t>
      </w:r>
      <w:r>
        <w:rPr>
          <w:rFonts w:hint="default"/>
          <w:highlight w:val="green"/>
          <w:lang w:val="en-US" w:eastAsia="zh-CN"/>
        </w:rPr>
        <w:t>FFS whether this is the QoE reference ID or something else</w:t>
      </w:r>
      <w:r>
        <w:rPr>
          <w:rFonts w:hint="default"/>
          <w:lang w:val="en-US" w:eastAsia="zh-CN"/>
        </w:rPr>
        <w:t xml:space="preserve">. </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Define SRB4 for transmission of QoE reports in NR.</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Define an RRC message MeasReportAppLayer for the transmission of QoE reports in NR.</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RAN2 assumes that QoE support for NR includes (as the LTE framework): activation by Trace Function, both signalling and management-based configuration and RRC procedures supporting AppLayer config and report.</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pPr>
        <w:pStyle w:val="82"/>
        <w:pBdr>
          <w:top w:val="single" w:color="auto" w:sz="4" w:space="0"/>
          <w:left w:val="single" w:color="auto" w:sz="4" w:space="0"/>
          <w:bottom w:val="single" w:color="auto" w:sz="4" w:space="0"/>
          <w:right w:val="single" w:color="auto" w:sz="4" w:space="0"/>
        </w:pBdr>
        <w:ind w:left="0" w:leftChars="0" w:firstLine="0" w:firstLineChars="0"/>
        <w:rPr>
          <w:rFonts w:hint="default"/>
          <w:lang w:val="en-US" w:eastAsia="zh-CN"/>
        </w:rPr>
      </w:pPr>
      <w:r>
        <w:rPr>
          <w:rFonts w:hint="default"/>
          <w:lang w:val="en-US" w:eastAsia="zh-CN"/>
        </w:rPr>
        <w:t>The UE Inactive AS context includes the UE AS configuration for the QoE (it is not released when UE goes to Inactive).</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intention of this contribution is to share our views on the QoE configurations based on the agreements.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Discussion</w:t>
      </w:r>
    </w:p>
    <w:p>
      <w:pPr>
        <w:rPr>
          <w:rFonts w:hint="default"/>
          <w:u w:val="single"/>
          <w:lang w:val="en-US" w:eastAsia="zh-CN"/>
        </w:rPr>
      </w:pPr>
      <w:r>
        <w:rPr>
          <w:rFonts w:hint="eastAsia"/>
          <w:u w:val="single"/>
          <w:lang w:val="en-US" w:eastAsia="zh-CN"/>
        </w:rPr>
        <w:t>One service type per container</w:t>
      </w:r>
    </w:p>
    <w:p>
      <w:pPr>
        <w:widowControl w:val="0"/>
        <w:numPr>
          <w:ilvl w:val="0"/>
          <w:numId w:val="0"/>
        </w:numPr>
        <w:spacing w:after="160" w:line="259" w:lineRule="auto"/>
        <w:jc w:val="both"/>
        <w:rPr>
          <w:rFonts w:hint="eastAsia" w:eastAsia="宋体"/>
          <w:lang w:val="en-US" w:eastAsia="zh-CN"/>
        </w:rPr>
      </w:pPr>
      <w:r>
        <w:rPr>
          <w:rFonts w:hint="eastAsia" w:eastAsia="宋体"/>
          <w:lang w:val="en-US" w:eastAsia="zh-CN"/>
        </w:rPr>
        <w:t xml:space="preserve">Based on the LTE mechanism, there is only 1 service type data in each QoE container. And during RAN2#113bis_e [1], companies have agreed that a QoE ID is needed to identify a QoE measurement. From our point of view, it is benefit to re-use the LTE mechanism that 1 QoE container only contains 1 service type data. Thus, the QoE ID can be used to identify both the QoE measurement procedure and QoE measurement data of a specific service type in a container. The gNB side can locate the needed QoE measurement data by checking the QoE ID. </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Proposal 1: It is proposed that NR QoE container should only contain 1 service type.</w:t>
      </w:r>
    </w:p>
    <w:p>
      <w:pPr>
        <w:widowControl w:val="0"/>
        <w:numPr>
          <w:ilvl w:val="0"/>
          <w:numId w:val="0"/>
        </w:numPr>
        <w:spacing w:after="160" w:line="259" w:lineRule="auto"/>
        <w:jc w:val="both"/>
        <w:rPr>
          <w:rFonts w:hint="default" w:eastAsia="宋体"/>
          <w:lang w:val="en-US" w:eastAsia="zh-CN"/>
        </w:rPr>
      </w:pPr>
      <w:r>
        <w:rPr>
          <w:rFonts w:hint="eastAsia" w:eastAsia="宋体"/>
          <w:lang w:val="en-US" w:eastAsia="zh-CN"/>
        </w:rPr>
        <w:t>In addition, whether the QoE reference ID can be used between UE and gNB to identify a QoE measurement is FFS. We prefer to use QoE reference ID to identify the QoE measurement between UE and NW. No new ID is needed. Our reasons are shown below：</w:t>
      </w:r>
    </w:p>
    <w:p>
      <w:pPr>
        <w:widowControl w:val="0"/>
        <w:numPr>
          <w:ilvl w:val="0"/>
          <w:numId w:val="6"/>
        </w:numPr>
        <w:spacing w:after="160" w:line="259" w:lineRule="auto"/>
        <w:ind w:left="420" w:leftChars="0"/>
        <w:jc w:val="both"/>
        <w:rPr>
          <w:rFonts w:hint="default" w:eastAsia="宋体"/>
          <w:highlight w:val="none"/>
          <w:u w:val="single"/>
          <w:lang w:val="en-US" w:eastAsia="zh-CN"/>
        </w:rPr>
      </w:pPr>
      <w:r>
        <w:rPr>
          <w:rFonts w:hint="eastAsia" w:eastAsia="宋体"/>
          <w:highlight w:val="none"/>
          <w:u w:val="single"/>
          <w:lang w:val="en-US" w:eastAsia="zh-CN"/>
        </w:rPr>
        <w:t>QoE reference ID has been defined in TS28.405 [2].</w:t>
      </w:r>
    </w:p>
    <w:p>
      <w:pPr>
        <w:widowControl w:val="0"/>
        <w:numPr>
          <w:ilvl w:val="0"/>
          <w:numId w:val="0"/>
        </w:numPr>
        <w:spacing w:after="160" w:line="259" w:lineRule="auto"/>
        <w:jc w:val="both"/>
      </w:pPr>
      <w:r>
        <w:drawing>
          <wp:inline distT="0" distB="0" distL="114300" distR="114300">
            <wp:extent cx="5932170" cy="2414270"/>
            <wp:effectExtent l="0" t="0" r="1143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5932170" cy="2414270"/>
                    </a:xfrm>
                    <a:prstGeom prst="rect">
                      <a:avLst/>
                    </a:prstGeom>
                    <a:noFill/>
                    <a:ln>
                      <a:noFill/>
                    </a:ln>
                  </pic:spPr>
                </pic:pic>
              </a:graphicData>
            </a:graphic>
          </wp:inline>
        </w:drawing>
      </w:r>
    </w:p>
    <w:p>
      <w:pPr>
        <w:widowControl w:val="0"/>
        <w:numPr>
          <w:ilvl w:val="0"/>
          <w:numId w:val="0"/>
        </w:numPr>
        <w:spacing w:after="160" w:line="259" w:lineRule="auto"/>
        <w:jc w:val="center"/>
        <w:rPr>
          <w:rFonts w:hint="eastAsia"/>
          <w:lang w:val="en-US" w:eastAsia="zh-CN"/>
        </w:rPr>
      </w:pPr>
      <w:r>
        <w:rPr>
          <w:rFonts w:hint="eastAsia"/>
          <w:b/>
          <w:bCs/>
          <w:lang w:val="en-US" w:eastAsia="zh-CN"/>
        </w:rPr>
        <w:t>Figure X. QMC activation and reporting in LTE</w:t>
      </w:r>
    </w:p>
    <w:p>
      <w:pPr>
        <w:widowControl w:val="0"/>
        <w:numPr>
          <w:ilvl w:val="0"/>
          <w:numId w:val="0"/>
        </w:numPr>
        <w:spacing w:after="160" w:line="259" w:lineRule="auto"/>
        <w:jc w:val="both"/>
        <w:rPr>
          <w:rFonts w:hint="eastAsia" w:eastAsia="宋体"/>
          <w:lang w:val="en-US" w:eastAsia="zh-CN"/>
        </w:rPr>
      </w:pPr>
      <w:r>
        <w:rPr>
          <w:rFonts w:hint="eastAsia"/>
          <w:lang w:val="en-US" w:eastAsia="zh-CN"/>
        </w:rPr>
        <w:t xml:space="preserve">The call flow above shows the QMC activation and reporting in LTE described in TS 28.405 [2]. It is clear that the QoE reference ID is used to identify the QoE measurement and reporting between UE and NW. Similarly, the QoE reference ID also be used between UE and NW in UTRAN in TS 28.405 [2]. Considering the definition by SA5, we prefer to use the QoE reference ID to identify the QoE measurement outside the container between UE and NW.  </w:t>
      </w:r>
    </w:p>
    <w:p>
      <w:pPr>
        <w:widowControl w:val="0"/>
        <w:numPr>
          <w:ilvl w:val="0"/>
          <w:numId w:val="6"/>
        </w:numPr>
        <w:spacing w:after="160" w:line="259" w:lineRule="auto"/>
        <w:ind w:left="420" w:leftChars="0" w:firstLine="0" w:firstLineChars="0"/>
        <w:jc w:val="both"/>
        <w:rPr>
          <w:rFonts w:hint="default" w:eastAsia="宋体"/>
          <w:u w:val="single"/>
          <w:lang w:val="en-US" w:eastAsia="zh-CN"/>
        </w:rPr>
      </w:pPr>
      <w:r>
        <w:rPr>
          <w:rFonts w:hint="eastAsia" w:eastAsia="宋体"/>
          <w:u w:val="single"/>
          <w:lang w:val="en-US" w:eastAsia="zh-CN"/>
        </w:rPr>
        <w:t>No explicit benefit to define a new ID.</w:t>
      </w:r>
    </w:p>
    <w:p>
      <w:pPr>
        <w:widowControl w:val="0"/>
        <w:numPr>
          <w:ilvl w:val="0"/>
          <w:numId w:val="0"/>
        </w:numPr>
        <w:spacing w:after="160" w:line="259" w:lineRule="auto"/>
        <w:ind w:leftChars="0"/>
        <w:jc w:val="both"/>
        <w:rPr>
          <w:rFonts w:hint="default" w:eastAsia="宋体"/>
          <w:lang w:val="en-US" w:eastAsia="zh-CN"/>
        </w:rPr>
      </w:pPr>
      <w:r>
        <w:rPr>
          <w:rFonts w:hint="eastAsia" w:eastAsia="宋体"/>
          <w:lang w:val="en-US" w:eastAsia="zh-CN"/>
        </w:rPr>
        <w:t>The length of QoE reference ID is about 4-5 bytes based on the definition in TS 28.405 [2]. Meanwhile, according</w:t>
      </w:r>
      <w:r>
        <w:rPr>
          <w:rFonts w:hint="eastAsia" w:eastAsia="宋体"/>
          <w:highlight w:val="none"/>
          <w:lang w:val="en-US" w:eastAsia="zh-CN"/>
        </w:rPr>
        <w:t xml:space="preserve"> to TS 26.247 [3], th</w:t>
      </w:r>
      <w:r>
        <w:rPr>
          <w:rFonts w:hint="eastAsia" w:eastAsia="宋体"/>
          <w:lang w:val="en-US" w:eastAsia="zh-CN"/>
        </w:rPr>
        <w:t>e QoE measurement configuration container is an octet string with a maximum length of 1000 bytes,</w:t>
      </w:r>
      <w:r>
        <w:t xml:space="preserve"> with gzip-encoded data stored in network byte order</w:t>
      </w:r>
      <w:r>
        <w:rPr>
          <w:rFonts w:hint="eastAsia" w:eastAsia="宋体"/>
          <w:lang w:val="en-US" w:eastAsia="zh-CN"/>
        </w:rPr>
        <w:t>. Considering the QoE reference ID is always transported with the QoE container, compared with at max 1000 bytes container, the length of QoE reference ID can be ignored in most scenarios. Furthermore, though a new defined shorter QoE ID can be used between UE and gNB, gNB should define extra-procedure which is used to map the new QoE ID and QoE reference ID. The new mapping procedure will lower the efficiency of data transmission.</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2: It is proposed that QoE reference ID can be used to identify QoE measurement between UE and NW. </w:t>
      </w:r>
    </w:p>
    <w:p>
      <w:pPr>
        <w:widowControl w:val="0"/>
        <w:numPr>
          <w:ilvl w:val="0"/>
          <w:numId w:val="0"/>
        </w:numPr>
        <w:spacing w:after="160" w:line="259" w:lineRule="auto"/>
        <w:jc w:val="both"/>
        <w:rPr>
          <w:rFonts w:hint="eastAsia" w:eastAsia="宋体"/>
          <w:b/>
          <w:bCs/>
          <w:lang w:val="en-US" w:eastAsia="zh-CN"/>
        </w:rPr>
      </w:pPr>
    </w:p>
    <w:p>
      <w:pPr>
        <w:widowControl w:val="0"/>
        <w:numPr>
          <w:ilvl w:val="0"/>
          <w:numId w:val="0"/>
        </w:numPr>
        <w:spacing w:after="160" w:line="259" w:lineRule="auto"/>
        <w:jc w:val="both"/>
        <w:rPr>
          <w:rFonts w:hint="default" w:eastAsia="宋体"/>
          <w:u w:val="single"/>
          <w:lang w:val="en-US" w:eastAsia="zh-CN"/>
        </w:rPr>
      </w:pPr>
      <w:r>
        <w:rPr>
          <w:rFonts w:hint="eastAsia" w:eastAsia="宋体"/>
          <w:u w:val="single"/>
          <w:lang w:val="en-US" w:eastAsia="zh-CN"/>
        </w:rPr>
        <w:t>gNB guarantees the signalling based QoE can not be overridden by management based QoE</w:t>
      </w:r>
    </w:p>
    <w:p>
      <w:pPr>
        <w:numPr>
          <w:ilvl w:val="0"/>
          <w:numId w:val="0"/>
        </w:numPr>
        <w:rPr>
          <w:rFonts w:hint="default"/>
          <w:color w:val="auto"/>
          <w:highlight w:val="none"/>
          <w:lang w:val="en-US" w:eastAsia="zh-CN"/>
        </w:rPr>
      </w:pPr>
      <w:r>
        <w:rPr>
          <w:rFonts w:hint="eastAsia"/>
          <w:color w:val="auto"/>
          <w:highlight w:val="none"/>
          <w:lang w:val="en-US" w:eastAsia="zh-CN"/>
        </w:rPr>
        <w:t xml:space="preserve">During the RAN2#113e discussion [4], companies agreed that management based QoE configuration should not override signalling based QoE configuration. From our point of view, either UE side or NG-RAN side is responsible for this function. </w:t>
      </w:r>
    </w:p>
    <w:p>
      <w:pPr>
        <w:numPr>
          <w:ilvl w:val="0"/>
          <w:numId w:val="0"/>
        </w:numPr>
        <w:rPr>
          <w:rFonts w:hint="default"/>
          <w:color w:val="auto"/>
          <w:highlight w:val="none"/>
          <w:lang w:val="en-US" w:eastAsia="zh-CN"/>
        </w:rPr>
      </w:pPr>
      <w:r>
        <w:rPr>
          <w:rFonts w:hint="eastAsia"/>
          <w:color w:val="auto"/>
          <w:highlight w:val="none"/>
          <w:lang w:val="en-US" w:eastAsia="zh-CN"/>
        </w:rPr>
        <w:t>If this function is handled by UE, UE should firstly know whether a running QoE is a management based QoE or a signalling based QoE. Then, when a new management based QoE configuration is arrived at UE side, UE should check whether the received management based QoE measurement will override the signalling based QoE or not. If so, an IE which is used to inform NW about QoE configuration rejection may be transmitted from UE to NW.</w:t>
      </w:r>
    </w:p>
    <w:p>
      <w:pPr>
        <w:numPr>
          <w:ilvl w:val="0"/>
          <w:numId w:val="0"/>
        </w:numPr>
        <w:rPr>
          <w:rFonts w:hint="default"/>
          <w:color w:val="auto"/>
          <w:highlight w:val="none"/>
          <w:lang w:val="en-US" w:eastAsia="zh-CN"/>
        </w:rPr>
      </w:pPr>
      <w:r>
        <w:rPr>
          <w:rFonts w:hint="eastAsia"/>
          <w:color w:val="auto"/>
          <w:highlight w:val="none"/>
          <w:lang w:val="en-US" w:eastAsia="zh-CN"/>
        </w:rPr>
        <w:t xml:space="preserve">If this function is handled by NG-RAN side, after NG-RAN side receives the QoE configuration, it will check whether the new management based QoE configuration will override the running signalling based QoE of the UE. If so, the new arrived QoE configuration will not be transmitted to UE side. </w:t>
      </w:r>
    </w:p>
    <w:p>
      <w:pPr>
        <w:rPr>
          <w:rFonts w:hint="eastAsia" w:eastAsia="宋体"/>
          <w:lang w:val="en-US" w:eastAsia="zh-CN"/>
        </w:rPr>
      </w:pPr>
      <w:r>
        <w:rPr>
          <w:rFonts w:hint="eastAsia"/>
          <w:b/>
          <w:bCs/>
          <w:color w:val="auto"/>
          <w:highlight w:val="none"/>
          <w:lang w:val="en-US" w:eastAsia="zh-CN"/>
        </w:rPr>
        <w:t>Proposal 3: RAN2 should discuss whether UE side or NG-RAN side should guarantee the signalling based QoE can not be overridden by management based QoE.</w:t>
      </w:r>
    </w:p>
    <w:p>
      <w:pPr>
        <w:widowControl w:val="0"/>
        <w:numPr>
          <w:ilvl w:val="0"/>
          <w:numId w:val="0"/>
        </w:numPr>
        <w:spacing w:after="160" w:line="259" w:lineRule="auto"/>
        <w:jc w:val="both"/>
        <w:rPr>
          <w:rFonts w:hint="eastAsia" w:eastAsia="宋体"/>
          <w:lang w:val="en-US" w:eastAsia="zh-CN"/>
        </w:rPr>
      </w:pPr>
    </w:p>
    <w:p>
      <w:pPr>
        <w:widowControl w:val="0"/>
        <w:numPr>
          <w:ilvl w:val="0"/>
          <w:numId w:val="0"/>
        </w:numPr>
        <w:spacing w:after="160" w:line="259" w:lineRule="auto"/>
        <w:jc w:val="both"/>
        <w:rPr>
          <w:rFonts w:hint="eastAsia" w:eastAsia="宋体"/>
          <w:u w:val="single"/>
          <w:lang w:val="en-US" w:eastAsia="zh-CN"/>
        </w:rPr>
      </w:pPr>
      <w:r>
        <w:rPr>
          <w:rFonts w:hint="eastAsia" w:eastAsia="宋体"/>
          <w:u w:val="single"/>
          <w:lang w:val="en-US" w:eastAsia="zh-CN"/>
        </w:rPr>
        <w:t>INACTIVE QoE</w:t>
      </w:r>
    </w:p>
    <w:p>
      <w:pPr>
        <w:widowControl w:val="0"/>
        <w:numPr>
          <w:ilvl w:val="0"/>
          <w:numId w:val="0"/>
        </w:numPr>
        <w:spacing w:after="160" w:line="259" w:lineRule="auto"/>
        <w:jc w:val="both"/>
        <w:rPr>
          <w:rFonts w:hint="eastAsia" w:eastAsia="宋体"/>
          <w:lang w:val="en-US" w:eastAsia="zh-CN"/>
        </w:rPr>
      </w:pPr>
      <w:r>
        <w:rPr>
          <w:rFonts w:hint="eastAsia" w:eastAsia="宋体"/>
          <w:lang w:val="en-US" w:eastAsia="zh-CN"/>
        </w:rPr>
        <w:t>Based on the NR QoE WI, the INACTIVE QoE is going to be supported and discussed by companies. We think the INACTIVE QoE data is useful for the MBMS service optimization. Considering RAN2 has never discussed this aspect in the previous RAN2 meetings. We intend to trigger the discussion on the following aspects in RAN2:</w:t>
      </w:r>
    </w:p>
    <w:p>
      <w:pPr>
        <w:widowControl w:val="0"/>
        <w:numPr>
          <w:ilvl w:val="0"/>
          <w:numId w:val="0"/>
        </w:numPr>
        <w:ind w:leftChars="0"/>
        <w:jc w:val="both"/>
        <w:rPr>
          <w:rFonts w:hint="eastAsia"/>
          <w:b/>
          <w:bCs/>
          <w:lang w:val="en-US" w:eastAsia="zh-CN"/>
        </w:rPr>
      </w:pPr>
      <w:r>
        <w:rPr>
          <w:rFonts w:hint="eastAsia" w:eastAsia="宋体"/>
          <w:b/>
          <w:bCs/>
          <w:lang w:val="en-US" w:eastAsia="zh-CN"/>
        </w:rPr>
        <w:t xml:space="preserve">Proposal 4: </w:t>
      </w:r>
      <w:r>
        <w:rPr>
          <w:rFonts w:hint="eastAsia"/>
          <w:b/>
          <w:bCs/>
          <w:lang w:val="en-US" w:eastAsia="zh-CN"/>
        </w:rPr>
        <w:t>For INACTIVE QoE, RAN2 shall discuss the following aspects:</w:t>
      </w:r>
    </w:p>
    <w:p>
      <w:pPr>
        <w:widowControl w:val="0"/>
        <w:numPr>
          <w:ilvl w:val="0"/>
          <w:numId w:val="0"/>
        </w:numPr>
        <w:ind w:leftChars="0" w:firstLine="420" w:firstLineChars="0"/>
        <w:jc w:val="both"/>
        <w:rPr>
          <w:rFonts w:hint="eastAsia"/>
          <w:b/>
          <w:bCs/>
          <w:lang w:val="en-US" w:eastAsia="zh-CN"/>
        </w:rPr>
      </w:pPr>
      <w:r>
        <w:rPr>
          <w:rFonts w:hint="eastAsia"/>
          <w:b/>
          <w:bCs/>
          <w:lang w:val="en-US" w:eastAsia="zh-CN"/>
        </w:rPr>
        <w:t>Whether MBMS services need the QoE result for data transportation optimization.</w:t>
      </w:r>
    </w:p>
    <w:p>
      <w:pPr>
        <w:widowControl w:val="0"/>
        <w:numPr>
          <w:ilvl w:val="0"/>
          <w:numId w:val="0"/>
        </w:numPr>
        <w:ind w:leftChars="0" w:firstLine="420" w:firstLineChars="0"/>
        <w:jc w:val="both"/>
      </w:pPr>
      <w:r>
        <w:rPr>
          <w:rFonts w:hint="eastAsia"/>
          <w:b/>
          <w:bCs/>
          <w:lang w:val="en-US" w:eastAsia="zh-CN"/>
        </w:rPr>
        <w:t>Whether RAN2 need to use QoE to evaluate the delay caused by UE status switching between RRC_INACTIVE and RRC_CONNECTED.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lang w:val="en-US" w:eastAsia="zh-CN"/>
        </w:rPr>
      </w:pPr>
      <w:r>
        <w:rPr>
          <w:rFonts w:hint="eastAsia"/>
          <w:lang w:val="en-US" w:eastAsia="zh-CN"/>
        </w:rPr>
        <w:t>Based on the discussions above, we have the following proposal.</w:t>
      </w:r>
    </w:p>
    <w:p>
      <w:pPr>
        <w:widowControl w:val="0"/>
        <w:numPr>
          <w:ilvl w:val="0"/>
          <w:numId w:val="0"/>
        </w:numPr>
        <w:spacing w:after="160" w:line="259" w:lineRule="auto"/>
        <w:jc w:val="both"/>
        <w:rPr>
          <w:rFonts w:hint="eastAsia"/>
          <w:lang w:val="en-US" w:eastAsia="zh-CN"/>
        </w:rPr>
      </w:pPr>
      <w:r>
        <w:rPr>
          <w:rFonts w:hint="eastAsia" w:eastAsia="宋体"/>
          <w:b/>
          <w:bCs/>
          <w:lang w:val="en-US" w:eastAsia="zh-CN"/>
        </w:rPr>
        <w:t>Proposal 1: It is proposed that NR QoE container should only contain 1 service type.</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2: It is proposed that QoE reference ID can be used to identify QoE measurement between UE and NW. </w:t>
      </w:r>
    </w:p>
    <w:p>
      <w:pPr>
        <w:rPr>
          <w:rFonts w:hint="eastAsia" w:eastAsia="宋体"/>
          <w:lang w:val="en-US" w:eastAsia="zh-CN"/>
        </w:rPr>
      </w:pPr>
      <w:r>
        <w:rPr>
          <w:rFonts w:hint="eastAsia"/>
          <w:b/>
          <w:bCs/>
          <w:color w:val="auto"/>
          <w:highlight w:val="none"/>
          <w:lang w:val="en-US" w:eastAsia="zh-CN"/>
        </w:rPr>
        <w:t>Proposal 3: RAN2 should discuss whether UE side or NG-RAN side should guarantee the signalling based QoE can not be overridden by management based QoE.</w:t>
      </w:r>
    </w:p>
    <w:p>
      <w:pPr>
        <w:widowControl w:val="0"/>
        <w:numPr>
          <w:ilvl w:val="0"/>
          <w:numId w:val="0"/>
        </w:numPr>
        <w:ind w:leftChars="0"/>
        <w:jc w:val="both"/>
        <w:rPr>
          <w:rFonts w:hint="eastAsia"/>
          <w:b/>
          <w:bCs/>
          <w:lang w:val="en-US" w:eastAsia="zh-CN"/>
        </w:rPr>
      </w:pPr>
      <w:r>
        <w:rPr>
          <w:rFonts w:hint="eastAsia" w:eastAsia="宋体"/>
          <w:b/>
          <w:bCs/>
          <w:lang w:val="en-US" w:eastAsia="zh-CN"/>
        </w:rPr>
        <w:t>Proposal 4</w:t>
      </w:r>
      <w:bookmarkStart w:id="12" w:name="_GoBack"/>
      <w:bookmarkEnd w:id="12"/>
      <w:r>
        <w:rPr>
          <w:rFonts w:hint="eastAsia" w:eastAsia="宋体"/>
          <w:b/>
          <w:bCs/>
          <w:lang w:val="en-US" w:eastAsia="zh-CN"/>
        </w:rPr>
        <w:t xml:space="preserve">: </w:t>
      </w:r>
      <w:r>
        <w:rPr>
          <w:rFonts w:hint="eastAsia"/>
          <w:b/>
          <w:bCs/>
          <w:lang w:val="en-US" w:eastAsia="zh-CN"/>
        </w:rPr>
        <w:t>For INACTIVE QoE, RAN2 shall discuss the following aspects:</w:t>
      </w:r>
    </w:p>
    <w:p>
      <w:pPr>
        <w:widowControl w:val="0"/>
        <w:numPr>
          <w:ilvl w:val="0"/>
          <w:numId w:val="0"/>
        </w:numPr>
        <w:ind w:leftChars="0" w:firstLine="420" w:firstLineChars="0"/>
        <w:jc w:val="both"/>
        <w:rPr>
          <w:rFonts w:hint="eastAsia"/>
          <w:b/>
          <w:bCs/>
          <w:lang w:val="en-US" w:eastAsia="zh-CN"/>
        </w:rPr>
      </w:pPr>
      <w:r>
        <w:rPr>
          <w:rFonts w:hint="eastAsia"/>
          <w:b/>
          <w:bCs/>
          <w:lang w:val="en-US" w:eastAsia="zh-CN"/>
        </w:rPr>
        <w:t>Whether MBMS services need the QoE result for data transportation optimization.</w:t>
      </w:r>
    </w:p>
    <w:p>
      <w:pPr>
        <w:widowControl w:val="0"/>
        <w:numPr>
          <w:ilvl w:val="0"/>
          <w:numId w:val="0"/>
        </w:numPr>
        <w:ind w:leftChars="0" w:firstLine="420" w:firstLineChars="0"/>
        <w:jc w:val="both"/>
        <w:rPr>
          <w:rFonts w:hint="default" w:eastAsia="宋体"/>
          <w:b/>
          <w:bCs/>
          <w:highlight w:val="yellow"/>
          <w:lang w:val="en-US" w:eastAsia="zh-CN"/>
        </w:rPr>
      </w:pPr>
      <w:r>
        <w:rPr>
          <w:rFonts w:hint="eastAsia"/>
          <w:b/>
          <w:bCs/>
          <w:lang w:val="en-US" w:eastAsia="zh-CN"/>
        </w:rPr>
        <w:t>Whether RAN2 need to use QoE to evaluate the delay caused by UE status switching between RRC_INACTIVE and RRC_CONNECTED.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13612"/>
      <w:bookmarkStart w:id="9" w:name="_Toc18403976"/>
      <w:bookmarkStart w:id="10" w:name="_Toc18404543"/>
      <w:r>
        <w:rPr>
          <w:rFonts w:cs="Arial"/>
          <w:b w:val="0"/>
          <w:bCs w:val="0"/>
          <w:kern w:val="0"/>
          <w:sz w:val="32"/>
          <w:szCs w:val="36"/>
        </w:rPr>
        <w:t>References</w:t>
      </w:r>
      <w:bookmarkEnd w:id="8"/>
      <w:bookmarkEnd w:id="9"/>
      <w:bookmarkEnd w:id="10"/>
    </w:p>
    <w:p>
      <w:pPr>
        <w:numPr>
          <w:ilvl w:val="0"/>
          <w:numId w:val="7"/>
        </w:numPr>
        <w:spacing w:line="240" w:lineRule="auto"/>
        <w:rPr>
          <w:rFonts w:eastAsia="宋体" w:cs="Arial"/>
          <w:lang w:val="en-US" w:eastAsia="zh-CN"/>
        </w:rPr>
      </w:pPr>
      <w:bookmarkStart w:id="11" w:name="OLE_LINK3"/>
      <w:r>
        <w:rPr>
          <w:rFonts w:hint="eastAsia" w:eastAsia="宋体" w:cs="Arial"/>
          <w:lang w:val="en-US" w:eastAsia="zh-CN"/>
        </w:rPr>
        <w:t>RAN2#113bise Chairman notes 2021-04-21 0700 UTC.</w:t>
      </w:r>
    </w:p>
    <w:p>
      <w:pPr>
        <w:numPr>
          <w:ilvl w:val="0"/>
          <w:numId w:val="7"/>
        </w:numPr>
        <w:spacing w:line="240" w:lineRule="auto"/>
        <w:rPr>
          <w:rFonts w:eastAsia="宋体" w:cs="Arial"/>
          <w:lang w:val="en-US" w:eastAsia="zh-CN"/>
        </w:rPr>
      </w:pPr>
      <w:r>
        <w:rPr>
          <w:rFonts w:hint="eastAsia" w:eastAsia="宋体" w:cs="Arial"/>
          <w:lang w:val="en-US" w:eastAsia="zh-CN"/>
        </w:rPr>
        <w:t xml:space="preserve">3GPP TS 28.405, </w:t>
      </w:r>
      <w:r>
        <w:rPr>
          <w:rFonts w:hint="default" w:eastAsia="宋体" w:cs="Arial"/>
          <w:lang w:val="en-US" w:eastAsia="zh-CN"/>
        </w:rPr>
        <w:t>“</w:t>
      </w:r>
      <w:r>
        <w:rPr>
          <w:rFonts w:hint="eastAsia" w:eastAsia="宋体" w:cs="Arial"/>
          <w:lang w:val="en-US" w:eastAsia="zh-CN"/>
        </w:rPr>
        <w:t>Quality of Experience (QoE) measurement collection; Control and configuration</w:t>
      </w:r>
      <w:r>
        <w:rPr>
          <w:rFonts w:hint="default" w:eastAsia="宋体" w:cs="Arial"/>
          <w:lang w:val="en-US" w:eastAsia="zh-CN"/>
        </w:rPr>
        <w:t>”</w:t>
      </w:r>
      <w:r>
        <w:rPr>
          <w:rFonts w:hint="eastAsia" w:eastAsia="宋体" w:cs="Arial"/>
          <w:lang w:val="en-US" w:eastAsia="zh-CN"/>
        </w:rPr>
        <w:t>, Release 16, v16.0.0, Jul, 2021.</w:t>
      </w:r>
    </w:p>
    <w:p>
      <w:pPr>
        <w:numPr>
          <w:ilvl w:val="0"/>
          <w:numId w:val="7"/>
        </w:numPr>
        <w:spacing w:line="240" w:lineRule="auto"/>
        <w:rPr>
          <w:rFonts w:eastAsia="宋体" w:cs="Arial"/>
          <w:lang w:val="en-US" w:eastAsia="zh-CN"/>
        </w:rPr>
      </w:pPr>
      <w:r>
        <w:rPr>
          <w:rFonts w:hint="eastAsia" w:eastAsia="宋体" w:cs="Arial"/>
          <w:lang w:val="en-US" w:eastAsia="zh-CN"/>
        </w:rPr>
        <w:t xml:space="preserve">3GPP TS 26.247, </w:t>
      </w:r>
      <w:r>
        <w:rPr>
          <w:rFonts w:hint="default" w:eastAsia="宋体" w:cs="Arial"/>
          <w:lang w:val="en-US" w:eastAsia="zh-CN"/>
        </w:rPr>
        <w:t>“</w:t>
      </w:r>
      <w:r>
        <w:rPr>
          <w:rFonts w:hint="eastAsia" w:eastAsia="宋体" w:cs="Arial"/>
          <w:lang w:val="en-US" w:eastAsia="zh-CN"/>
        </w:rPr>
        <w:t xml:space="preserve"> Transparent end-to-end Packet-switched Streaming Service (PSS); Progressive Download and Dynamic Adaptive Streaming over HTTP (3GP-DASH) </w:t>
      </w:r>
      <w:r>
        <w:rPr>
          <w:rFonts w:hint="default" w:eastAsia="宋体" w:cs="Arial"/>
          <w:lang w:val="en-US" w:eastAsia="zh-CN"/>
        </w:rPr>
        <w:t>”</w:t>
      </w:r>
      <w:r>
        <w:rPr>
          <w:rFonts w:hint="eastAsia" w:eastAsia="宋体" w:cs="Arial"/>
          <w:lang w:val="en-US" w:eastAsia="zh-CN"/>
        </w:rPr>
        <w:t>, Release 16, v16.4.1, Oct, 2020.</w:t>
      </w:r>
    </w:p>
    <w:p>
      <w:pPr>
        <w:numPr>
          <w:ilvl w:val="0"/>
          <w:numId w:val="7"/>
        </w:numPr>
        <w:spacing w:line="240" w:lineRule="auto"/>
        <w:rPr>
          <w:rFonts w:eastAsia="宋体" w:cs="Arial"/>
          <w:lang w:val="en-US" w:eastAsia="zh-CN"/>
        </w:rPr>
      </w:pPr>
      <w:r>
        <w:rPr>
          <w:rFonts w:hint="eastAsia" w:eastAsia="宋体" w:cs="Arial"/>
          <w:lang w:val="en-US" w:eastAsia="zh-CN"/>
        </w:rPr>
        <w:t>RAN2#113e Chairman notes 2021-02-05 EOM.</w:t>
      </w:r>
    </w:p>
    <w:p>
      <w:pPr>
        <w:numPr>
          <w:ilvl w:val="0"/>
          <w:numId w:val="7"/>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210815,</w:t>
      </w:r>
      <w:r>
        <w:rPr>
          <w:rFonts w:eastAsia="宋体" w:cs="Arial"/>
          <w:lang w:val="en-US" w:eastAsia="zh-CN"/>
        </w:rPr>
        <w:t xml:space="preserve">“Work Item Description: </w:t>
      </w:r>
      <w:r>
        <w:rPr>
          <w:lang w:eastAsia="zh-CN"/>
        </w:rPr>
        <w:t>NR QoE management and optimizations for diverse services</w:t>
      </w:r>
      <w:r>
        <w:rPr>
          <w:rFonts w:eastAsia="宋体" w:cs="Arial"/>
          <w:lang w:val="en-US" w:eastAsia="zh-CN"/>
        </w:rPr>
        <w:t>”, RAN</w:t>
      </w:r>
      <w:r>
        <w:rPr>
          <w:rFonts w:hint="eastAsia" w:eastAsia="宋体" w:cs="Arial"/>
          <w:lang w:val="en-US" w:eastAsia="zh-CN"/>
        </w:rPr>
        <w:t>,Mar,26, 2021.</w:t>
      </w:r>
    </w:p>
    <w:bookmarkEnd w:id="11"/>
    <w:p>
      <w:pPr>
        <w:pStyle w:val="53"/>
        <w:numPr>
          <w:ilvl w:val="0"/>
          <w:numId w:val="7"/>
        </w:numPr>
        <w:spacing w:before="75" w:beforeAutospacing="0" w:after="75" w:afterAutospacing="0" w:line="240" w:lineRule="auto"/>
        <w:rPr>
          <w:rFonts w:cs="Arial"/>
          <w:color w:val="000000"/>
          <w:sz w:val="21"/>
          <w:highlight w:val="none"/>
        </w:rPr>
      </w:pPr>
      <w:r>
        <w:rPr>
          <w:rFonts w:hint="eastAsia" w:eastAsia="宋体" w:cs="Arial"/>
          <w:color w:val="000000"/>
          <w:sz w:val="21"/>
          <w:highlight w:val="none"/>
          <w:lang w:val="en-US" w:eastAsia="zh-CN"/>
        </w:rPr>
        <w:t xml:space="preserve">3GPP TR 38.890, </w:t>
      </w:r>
      <w:r>
        <w:rPr>
          <w:rFonts w:eastAsia="宋体" w:cs="Arial"/>
          <w:color w:val="000000"/>
          <w:sz w:val="21"/>
          <w:highlight w:val="none"/>
          <w:lang w:val="en-US" w:eastAsia="zh-CN"/>
        </w:rPr>
        <w:t>“</w:t>
      </w:r>
      <w:r>
        <w:rPr>
          <w:rFonts w:hint="eastAsia" w:eastAsia="宋体" w:cs="Arial"/>
          <w:color w:val="000000"/>
          <w:sz w:val="21"/>
          <w:highlight w:val="none"/>
          <w:lang w:val="en-US" w:eastAsia="zh-CN"/>
        </w:rPr>
        <w:t>Study on NR QoE management and optimizations for diverse services</w:t>
      </w:r>
      <w:r>
        <w:rPr>
          <w:rFonts w:eastAsia="宋体" w:cs="Arial"/>
          <w:color w:val="000000"/>
          <w:sz w:val="21"/>
          <w:highlight w:val="none"/>
          <w:lang w:val="en-US" w:eastAsia="zh-CN"/>
        </w:rPr>
        <w:t>”</w:t>
      </w:r>
      <w:r>
        <w:rPr>
          <w:rFonts w:hint="eastAsia" w:eastAsia="宋体" w:cs="Arial"/>
          <w:color w:val="000000"/>
          <w:sz w:val="21"/>
          <w:highlight w:val="none"/>
          <w:lang w:val="en-US" w:eastAsia="zh-CN"/>
        </w:rPr>
        <w:t>, Release 17,v0.3.0, Feb, 2020.</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C582C418"/>
    <w:multiLevelType w:val="singleLevel"/>
    <w:tmpl w:val="C582C418"/>
    <w:lvl w:ilvl="0" w:tentative="0">
      <w:start w:val="1"/>
      <w:numFmt w:val="decimal"/>
      <w:suff w:val="space"/>
      <w:lvlText w:val="%1."/>
      <w:lvlJc w:val="left"/>
      <w:pPr>
        <w:ind w:left="420"/>
      </w:p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4"/>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248B7"/>
    <w:rsid w:val="03BC3684"/>
    <w:rsid w:val="0427122D"/>
    <w:rsid w:val="04405CD4"/>
    <w:rsid w:val="04956936"/>
    <w:rsid w:val="055D3A25"/>
    <w:rsid w:val="05D1293B"/>
    <w:rsid w:val="06270E5D"/>
    <w:rsid w:val="06301129"/>
    <w:rsid w:val="06FC2355"/>
    <w:rsid w:val="07332E45"/>
    <w:rsid w:val="07393CB3"/>
    <w:rsid w:val="07645E7E"/>
    <w:rsid w:val="07815AA2"/>
    <w:rsid w:val="07DB31F6"/>
    <w:rsid w:val="08036844"/>
    <w:rsid w:val="083828A5"/>
    <w:rsid w:val="08634AA9"/>
    <w:rsid w:val="08651C20"/>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B478B2"/>
    <w:rsid w:val="0EC0431F"/>
    <w:rsid w:val="0F321E2D"/>
    <w:rsid w:val="0F4E2E70"/>
    <w:rsid w:val="0F6715A1"/>
    <w:rsid w:val="0F8070F6"/>
    <w:rsid w:val="0FA731D6"/>
    <w:rsid w:val="10232DBB"/>
    <w:rsid w:val="103246BB"/>
    <w:rsid w:val="103F55E5"/>
    <w:rsid w:val="108C2AA3"/>
    <w:rsid w:val="10DE14BF"/>
    <w:rsid w:val="10DF3115"/>
    <w:rsid w:val="10E607CB"/>
    <w:rsid w:val="113A3AD9"/>
    <w:rsid w:val="113E3C41"/>
    <w:rsid w:val="11B5797D"/>
    <w:rsid w:val="11DD4AE3"/>
    <w:rsid w:val="11E15AE5"/>
    <w:rsid w:val="11E53E9B"/>
    <w:rsid w:val="11FC5F30"/>
    <w:rsid w:val="120048B1"/>
    <w:rsid w:val="12015140"/>
    <w:rsid w:val="12394E59"/>
    <w:rsid w:val="1299671F"/>
    <w:rsid w:val="12A742B1"/>
    <w:rsid w:val="131813A1"/>
    <w:rsid w:val="13DC640D"/>
    <w:rsid w:val="141443E3"/>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173B84"/>
    <w:rsid w:val="192D5D62"/>
    <w:rsid w:val="19343406"/>
    <w:rsid w:val="1A45032B"/>
    <w:rsid w:val="1A640E62"/>
    <w:rsid w:val="1A713779"/>
    <w:rsid w:val="1A84217D"/>
    <w:rsid w:val="1A9B1F53"/>
    <w:rsid w:val="1ABB54B3"/>
    <w:rsid w:val="1AC5568B"/>
    <w:rsid w:val="1AE025B8"/>
    <w:rsid w:val="1B293F27"/>
    <w:rsid w:val="1B3D4012"/>
    <w:rsid w:val="1B481AFB"/>
    <w:rsid w:val="1B7A1663"/>
    <w:rsid w:val="1B8F6978"/>
    <w:rsid w:val="1B9835EE"/>
    <w:rsid w:val="1BC27038"/>
    <w:rsid w:val="1BC73993"/>
    <w:rsid w:val="1BD24B16"/>
    <w:rsid w:val="1BF62321"/>
    <w:rsid w:val="1C130C67"/>
    <w:rsid w:val="1C2D5D31"/>
    <w:rsid w:val="1C696E9C"/>
    <w:rsid w:val="1CBD093F"/>
    <w:rsid w:val="1CC83450"/>
    <w:rsid w:val="1CE21C50"/>
    <w:rsid w:val="1CE9601A"/>
    <w:rsid w:val="1D235F66"/>
    <w:rsid w:val="1D665A9E"/>
    <w:rsid w:val="1D667D51"/>
    <w:rsid w:val="1D714083"/>
    <w:rsid w:val="1D8D3AB3"/>
    <w:rsid w:val="1DC566C0"/>
    <w:rsid w:val="1DE501D0"/>
    <w:rsid w:val="1E21472F"/>
    <w:rsid w:val="1E2804C4"/>
    <w:rsid w:val="1E2C49A1"/>
    <w:rsid w:val="1E3722FA"/>
    <w:rsid w:val="1E8146DA"/>
    <w:rsid w:val="1EA46EA2"/>
    <w:rsid w:val="1EAA39F6"/>
    <w:rsid w:val="1EB2633F"/>
    <w:rsid w:val="1EB847E9"/>
    <w:rsid w:val="1EF6358A"/>
    <w:rsid w:val="1F457CB6"/>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1E84FE6"/>
    <w:rsid w:val="22056807"/>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811209"/>
    <w:rsid w:val="28915210"/>
    <w:rsid w:val="28937E74"/>
    <w:rsid w:val="29095102"/>
    <w:rsid w:val="293E1B9C"/>
    <w:rsid w:val="295B598A"/>
    <w:rsid w:val="29A81AA0"/>
    <w:rsid w:val="29B32846"/>
    <w:rsid w:val="29ED63D5"/>
    <w:rsid w:val="2A275682"/>
    <w:rsid w:val="2A275D46"/>
    <w:rsid w:val="2AA14025"/>
    <w:rsid w:val="2ACA4643"/>
    <w:rsid w:val="2B2348E2"/>
    <w:rsid w:val="2B5D0645"/>
    <w:rsid w:val="2B907720"/>
    <w:rsid w:val="2BCD0751"/>
    <w:rsid w:val="2BED4C7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C27772"/>
    <w:rsid w:val="2ED0428B"/>
    <w:rsid w:val="2F263E1B"/>
    <w:rsid w:val="2F337D9E"/>
    <w:rsid w:val="300160A4"/>
    <w:rsid w:val="3003631E"/>
    <w:rsid w:val="30745F5B"/>
    <w:rsid w:val="3078124A"/>
    <w:rsid w:val="3090209F"/>
    <w:rsid w:val="30953FB5"/>
    <w:rsid w:val="31623402"/>
    <w:rsid w:val="31EB4942"/>
    <w:rsid w:val="31EC5E5F"/>
    <w:rsid w:val="31FE5E09"/>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B72E0"/>
    <w:rsid w:val="358E0757"/>
    <w:rsid w:val="35AE7101"/>
    <w:rsid w:val="35BB43C3"/>
    <w:rsid w:val="35F9212A"/>
    <w:rsid w:val="36281B26"/>
    <w:rsid w:val="36336C04"/>
    <w:rsid w:val="366043F8"/>
    <w:rsid w:val="366626F2"/>
    <w:rsid w:val="374F6194"/>
    <w:rsid w:val="377F6041"/>
    <w:rsid w:val="37BC7D72"/>
    <w:rsid w:val="37D133A4"/>
    <w:rsid w:val="37E15A1B"/>
    <w:rsid w:val="382E42A6"/>
    <w:rsid w:val="3837300F"/>
    <w:rsid w:val="38586E9E"/>
    <w:rsid w:val="38A75F14"/>
    <w:rsid w:val="38BD2C6C"/>
    <w:rsid w:val="38FA0996"/>
    <w:rsid w:val="39467E4B"/>
    <w:rsid w:val="396E02FE"/>
    <w:rsid w:val="396F1F04"/>
    <w:rsid w:val="3982272C"/>
    <w:rsid w:val="399648C1"/>
    <w:rsid w:val="39BB3B43"/>
    <w:rsid w:val="3A156CE0"/>
    <w:rsid w:val="3A277789"/>
    <w:rsid w:val="3A2D66D3"/>
    <w:rsid w:val="3A891A0E"/>
    <w:rsid w:val="3A9620D1"/>
    <w:rsid w:val="3AA26C9B"/>
    <w:rsid w:val="3ADC5E36"/>
    <w:rsid w:val="3AFC2B33"/>
    <w:rsid w:val="3AFC41BB"/>
    <w:rsid w:val="3B44148F"/>
    <w:rsid w:val="3B7F2802"/>
    <w:rsid w:val="3B8B43E4"/>
    <w:rsid w:val="3BC33F8E"/>
    <w:rsid w:val="3BCE7F95"/>
    <w:rsid w:val="3C087392"/>
    <w:rsid w:val="3C3F7E0E"/>
    <w:rsid w:val="3C893061"/>
    <w:rsid w:val="3C905E3A"/>
    <w:rsid w:val="3CB674D9"/>
    <w:rsid w:val="3D0F30FA"/>
    <w:rsid w:val="3D634A82"/>
    <w:rsid w:val="3D9210CE"/>
    <w:rsid w:val="3DAC0E95"/>
    <w:rsid w:val="3E7A082F"/>
    <w:rsid w:val="3E926EC3"/>
    <w:rsid w:val="3E93478A"/>
    <w:rsid w:val="3E9F10BF"/>
    <w:rsid w:val="3EB90562"/>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1BC548E"/>
    <w:rsid w:val="421B0E01"/>
    <w:rsid w:val="42481B2A"/>
    <w:rsid w:val="435660A2"/>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6B5CA5"/>
    <w:rsid w:val="48BB3F94"/>
    <w:rsid w:val="48E03D9C"/>
    <w:rsid w:val="49374149"/>
    <w:rsid w:val="49613924"/>
    <w:rsid w:val="496D0F3E"/>
    <w:rsid w:val="49A4532B"/>
    <w:rsid w:val="49E12571"/>
    <w:rsid w:val="49E378C6"/>
    <w:rsid w:val="4A834EBE"/>
    <w:rsid w:val="4B3040AF"/>
    <w:rsid w:val="4B55574A"/>
    <w:rsid w:val="4B8B3072"/>
    <w:rsid w:val="4BA90131"/>
    <w:rsid w:val="4BB36285"/>
    <w:rsid w:val="4BD15B84"/>
    <w:rsid w:val="4BD35EC5"/>
    <w:rsid w:val="4BF55CE7"/>
    <w:rsid w:val="4C1B3C0A"/>
    <w:rsid w:val="4C4846F9"/>
    <w:rsid w:val="4CBC728A"/>
    <w:rsid w:val="4CFB69A6"/>
    <w:rsid w:val="4D2316EA"/>
    <w:rsid w:val="4D267491"/>
    <w:rsid w:val="4D6D7544"/>
    <w:rsid w:val="4D830955"/>
    <w:rsid w:val="4DF641D3"/>
    <w:rsid w:val="4E3E017D"/>
    <w:rsid w:val="4E5F59DA"/>
    <w:rsid w:val="4EA44C2A"/>
    <w:rsid w:val="4EF23E87"/>
    <w:rsid w:val="4F2941D5"/>
    <w:rsid w:val="4FB0008A"/>
    <w:rsid w:val="4FFC0A94"/>
    <w:rsid w:val="50081059"/>
    <w:rsid w:val="50F36CD9"/>
    <w:rsid w:val="512E641B"/>
    <w:rsid w:val="517D059D"/>
    <w:rsid w:val="51FA56D9"/>
    <w:rsid w:val="521723B7"/>
    <w:rsid w:val="523F7F97"/>
    <w:rsid w:val="52A123F6"/>
    <w:rsid w:val="53047529"/>
    <w:rsid w:val="53B9060B"/>
    <w:rsid w:val="53D47B11"/>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292FFC"/>
    <w:rsid w:val="57460503"/>
    <w:rsid w:val="575272DC"/>
    <w:rsid w:val="575370FA"/>
    <w:rsid w:val="57BD0A78"/>
    <w:rsid w:val="57DC6FDD"/>
    <w:rsid w:val="57FB5F50"/>
    <w:rsid w:val="58264B3A"/>
    <w:rsid w:val="58984B29"/>
    <w:rsid w:val="589E7340"/>
    <w:rsid w:val="58B03A4A"/>
    <w:rsid w:val="590D5DDF"/>
    <w:rsid w:val="59446E9D"/>
    <w:rsid w:val="596F34AA"/>
    <w:rsid w:val="59C407FC"/>
    <w:rsid w:val="59C754AB"/>
    <w:rsid w:val="59E079AB"/>
    <w:rsid w:val="5A375749"/>
    <w:rsid w:val="5A726BA0"/>
    <w:rsid w:val="5AD3204F"/>
    <w:rsid w:val="5B071BBA"/>
    <w:rsid w:val="5B3C55BF"/>
    <w:rsid w:val="5B63756F"/>
    <w:rsid w:val="5B725B6B"/>
    <w:rsid w:val="5BA92359"/>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5FFE3FC7"/>
    <w:rsid w:val="60094B01"/>
    <w:rsid w:val="601A7A49"/>
    <w:rsid w:val="602F4794"/>
    <w:rsid w:val="60406369"/>
    <w:rsid w:val="607F4912"/>
    <w:rsid w:val="60881A7C"/>
    <w:rsid w:val="609751E5"/>
    <w:rsid w:val="60C10976"/>
    <w:rsid w:val="60D4682E"/>
    <w:rsid w:val="61563C9D"/>
    <w:rsid w:val="61A52AF8"/>
    <w:rsid w:val="61C16E82"/>
    <w:rsid w:val="61D81A5C"/>
    <w:rsid w:val="620D1678"/>
    <w:rsid w:val="625B5401"/>
    <w:rsid w:val="62B8321C"/>
    <w:rsid w:val="630962B4"/>
    <w:rsid w:val="63766DF5"/>
    <w:rsid w:val="63BE6B4B"/>
    <w:rsid w:val="63E41E32"/>
    <w:rsid w:val="6406254B"/>
    <w:rsid w:val="643636FB"/>
    <w:rsid w:val="64522BD2"/>
    <w:rsid w:val="646766DC"/>
    <w:rsid w:val="64E010F2"/>
    <w:rsid w:val="6503009D"/>
    <w:rsid w:val="65177902"/>
    <w:rsid w:val="651E5E20"/>
    <w:rsid w:val="65535A1B"/>
    <w:rsid w:val="657E2D0B"/>
    <w:rsid w:val="65817DB1"/>
    <w:rsid w:val="65FE510C"/>
    <w:rsid w:val="660E507B"/>
    <w:rsid w:val="66373410"/>
    <w:rsid w:val="66576902"/>
    <w:rsid w:val="66753070"/>
    <w:rsid w:val="669369C9"/>
    <w:rsid w:val="66943B2D"/>
    <w:rsid w:val="669D6C9E"/>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F5342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7B6FD7"/>
    <w:rsid w:val="6FA027BC"/>
    <w:rsid w:val="6FC55DFE"/>
    <w:rsid w:val="70020A66"/>
    <w:rsid w:val="701A03F2"/>
    <w:rsid w:val="701B6FD8"/>
    <w:rsid w:val="70206DE6"/>
    <w:rsid w:val="704266E6"/>
    <w:rsid w:val="70483B0A"/>
    <w:rsid w:val="706A7B0F"/>
    <w:rsid w:val="7080412D"/>
    <w:rsid w:val="7127456D"/>
    <w:rsid w:val="712914EF"/>
    <w:rsid w:val="716329A8"/>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2F0403"/>
    <w:rsid w:val="784F6AB7"/>
    <w:rsid w:val="78D61CB2"/>
    <w:rsid w:val="78F104FB"/>
    <w:rsid w:val="79493EB1"/>
    <w:rsid w:val="79727D88"/>
    <w:rsid w:val="797C66CF"/>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26842"/>
    <w:rsid w:val="7D9B3B81"/>
    <w:rsid w:val="7DA87B6D"/>
    <w:rsid w:val="7DA957CB"/>
    <w:rsid w:val="7DC82C31"/>
    <w:rsid w:val="7DF366F8"/>
    <w:rsid w:val="7E0F7674"/>
    <w:rsid w:val="7E1F6225"/>
    <w:rsid w:val="7E541837"/>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eastAsia="MS Mincho"/>
      <w:kern w:val="0"/>
      <w:sz w:val="20"/>
    </w:rPr>
  </w:style>
  <w:style w:type="paragraph" w:styleId="12">
    <w:name w:val="List 2"/>
    <w:basedOn w:val="13"/>
    <w:unhideWhenUsed/>
    <w:qFormat/>
    <w:uiPriority w:val="0"/>
    <w:pPr>
      <w:ind w:left="100" w:leftChars="200" w:hanging="200" w:hangingChars="200"/>
      <w:contextualSpacing/>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2021-05-11T06:44:35Z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