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ADF36F" w14:textId="6AFB7E49" w:rsidR="00EB410E" w:rsidRPr="00133D6A" w:rsidRDefault="00EB410E" w:rsidP="00AB4C0E">
      <w:pPr>
        <w:pStyle w:val="Header"/>
        <w:tabs>
          <w:tab w:val="right" w:pos="9639"/>
        </w:tabs>
        <w:jc w:val="both"/>
        <w:rPr>
          <w:bCs/>
          <w:i/>
          <w:noProof w:val="0"/>
          <w:sz w:val="32"/>
          <w:lang w:eastAsia="zh-CN"/>
        </w:rPr>
      </w:pPr>
      <w:r w:rsidRPr="00133D6A">
        <w:rPr>
          <w:noProof w:val="0"/>
          <w:sz w:val="24"/>
          <w:lang w:eastAsia="zh-CN"/>
        </w:rPr>
        <w:t>3GPP T</w:t>
      </w:r>
      <w:bookmarkStart w:id="0" w:name="_Ref452454252"/>
      <w:bookmarkEnd w:id="0"/>
      <w:r w:rsidRPr="00133D6A">
        <w:rPr>
          <w:noProof w:val="0"/>
          <w:sz w:val="24"/>
          <w:lang w:eastAsia="zh-CN"/>
        </w:rPr>
        <w:t>SG RAN WG2 Meeting #</w:t>
      </w:r>
      <w:r w:rsidR="008B56A6" w:rsidRPr="00133D6A">
        <w:rPr>
          <w:noProof w:val="0"/>
          <w:sz w:val="24"/>
          <w:lang w:eastAsia="zh-CN"/>
        </w:rPr>
        <w:t>1</w:t>
      </w:r>
      <w:r w:rsidR="0051416A" w:rsidRPr="00133D6A">
        <w:rPr>
          <w:noProof w:val="0"/>
          <w:sz w:val="24"/>
          <w:lang w:eastAsia="zh-CN"/>
        </w:rPr>
        <w:t>1</w:t>
      </w:r>
      <w:r w:rsidR="006B31EB" w:rsidRPr="00133D6A">
        <w:rPr>
          <w:noProof w:val="0"/>
          <w:sz w:val="24"/>
          <w:lang w:eastAsia="zh-CN"/>
        </w:rPr>
        <w:t>4</w:t>
      </w:r>
      <w:r w:rsidR="0094356D">
        <w:rPr>
          <w:noProof w:val="0"/>
          <w:sz w:val="24"/>
          <w:lang w:eastAsia="zh-CN"/>
        </w:rPr>
        <w:t xml:space="preserve">  </w:t>
      </w:r>
      <w:r w:rsidR="003A6AE5" w:rsidRPr="00133D6A">
        <w:rPr>
          <w:noProof w:val="0"/>
          <w:sz w:val="24"/>
          <w:lang w:eastAsia="zh-CN"/>
        </w:rPr>
        <w:t xml:space="preserve"> </w:t>
      </w:r>
      <w:r w:rsidR="006B31EB" w:rsidRPr="00133D6A">
        <w:rPr>
          <w:noProof w:val="0"/>
          <w:sz w:val="24"/>
          <w:lang w:eastAsia="zh-CN"/>
        </w:rPr>
        <w:t xml:space="preserve">     </w:t>
      </w:r>
      <w:r w:rsidRPr="00133D6A">
        <w:rPr>
          <w:bCs/>
          <w:noProof w:val="0"/>
          <w:sz w:val="24"/>
        </w:rPr>
        <w:t xml:space="preserve">                      </w:t>
      </w:r>
      <w:r w:rsidR="008B56A6" w:rsidRPr="00133D6A">
        <w:rPr>
          <w:bCs/>
          <w:noProof w:val="0"/>
          <w:sz w:val="24"/>
        </w:rPr>
        <w:t xml:space="preserve">                            </w:t>
      </w:r>
      <w:r w:rsidRPr="00133D6A">
        <w:rPr>
          <w:bCs/>
          <w:noProof w:val="0"/>
          <w:sz w:val="24"/>
        </w:rPr>
        <w:t xml:space="preserve"> </w:t>
      </w:r>
      <w:r w:rsidR="00B41C75" w:rsidRPr="00133D6A">
        <w:rPr>
          <w:bCs/>
          <w:noProof w:val="0"/>
          <w:sz w:val="24"/>
        </w:rPr>
        <w:t>R2-</w:t>
      </w:r>
      <w:r w:rsidR="00133D6A" w:rsidRPr="00133D6A">
        <w:rPr>
          <w:bCs/>
          <w:noProof w:val="0"/>
          <w:sz w:val="24"/>
        </w:rPr>
        <w:t>2104882</w:t>
      </w:r>
    </w:p>
    <w:p w14:paraId="2B60AF3C" w14:textId="4D28A4BD" w:rsidR="00EB410E" w:rsidRPr="00E86C96" w:rsidRDefault="0051416A" w:rsidP="00AB4C0E">
      <w:pPr>
        <w:pStyle w:val="CRCoverPage"/>
        <w:spacing w:after="240"/>
        <w:jc w:val="both"/>
        <w:outlineLvl w:val="0"/>
        <w:rPr>
          <w:b/>
          <w:sz w:val="24"/>
          <w:lang w:val="en-US"/>
        </w:rPr>
      </w:pPr>
      <w:r w:rsidRPr="00E86C96">
        <w:rPr>
          <w:b/>
          <w:sz w:val="24"/>
          <w:lang w:val="en-US"/>
        </w:rPr>
        <w:t>Electronic meeting</w:t>
      </w:r>
      <w:r w:rsidR="00F73A55" w:rsidRPr="00E86C96">
        <w:rPr>
          <w:b/>
          <w:sz w:val="24"/>
          <w:lang w:val="en-US"/>
        </w:rPr>
        <w:t xml:space="preserve">, </w:t>
      </w:r>
      <w:r w:rsidR="00F84281" w:rsidRPr="00E86C96">
        <w:rPr>
          <w:b/>
          <w:sz w:val="24"/>
          <w:lang w:val="en-US"/>
        </w:rPr>
        <w:t>1</w:t>
      </w:r>
      <w:r w:rsidR="00172879">
        <w:rPr>
          <w:b/>
          <w:sz w:val="24"/>
          <w:lang w:val="en-US"/>
        </w:rPr>
        <w:t>9</w:t>
      </w:r>
      <w:r w:rsidR="00F73A55" w:rsidRPr="00E86C96">
        <w:rPr>
          <w:b/>
          <w:sz w:val="24"/>
          <w:lang w:val="en-US"/>
        </w:rPr>
        <w:t>th-</w:t>
      </w:r>
      <w:r w:rsidR="00772B59" w:rsidRPr="00E86C96">
        <w:rPr>
          <w:b/>
          <w:sz w:val="24"/>
          <w:lang w:val="en-US"/>
        </w:rPr>
        <w:t>2</w:t>
      </w:r>
      <w:r w:rsidR="006832D5">
        <w:rPr>
          <w:b/>
          <w:sz w:val="24"/>
          <w:lang w:val="en-US"/>
        </w:rPr>
        <w:t>7</w:t>
      </w:r>
      <w:r w:rsidR="00F73A55" w:rsidRPr="00E86C96">
        <w:rPr>
          <w:b/>
          <w:sz w:val="24"/>
          <w:lang w:val="en-US"/>
        </w:rPr>
        <w:t xml:space="preserve">th </w:t>
      </w:r>
      <w:r w:rsidR="00172879">
        <w:rPr>
          <w:b/>
          <w:sz w:val="24"/>
          <w:lang w:val="en-US"/>
        </w:rPr>
        <w:t>May</w:t>
      </w:r>
      <w:r w:rsidR="00F73A55" w:rsidRPr="00E86C96">
        <w:rPr>
          <w:b/>
          <w:sz w:val="24"/>
          <w:lang w:val="en-US"/>
        </w:rPr>
        <w:t xml:space="preserve"> 20</w:t>
      </w:r>
      <w:r w:rsidRPr="00E86C96">
        <w:rPr>
          <w:b/>
          <w:sz w:val="24"/>
          <w:lang w:val="en-US"/>
        </w:rPr>
        <w:t>2</w:t>
      </w:r>
      <w:r w:rsidR="00772B59" w:rsidRPr="00E86C96">
        <w:rPr>
          <w:b/>
          <w:sz w:val="24"/>
          <w:lang w:val="en-US"/>
        </w:rPr>
        <w:t>1</w:t>
      </w:r>
    </w:p>
    <w:p w14:paraId="372F5655" w14:textId="47529E01" w:rsidR="00EB410E" w:rsidRPr="00E86C96" w:rsidRDefault="00EB410E" w:rsidP="00AB4C0E">
      <w:pPr>
        <w:pStyle w:val="CRCoverPage"/>
        <w:jc w:val="both"/>
        <w:rPr>
          <w:rFonts w:eastAsia="SimSun" w:cs="Arial"/>
          <w:b/>
          <w:bCs/>
          <w:sz w:val="24"/>
          <w:lang w:val="en-US" w:eastAsia="zh-CN"/>
        </w:rPr>
      </w:pPr>
      <w:r w:rsidRPr="00E86C96">
        <w:rPr>
          <w:rFonts w:cs="Arial"/>
          <w:b/>
          <w:bCs/>
          <w:sz w:val="24"/>
          <w:lang w:val="en-US"/>
        </w:rPr>
        <w:t>Agenda item:</w:t>
      </w:r>
      <w:r w:rsidRPr="00E86C96">
        <w:rPr>
          <w:rFonts w:cs="Arial"/>
          <w:b/>
          <w:bCs/>
          <w:sz w:val="24"/>
          <w:lang w:val="en-US"/>
        </w:rPr>
        <w:tab/>
      </w:r>
      <w:r w:rsidRPr="00E86C96">
        <w:rPr>
          <w:rFonts w:cs="Arial"/>
          <w:b/>
          <w:bCs/>
          <w:sz w:val="24"/>
          <w:lang w:val="en-US"/>
        </w:rPr>
        <w:tab/>
      </w:r>
      <w:r w:rsidR="009E62E8" w:rsidRPr="009E62E8">
        <w:rPr>
          <w:rFonts w:cs="Arial"/>
          <w:bCs/>
          <w:sz w:val="24"/>
          <w:lang w:val="en-US"/>
        </w:rPr>
        <w:t>8.6.3</w:t>
      </w:r>
    </w:p>
    <w:p w14:paraId="2E0FC3EF" w14:textId="77777777" w:rsidR="00EB410E" w:rsidRPr="00E86C96" w:rsidRDefault="00EB410E" w:rsidP="00AB4C0E">
      <w:pPr>
        <w:spacing w:after="120"/>
        <w:jc w:val="both"/>
        <w:rPr>
          <w:rFonts w:ascii="Arial" w:hAnsi="Arial" w:cs="Arial"/>
          <w:bCs/>
          <w:sz w:val="24"/>
        </w:rPr>
      </w:pPr>
      <w:r w:rsidRPr="00E86C96">
        <w:rPr>
          <w:rFonts w:ascii="Arial" w:hAnsi="Arial" w:cs="Arial"/>
          <w:b/>
          <w:bCs/>
          <w:sz w:val="24"/>
        </w:rPr>
        <w:t>Source:</w:t>
      </w:r>
      <w:r w:rsidRPr="00E86C96">
        <w:rPr>
          <w:rFonts w:ascii="Arial" w:hAnsi="Arial" w:cs="Arial"/>
          <w:b/>
          <w:bCs/>
          <w:sz w:val="24"/>
        </w:rPr>
        <w:tab/>
      </w:r>
      <w:r w:rsidRPr="00E86C96">
        <w:rPr>
          <w:rFonts w:ascii="Arial" w:hAnsi="Arial" w:cs="Arial"/>
          <w:b/>
          <w:bCs/>
          <w:sz w:val="24"/>
        </w:rPr>
        <w:tab/>
      </w:r>
      <w:r w:rsidRPr="00E86C96">
        <w:rPr>
          <w:rFonts w:ascii="Arial" w:hAnsi="Arial" w:cs="Arial"/>
          <w:b/>
          <w:bCs/>
          <w:sz w:val="24"/>
        </w:rPr>
        <w:tab/>
      </w:r>
      <w:r w:rsidRPr="00E86C96">
        <w:rPr>
          <w:rFonts w:ascii="Arial" w:hAnsi="Arial" w:cs="Arial"/>
          <w:bCs/>
          <w:sz w:val="24"/>
        </w:rPr>
        <w:t>Intel Corporation</w:t>
      </w:r>
    </w:p>
    <w:p w14:paraId="2DDC857C" w14:textId="2425D238" w:rsidR="00EB410E" w:rsidRPr="00E86C96" w:rsidRDefault="00EB410E" w:rsidP="00AB4C0E">
      <w:pPr>
        <w:tabs>
          <w:tab w:val="left" w:pos="1985"/>
        </w:tabs>
        <w:spacing w:after="120"/>
        <w:ind w:left="2880" w:hanging="2880"/>
        <w:jc w:val="both"/>
        <w:rPr>
          <w:rFonts w:ascii="Arial" w:eastAsia="Malgun Gothic" w:hAnsi="Arial" w:cs="Arial"/>
          <w:bCs/>
          <w:sz w:val="24"/>
          <w:lang w:eastAsia="ko-KR"/>
        </w:rPr>
      </w:pPr>
      <w:r w:rsidRPr="00E86C96">
        <w:rPr>
          <w:rFonts w:ascii="Arial" w:hAnsi="Arial" w:cs="Arial"/>
          <w:b/>
          <w:bCs/>
          <w:sz w:val="24"/>
        </w:rPr>
        <w:t>Title:</w:t>
      </w:r>
      <w:r w:rsidRPr="00E86C96">
        <w:rPr>
          <w:rFonts w:ascii="Arial" w:hAnsi="Arial" w:cs="Arial"/>
          <w:bCs/>
          <w:sz w:val="24"/>
        </w:rPr>
        <w:tab/>
      </w:r>
      <w:r w:rsidRPr="00E86C96">
        <w:rPr>
          <w:rFonts w:ascii="Arial" w:hAnsi="Arial" w:cs="Arial"/>
          <w:bCs/>
          <w:sz w:val="24"/>
        </w:rPr>
        <w:tab/>
      </w:r>
      <w:r w:rsidR="00931538" w:rsidRPr="00931538">
        <w:rPr>
          <w:rFonts w:ascii="Arial" w:hAnsi="Arial" w:cs="Arial"/>
          <w:bCs/>
          <w:sz w:val="24"/>
        </w:rPr>
        <w:t>CP-SDT remaining open issues</w:t>
      </w:r>
    </w:p>
    <w:p w14:paraId="7FF9C1D5" w14:textId="77777777" w:rsidR="00EB410E" w:rsidRPr="00E86C96" w:rsidRDefault="00EB410E" w:rsidP="00AB4C0E">
      <w:pPr>
        <w:jc w:val="both"/>
        <w:rPr>
          <w:rFonts w:ascii="Arial" w:hAnsi="Arial" w:cs="Arial"/>
          <w:b/>
          <w:bCs/>
          <w:sz w:val="24"/>
          <w:lang w:eastAsia="zh-CN"/>
        </w:rPr>
      </w:pPr>
      <w:r w:rsidRPr="00E86C96">
        <w:rPr>
          <w:rFonts w:ascii="Arial" w:hAnsi="Arial" w:cs="Arial"/>
          <w:b/>
          <w:bCs/>
          <w:sz w:val="24"/>
        </w:rPr>
        <w:t>Document for:</w:t>
      </w:r>
      <w:r w:rsidRPr="00E86C96">
        <w:rPr>
          <w:rFonts w:ascii="Arial" w:hAnsi="Arial" w:cs="Arial"/>
          <w:b/>
          <w:bCs/>
          <w:sz w:val="24"/>
        </w:rPr>
        <w:tab/>
      </w:r>
      <w:r w:rsidRPr="00E86C96">
        <w:rPr>
          <w:rFonts w:ascii="Arial" w:hAnsi="Arial" w:cs="Arial"/>
          <w:bCs/>
          <w:sz w:val="24"/>
        </w:rPr>
        <w:t xml:space="preserve"> </w:t>
      </w:r>
      <w:r w:rsidRPr="00E86C96">
        <w:rPr>
          <w:rFonts w:ascii="Arial" w:hAnsi="Arial" w:cs="Arial"/>
          <w:bCs/>
          <w:sz w:val="24"/>
        </w:rPr>
        <w:tab/>
        <w:t>Discussion and decision</w:t>
      </w:r>
    </w:p>
    <w:p w14:paraId="2B8DF5C7" w14:textId="4CD9AC97" w:rsidR="00EB410E" w:rsidRPr="00E86C96" w:rsidRDefault="00EB410E" w:rsidP="00AB4C0E">
      <w:pPr>
        <w:pStyle w:val="Heading1"/>
        <w:numPr>
          <w:ilvl w:val="0"/>
          <w:numId w:val="2"/>
        </w:numPr>
        <w:jc w:val="both"/>
        <w:rPr>
          <w:noProof w:val="0"/>
          <w:lang w:val="en-US"/>
        </w:rPr>
      </w:pPr>
      <w:r w:rsidRPr="00E86C96">
        <w:rPr>
          <w:noProof w:val="0"/>
          <w:lang w:val="en-US"/>
        </w:rPr>
        <w:t>Introduction</w:t>
      </w:r>
      <w:r w:rsidR="00716530">
        <w:rPr>
          <w:noProof w:val="0"/>
          <w:lang w:val="en-US"/>
        </w:rPr>
        <w:t xml:space="preserve"> </w:t>
      </w:r>
    </w:p>
    <w:p w14:paraId="4FB6E304" w14:textId="7590D9BD" w:rsidR="00CC5E2D" w:rsidRPr="00E86C96" w:rsidRDefault="009E62E8" w:rsidP="00AB4C0E">
      <w:pPr>
        <w:jc w:val="both"/>
      </w:pPr>
      <w:bookmarkStart w:id="1" w:name="Proposal_Pattern_Length"/>
      <w:r w:rsidRPr="00C030B3">
        <w:t>This document discuss</w:t>
      </w:r>
      <w:r w:rsidR="0065510F" w:rsidRPr="00C030B3">
        <w:t>es</w:t>
      </w:r>
      <w:r w:rsidRPr="00C030B3">
        <w:t xml:space="preserve"> </w:t>
      </w:r>
      <w:r w:rsidR="003F6BA8" w:rsidRPr="00C030B3">
        <w:t xml:space="preserve">control plane remaining open </w:t>
      </w:r>
      <w:r w:rsidR="00C030B3">
        <w:t>items</w:t>
      </w:r>
      <w:r w:rsidR="003F6BA8" w:rsidRPr="00C030B3">
        <w:t xml:space="preserve"> for SDT addressing </w:t>
      </w:r>
      <w:r w:rsidR="002A5900" w:rsidRPr="00C030B3">
        <w:t xml:space="preserve">additional </w:t>
      </w:r>
      <w:r w:rsidR="003F6BA8" w:rsidRPr="00C030B3">
        <w:t xml:space="preserve">RAN2 </w:t>
      </w:r>
      <w:r w:rsidR="002A5900" w:rsidRPr="00C030B3">
        <w:t>details on the</w:t>
      </w:r>
      <w:r w:rsidR="00C030B3">
        <w:t xml:space="preserve"> handling of</w:t>
      </w:r>
      <w:r w:rsidR="002A5900" w:rsidRPr="00C030B3">
        <w:t xml:space="preserve"> non-SDT </w:t>
      </w:r>
      <w:r w:rsidR="00C030B3">
        <w:t>data</w:t>
      </w:r>
      <w:r w:rsidR="002A5900" w:rsidRPr="00C030B3">
        <w:t xml:space="preserve"> for </w:t>
      </w:r>
      <w:r w:rsidR="007B26B0" w:rsidRPr="00C030B3">
        <w:t xml:space="preserve">CCCH vs DCCH based approach </w:t>
      </w:r>
      <w:r w:rsidR="0065510F" w:rsidRPr="00C030B3">
        <w:t xml:space="preserve">during an </w:t>
      </w:r>
      <w:r w:rsidR="007B26B0" w:rsidRPr="00C030B3">
        <w:t xml:space="preserve">ongoing </w:t>
      </w:r>
      <w:r w:rsidR="0065510F" w:rsidRPr="00C030B3">
        <w:t>SDT session, delta signaling for SDT</w:t>
      </w:r>
      <w:r w:rsidR="00754D01" w:rsidRPr="00C030B3">
        <w:t xml:space="preserve"> configuration, SDT configuration signaling</w:t>
      </w:r>
      <w:r w:rsidR="00C030B3" w:rsidRPr="00C030B3">
        <w:t xml:space="preserve"> </w:t>
      </w:r>
      <w:r w:rsidR="00754D01" w:rsidRPr="00C030B3">
        <w:t xml:space="preserve">, UE behaviour during SDT, </w:t>
      </w:r>
      <w:r w:rsidR="00EB5FE1" w:rsidRPr="00C030B3">
        <w:t xml:space="preserve">RRC </w:t>
      </w:r>
      <w:r w:rsidR="00C030B3" w:rsidRPr="00C030B3">
        <w:t xml:space="preserve">signaling allowed </w:t>
      </w:r>
      <w:r w:rsidR="00EB5FE1" w:rsidRPr="00C030B3">
        <w:t xml:space="preserve">and </w:t>
      </w:r>
      <w:r w:rsidR="00C030B3" w:rsidRPr="00C030B3">
        <w:t>PHR details</w:t>
      </w:r>
      <w:r w:rsidR="00EB5FE1" w:rsidRPr="00C030B3">
        <w:t>.</w:t>
      </w:r>
    </w:p>
    <w:p w14:paraId="362FE0ED" w14:textId="17295AE9" w:rsidR="003B079E" w:rsidRDefault="00CC5E2D" w:rsidP="00AB4C0E">
      <w:pPr>
        <w:pStyle w:val="Heading1"/>
        <w:numPr>
          <w:ilvl w:val="0"/>
          <w:numId w:val="2"/>
        </w:numPr>
        <w:jc w:val="both"/>
        <w:rPr>
          <w:noProof w:val="0"/>
          <w:lang w:val="en-US"/>
        </w:rPr>
      </w:pPr>
      <w:r w:rsidRPr="00E86C96">
        <w:rPr>
          <w:noProof w:val="0"/>
          <w:lang w:val="en-US"/>
        </w:rPr>
        <w:t>Discussion</w:t>
      </w:r>
    </w:p>
    <w:p w14:paraId="17A37FE5" w14:textId="77777777" w:rsidR="00D04D6C" w:rsidRPr="00FB5802" w:rsidRDefault="00D04D6C" w:rsidP="00AB4C0E">
      <w:pPr>
        <w:pStyle w:val="Heading2"/>
        <w:jc w:val="both"/>
      </w:pPr>
      <w:r>
        <w:t>Data for non-</w:t>
      </w:r>
      <w:r w:rsidRPr="00FB5802">
        <w:t>SDT DRB</w:t>
      </w:r>
    </w:p>
    <w:p w14:paraId="766E2E7C" w14:textId="47A078EB" w:rsidR="00D04D6C" w:rsidRPr="00FB5802" w:rsidRDefault="00D04D6C" w:rsidP="00AB4C0E">
      <w:pPr>
        <w:jc w:val="both"/>
      </w:pPr>
      <w:r w:rsidRPr="00FB5802">
        <w:t>RAN2 has discussed two options to handle</w:t>
      </w:r>
      <w:r w:rsidRPr="00FB5802" w:rsidDel="009B09FD">
        <w:t xml:space="preserve"> </w:t>
      </w:r>
      <w:r w:rsidRPr="00FB5802">
        <w:t xml:space="preserve">new data arrival for non-SDT DRB: option 1) UE autonomous release of SDT followed by a new Resume request and option 2) Fallback to Resume after UE indication to network of data on non-SDT DRB (this includes both options of MAC/RRC indication).  We assume that data for all DRBs (SDT/non-SDT irrespective of Resumed or not) will be delivered to UE AS user plane for both options, as explained in previous section and proposals.  </w:t>
      </w:r>
      <w:r w:rsidR="00CB509A" w:rsidRPr="00FB5802">
        <w:t>We do not discuss the topics that were already sent to CT1 and SA3</w:t>
      </w:r>
      <w:r w:rsidR="004D1120" w:rsidRPr="00FB5802">
        <w:t xml:space="preserve"> as suggested in the agenda</w:t>
      </w:r>
      <w:r w:rsidR="005A17FA" w:rsidRPr="00FB5802">
        <w:t xml:space="preserve">, although </w:t>
      </w:r>
      <w:r w:rsidR="00803F0E" w:rsidRPr="00FB5802">
        <w:t>want to flag the</w:t>
      </w:r>
      <w:r w:rsidR="005A17FA" w:rsidRPr="00FB5802">
        <w:t xml:space="preserve"> reference to</w:t>
      </w:r>
      <w:r w:rsidR="00803F0E" w:rsidRPr="00FB5802">
        <w:t xml:space="preserve"> the</w:t>
      </w:r>
      <w:r w:rsidR="005A17FA" w:rsidRPr="00FB5802">
        <w:t xml:space="preserve"> related documents </w:t>
      </w:r>
      <w:r w:rsidR="00840597" w:rsidRPr="00FB5802">
        <w:t xml:space="preserve">submitted on CT1 </w:t>
      </w:r>
      <w:r w:rsidR="000329A9" w:rsidRPr="00FB5802">
        <w:fldChar w:fldCharType="begin"/>
      </w:r>
      <w:r w:rsidR="000329A9" w:rsidRPr="00FB5802">
        <w:instrText xml:space="preserve"> REF _Ref71325969 \r \h </w:instrText>
      </w:r>
      <w:r w:rsidR="00FB5802">
        <w:instrText xml:space="preserve"> \* MERGEFORMAT </w:instrText>
      </w:r>
      <w:r w:rsidR="000329A9" w:rsidRPr="00FB5802">
        <w:fldChar w:fldCharType="separate"/>
      </w:r>
      <w:r w:rsidR="008624B8" w:rsidRPr="00FB5802">
        <w:t>[1]</w:t>
      </w:r>
      <w:r w:rsidR="000329A9" w:rsidRPr="00FB5802">
        <w:fldChar w:fldCharType="end"/>
      </w:r>
      <w:r w:rsidR="000329A9" w:rsidRPr="00FB5802">
        <w:fldChar w:fldCharType="begin"/>
      </w:r>
      <w:r w:rsidR="000329A9" w:rsidRPr="00FB5802">
        <w:instrText xml:space="preserve"> REF _Ref71325971 \r \h </w:instrText>
      </w:r>
      <w:r w:rsidR="00FB5802">
        <w:instrText xml:space="preserve"> \* MERGEFORMAT </w:instrText>
      </w:r>
      <w:r w:rsidR="000329A9" w:rsidRPr="00FB5802">
        <w:fldChar w:fldCharType="separate"/>
      </w:r>
      <w:r w:rsidR="008624B8" w:rsidRPr="00FB5802">
        <w:t>[2]</w:t>
      </w:r>
      <w:r w:rsidR="000329A9" w:rsidRPr="00FB5802">
        <w:fldChar w:fldCharType="end"/>
      </w:r>
      <w:r w:rsidR="000329A9" w:rsidRPr="00FB5802">
        <w:t xml:space="preserve"> </w:t>
      </w:r>
      <w:r w:rsidR="00840597" w:rsidRPr="00FB5802">
        <w:t xml:space="preserve">and SA3 </w:t>
      </w:r>
      <w:r w:rsidR="000329A9" w:rsidRPr="0094356D">
        <w:fldChar w:fldCharType="begin"/>
      </w:r>
      <w:r w:rsidR="000329A9" w:rsidRPr="00FB5802">
        <w:instrText xml:space="preserve"> REF _Ref71325985 \r \h </w:instrText>
      </w:r>
      <w:r w:rsidR="00FB5802">
        <w:instrText xml:space="preserve"> \* MERGEFORMAT </w:instrText>
      </w:r>
      <w:r w:rsidR="000329A9" w:rsidRPr="0094356D">
        <w:fldChar w:fldCharType="separate"/>
      </w:r>
      <w:r w:rsidR="008624B8" w:rsidRPr="00FB5802">
        <w:t>[3]</w:t>
      </w:r>
      <w:r w:rsidR="000329A9" w:rsidRPr="0094356D">
        <w:fldChar w:fldCharType="end"/>
      </w:r>
      <w:r w:rsidR="00FB5802" w:rsidRPr="006832D5">
        <w:rPr>
          <w:rStyle w:val="CommentReference"/>
        </w:rPr>
        <w:fldChar w:fldCharType="begin"/>
      </w:r>
      <w:r w:rsidR="00FB5802" w:rsidRPr="0094356D">
        <w:instrText xml:space="preserve"> REF _Ref71554793 \r \h </w:instrText>
      </w:r>
      <w:r w:rsidR="00FB5802">
        <w:rPr>
          <w:rStyle w:val="CommentReference"/>
        </w:rPr>
        <w:instrText xml:space="preserve"> \* MERGEFORMAT </w:instrText>
      </w:r>
      <w:r w:rsidR="00FB5802" w:rsidRPr="006832D5">
        <w:rPr>
          <w:rStyle w:val="CommentReference"/>
        </w:rPr>
      </w:r>
      <w:r w:rsidR="00FB5802" w:rsidRPr="006832D5">
        <w:rPr>
          <w:rStyle w:val="CommentReference"/>
        </w:rPr>
        <w:fldChar w:fldCharType="separate"/>
      </w:r>
      <w:r w:rsidR="00FB5802" w:rsidRPr="0094356D">
        <w:t>[4]</w:t>
      </w:r>
      <w:r w:rsidR="00FB5802" w:rsidRPr="006832D5">
        <w:rPr>
          <w:rStyle w:val="CommentReference"/>
        </w:rPr>
        <w:fldChar w:fldCharType="end"/>
      </w:r>
      <w:r w:rsidR="00840597" w:rsidRPr="00FB5802">
        <w:t xml:space="preserve"> on this</w:t>
      </w:r>
      <w:r w:rsidR="00803F0E" w:rsidRPr="00FB5802">
        <w:t xml:space="preserve"> topic</w:t>
      </w:r>
      <w:r w:rsidR="00CB509A" w:rsidRPr="00FB5802">
        <w:t xml:space="preserve">.  </w:t>
      </w:r>
    </w:p>
    <w:p w14:paraId="1685834D" w14:textId="1F80F024" w:rsidR="00CB509A" w:rsidRPr="00096963" w:rsidRDefault="00CB509A" w:rsidP="00AB4C0E">
      <w:pPr>
        <w:jc w:val="both"/>
      </w:pPr>
      <w:r w:rsidRPr="00FB5802">
        <w:t xml:space="preserve">In this document, we focus on additional </w:t>
      </w:r>
      <w:r w:rsidR="004D1120" w:rsidRPr="00FB5802">
        <w:t>topics</w:t>
      </w:r>
      <w:r w:rsidRPr="00FB5802">
        <w:t xml:space="preserve"> that are within RAN2 domain </w:t>
      </w:r>
      <w:r w:rsidR="003028B7" w:rsidRPr="00FB5802">
        <w:t>on the CCCH approach for non-SDT data arrival.</w:t>
      </w:r>
      <w:r w:rsidR="004D1120" w:rsidRPr="00FB5802">
        <w:t xml:space="preserve">  </w:t>
      </w:r>
      <w:r w:rsidR="00796FB1" w:rsidRPr="00FB5802">
        <w:t>A possible message flow</w:t>
      </w:r>
      <w:r w:rsidR="00796FB1">
        <w:t xml:space="preserve"> for the CCCH solution is given in the figure below.</w:t>
      </w:r>
    </w:p>
    <w:p w14:paraId="6D512642" w14:textId="03113E6F" w:rsidR="002445C0" w:rsidRPr="002445C0" w:rsidRDefault="00DB7E02">
      <w:pPr>
        <w:jc w:val="center"/>
      </w:pPr>
      <w:r>
        <w:rPr>
          <w:i/>
          <w:iCs/>
          <w:color w:val="44546A" w:themeColor="text2"/>
          <w:sz w:val="18"/>
          <w:szCs w:val="18"/>
        </w:rPr>
        <w:object w:dxaOrig="9645" w:dyaOrig="15030" w14:anchorId="1C54E3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8.5pt;height:478pt" o:ole="">
            <v:imagedata r:id="rId11" o:title=""/>
          </v:shape>
          <o:OLEObject Type="Embed" ProgID="Visio.Drawing.15" ShapeID="_x0000_i1025" DrawAspect="Content" ObjectID="_1682182929" r:id="rId12"/>
        </w:object>
      </w:r>
    </w:p>
    <w:p w14:paraId="759EC4E4" w14:textId="3A86936B" w:rsidR="00D04D6C" w:rsidRPr="00EB5FE1" w:rsidRDefault="00D04D6C" w:rsidP="00AB4C0E">
      <w:pPr>
        <w:pStyle w:val="Caption"/>
        <w:jc w:val="center"/>
        <w:rPr>
          <w:i w:val="0"/>
          <w:iCs w:val="0"/>
          <w:color w:val="auto"/>
          <w:sz w:val="20"/>
          <w:szCs w:val="20"/>
        </w:rPr>
      </w:pPr>
      <w:bookmarkStart w:id="2" w:name="_Ref67850508"/>
      <w:r w:rsidRPr="00EB5FE1">
        <w:rPr>
          <w:i w:val="0"/>
          <w:iCs w:val="0"/>
          <w:color w:val="auto"/>
          <w:sz w:val="20"/>
          <w:szCs w:val="20"/>
        </w:rPr>
        <w:t xml:space="preserve">Figure </w:t>
      </w:r>
      <w:r w:rsidRPr="00EB5FE1">
        <w:rPr>
          <w:i w:val="0"/>
          <w:color w:val="auto"/>
          <w:sz w:val="20"/>
          <w:szCs w:val="20"/>
        </w:rPr>
        <w:fldChar w:fldCharType="begin"/>
      </w:r>
      <w:r w:rsidRPr="00EB5FE1">
        <w:rPr>
          <w:i w:val="0"/>
          <w:iCs w:val="0"/>
          <w:color w:val="auto"/>
          <w:sz w:val="20"/>
          <w:szCs w:val="20"/>
        </w:rPr>
        <w:instrText>SEQ Figure \* ARABIC</w:instrText>
      </w:r>
      <w:r w:rsidRPr="00EB5FE1">
        <w:rPr>
          <w:i w:val="0"/>
          <w:color w:val="auto"/>
          <w:sz w:val="20"/>
          <w:szCs w:val="20"/>
        </w:rPr>
        <w:fldChar w:fldCharType="separate"/>
      </w:r>
      <w:r w:rsidR="008624B8">
        <w:rPr>
          <w:i w:val="0"/>
          <w:iCs w:val="0"/>
          <w:noProof/>
          <w:color w:val="auto"/>
          <w:sz w:val="20"/>
          <w:szCs w:val="20"/>
        </w:rPr>
        <w:t>1</w:t>
      </w:r>
      <w:r w:rsidRPr="00EB5FE1">
        <w:rPr>
          <w:i w:val="0"/>
          <w:color w:val="auto"/>
          <w:sz w:val="20"/>
          <w:szCs w:val="20"/>
        </w:rPr>
        <w:fldChar w:fldCharType="end"/>
      </w:r>
      <w:bookmarkEnd w:id="2"/>
      <w:r w:rsidRPr="00EB5FE1">
        <w:rPr>
          <w:i w:val="0"/>
          <w:iCs w:val="0"/>
          <w:color w:val="auto"/>
          <w:sz w:val="20"/>
          <w:szCs w:val="20"/>
        </w:rPr>
        <w:t xml:space="preserve">: Possible NAS/AS interaction for option where UE triggers another </w:t>
      </w:r>
      <w:r w:rsidRPr="00BC7B14">
        <w:rPr>
          <w:color w:val="auto"/>
          <w:sz w:val="20"/>
          <w:szCs w:val="20"/>
        </w:rPr>
        <w:t>ResumeReq</w:t>
      </w:r>
      <w:r w:rsidR="006441FA" w:rsidRPr="00BC7B14">
        <w:rPr>
          <w:color w:val="auto"/>
          <w:sz w:val="20"/>
          <w:szCs w:val="20"/>
        </w:rPr>
        <w:t>uest</w:t>
      </w:r>
      <w:r w:rsidRPr="00EB5FE1">
        <w:rPr>
          <w:i w:val="0"/>
          <w:iCs w:val="0"/>
          <w:color w:val="auto"/>
          <w:sz w:val="20"/>
          <w:szCs w:val="20"/>
        </w:rPr>
        <w:t xml:space="preserve"> for non-SDT data</w:t>
      </w:r>
    </w:p>
    <w:p w14:paraId="7A5A699D" w14:textId="7CCE902F" w:rsidR="003028B7" w:rsidRDefault="003028B7" w:rsidP="00AB4C0E">
      <w:pPr>
        <w:jc w:val="both"/>
      </w:pPr>
      <w:r>
        <w:t>One issue that was mentioned in the last meeting but not discussed further due to lack of time was on the PDCP COUNT handling during the second Resume procedure due to data arrival for non-SDT RB.</w:t>
      </w:r>
      <w:r w:rsidR="00620D67">
        <w:t xml:space="preserve">  </w:t>
      </w:r>
      <w:r w:rsidR="004D1120">
        <w:t xml:space="preserve">During a current Resume procedure, the PDCP COUNT for all RBs are reset.  RAN2 has also agreed that </w:t>
      </w:r>
      <w:r w:rsidR="00620D67">
        <w:t xml:space="preserve">PDCP COUNT will be reset also for each SDT session.  </w:t>
      </w:r>
    </w:p>
    <w:p w14:paraId="5ACDF589" w14:textId="048BEDD0" w:rsidR="00620D67" w:rsidRDefault="00620D67" w:rsidP="00AB4C0E">
      <w:pPr>
        <w:jc w:val="both"/>
      </w:pPr>
      <w:r>
        <w:t xml:space="preserve">One of the main claimed benefits of the CCCH approach is that it is aligned with the current UE behaviour.   </w:t>
      </w:r>
      <w:r w:rsidR="00E31172">
        <w:t xml:space="preserve">If the current behaviour is followed for the PDCP COUNT, it will result in the same COUNT value being used for the same key during the second Resume procedure.  This is because the PDCP COUNT is reset again for the second Resume and no new key is available at the UE.  This reuse of key and COUNT value is not considered acceptable and captured in </w:t>
      </w:r>
      <w:r w:rsidR="00210EAF">
        <w:t xml:space="preserve">RAN2 </w:t>
      </w:r>
      <w:r w:rsidR="00E31172">
        <w:t xml:space="preserve">specifications </w:t>
      </w:r>
      <w:r w:rsidR="00B51F71">
        <w:t>–</w:t>
      </w:r>
      <w:r w:rsidR="00E31172">
        <w:t xml:space="preserve"> </w:t>
      </w:r>
      <w:r w:rsidR="00B51F71">
        <w:t xml:space="preserve"> for example TS 38.331 § 5.3.1.2: “It is not allowed to use the same </w:t>
      </w:r>
      <w:r w:rsidR="00B51F71">
        <w:rPr>
          <w:i/>
        </w:rPr>
        <w:t>COUNT</w:t>
      </w:r>
      <w:r w:rsidR="00B51F71">
        <w:t xml:space="preserve"> value more than once for a given security key.”</w:t>
      </w:r>
    </w:p>
    <w:p w14:paraId="382A3FEA" w14:textId="08B9333E" w:rsidR="00210EAF" w:rsidRDefault="00210EAF" w:rsidP="0094356D">
      <w:pPr>
        <w:pStyle w:val="observ"/>
        <w:ind w:left="360"/>
      </w:pPr>
      <w:bookmarkStart w:id="3" w:name="_Toc71402914"/>
      <w:bookmarkStart w:id="4" w:name="_Toc71569635"/>
      <w:bookmarkStart w:id="5" w:name="_Toc71570051"/>
      <w:r>
        <w:lastRenderedPageBreak/>
        <w:t>CCCH option using the current Resume procedure breaks security requirements for the RBs of not using the same COUNT value for a given security key.</w:t>
      </w:r>
      <w:bookmarkEnd w:id="3"/>
      <w:bookmarkEnd w:id="4"/>
      <w:bookmarkEnd w:id="5"/>
      <w:r>
        <w:t xml:space="preserve">  </w:t>
      </w:r>
    </w:p>
    <w:p w14:paraId="13D81F21" w14:textId="09E27774" w:rsidR="00E31172" w:rsidRDefault="00E31172" w:rsidP="00AB4C0E">
      <w:pPr>
        <w:jc w:val="both"/>
      </w:pPr>
      <w:r>
        <w:t xml:space="preserve">While it is possible to change the procedures to get around this </w:t>
      </w:r>
      <w:r w:rsidR="00210EAF">
        <w:t>but t</w:t>
      </w:r>
      <w:r w:rsidR="00796FB1">
        <w:t xml:space="preserve">hat requires further discussion on the solutions and associated complexity.  </w:t>
      </w:r>
    </w:p>
    <w:p w14:paraId="500D4441" w14:textId="059FDDC0" w:rsidR="009733CC" w:rsidRDefault="009733CC" w:rsidP="00AB4C0E">
      <w:pPr>
        <w:jc w:val="both"/>
      </w:pPr>
      <w:r>
        <w:t xml:space="preserve">CCCH approach also has an issue with </w:t>
      </w:r>
      <w:r w:rsidR="00306758">
        <w:t xml:space="preserve">identifying the user context in the network when the context </w:t>
      </w:r>
      <w:r w:rsidR="009B6782">
        <w:t xml:space="preserve">is relocated to the new serving gNB (as is likely to be more common scenario).  </w:t>
      </w:r>
      <w:r w:rsidR="00306758">
        <w:t xml:space="preserve">This is because the I-RNTI </w:t>
      </w:r>
      <w:r w:rsidR="009B6782">
        <w:t xml:space="preserve">in the UE is still pointing to the original gNB before the previous SDT session but the context was moved to the serving gNB.  </w:t>
      </w:r>
    </w:p>
    <w:p w14:paraId="26348E71" w14:textId="58385260" w:rsidR="00D04D6C" w:rsidRDefault="00796FB1" w:rsidP="00AB4C0E">
      <w:pPr>
        <w:jc w:val="both"/>
      </w:pPr>
      <w:r>
        <w:t xml:space="preserve">Further, as  can be seen from the </w:t>
      </w:r>
      <w:r w:rsidRPr="00FB5802">
        <w:fldChar w:fldCharType="begin"/>
      </w:r>
      <w:r w:rsidRPr="00FB5802">
        <w:instrText xml:space="preserve"> REF _Ref67850508 \h </w:instrText>
      </w:r>
      <w:r w:rsidR="00FB5802" w:rsidRPr="0094356D">
        <w:instrText xml:space="preserve"> \* MERGEFORMAT </w:instrText>
      </w:r>
      <w:r w:rsidRPr="00FB5802">
        <w:fldChar w:fldCharType="separate"/>
      </w:r>
      <w:r w:rsidR="008624B8" w:rsidRPr="00FB5802">
        <w:t xml:space="preserve">Figure </w:t>
      </w:r>
      <w:r w:rsidR="008624B8" w:rsidRPr="0094356D">
        <w:rPr>
          <w:noProof/>
        </w:rPr>
        <w:t>1</w:t>
      </w:r>
      <w:r w:rsidRPr="00FB5802">
        <w:fldChar w:fldCharType="end"/>
      </w:r>
      <w:r w:rsidRPr="00FB5802">
        <w:t xml:space="preserve">, the </w:t>
      </w:r>
      <w:r>
        <w:t>CCCH</w:t>
      </w:r>
      <w:r w:rsidR="00D04D6C">
        <w:t xml:space="preserve"> </w:t>
      </w:r>
      <w:r w:rsidR="00D04D6C" w:rsidRPr="000B3C56">
        <w:t xml:space="preserve">option has </w:t>
      </w:r>
      <w:r w:rsidR="0022644D">
        <w:t>additional</w:t>
      </w:r>
      <w:r>
        <w:t xml:space="preserve"> </w:t>
      </w:r>
      <w:r w:rsidR="00D04D6C" w:rsidRPr="000B3C56">
        <w:t>signalling to the network</w:t>
      </w:r>
      <w:r w:rsidR="0022644D">
        <w:t>, and additional delay from the signalling and  RACH</w:t>
      </w:r>
      <w:r w:rsidR="00D04D6C" w:rsidRPr="000B3C56">
        <w:t xml:space="preserve"> </w:t>
      </w:r>
      <w:r w:rsidR="0022644D">
        <w:t xml:space="preserve">compared to the option to indicate new data to the network. </w:t>
      </w:r>
      <w:r w:rsidR="00D04D6C" w:rsidRPr="000B3C56">
        <w:t xml:space="preserve"> .  </w:t>
      </w:r>
    </w:p>
    <w:p w14:paraId="43F2C20D" w14:textId="6362A16F" w:rsidR="00E61348" w:rsidRDefault="00E61348" w:rsidP="00AB4C0E">
      <w:pPr>
        <w:jc w:val="both"/>
      </w:pPr>
      <w:r>
        <w:t xml:space="preserve">On the user plane, when the UE initiates the second CCCH for Resume, the L2 protocol layers are reset.  This can result in data loss or duplication as it is not possible to </w:t>
      </w:r>
      <w:r w:rsidR="00DF168E">
        <w:t>keep track of SDT data that was successfully delivered or lost.  Even if the UE re-transmits the data, it can result in duplicates as the PDCP count is reset and it is not possible to detect duplicates.</w:t>
      </w:r>
    </w:p>
    <w:p w14:paraId="59D8071A" w14:textId="6722A577" w:rsidR="006313CD" w:rsidRDefault="006313CD" w:rsidP="00AB4C0E">
      <w:pPr>
        <w:jc w:val="both"/>
      </w:pPr>
      <w:r>
        <w:t>As the CCCH approach is a fresh access also for the SDT data, it will need to go through UAC control check again.</w:t>
      </w:r>
      <w:r w:rsidR="00A14659">
        <w:t xml:space="preserve">  This goes against the normal behaviour ongoing data transmissions are not subject to UAC again.  </w:t>
      </w:r>
    </w:p>
    <w:p w14:paraId="753F75B8" w14:textId="48D9BE96" w:rsidR="00E61348" w:rsidRDefault="00A14659" w:rsidP="00AB4C0E">
      <w:pPr>
        <w:jc w:val="both"/>
      </w:pPr>
      <w:r>
        <w:t xml:space="preserve">As requested in the LSes to CT1 and SA3, </w:t>
      </w:r>
      <w:r w:rsidR="00112725">
        <w:t xml:space="preserve">the CCCH solution is dependent on a positive response from these groups.  </w:t>
      </w:r>
      <w:bookmarkStart w:id="6" w:name="_Toc68037159"/>
      <w:bookmarkStart w:id="7" w:name="_Toc68054642"/>
      <w:bookmarkStart w:id="8" w:name="_Toc68055255"/>
      <w:bookmarkStart w:id="9" w:name="_Toc68204603"/>
      <w:bookmarkStart w:id="10" w:name="_Toc68204864"/>
      <w:bookmarkStart w:id="11" w:name="_Toc68205708"/>
      <w:r w:rsidR="00D04D6C">
        <w:t xml:space="preserve">The </w:t>
      </w:r>
      <w:r w:rsidR="00112725">
        <w:t>other option has no such dependency.</w:t>
      </w:r>
    </w:p>
    <w:p w14:paraId="49493B26" w14:textId="435C99B2" w:rsidR="00D04D6C" w:rsidRDefault="00D04D6C" w:rsidP="00AB4C0E">
      <w:pPr>
        <w:pStyle w:val="observ"/>
        <w:ind w:left="360"/>
      </w:pPr>
      <w:bookmarkStart w:id="12" w:name="_Toc71326939"/>
      <w:bookmarkStart w:id="13" w:name="_Toc71402915"/>
      <w:bookmarkStart w:id="14" w:name="_Toc71569636"/>
      <w:bookmarkStart w:id="15" w:name="_Toc71570052"/>
      <w:r>
        <w:t xml:space="preserve">The </w:t>
      </w:r>
      <w:r w:rsidR="0022644D">
        <w:t>CC</w:t>
      </w:r>
      <w:r w:rsidR="002B703B">
        <w:t>C</w:t>
      </w:r>
      <w:r w:rsidR="0022644D">
        <w:t xml:space="preserve">H </w:t>
      </w:r>
      <w:r>
        <w:t xml:space="preserve">option where UE </w:t>
      </w:r>
      <w:r w:rsidR="0022644D">
        <w:t xml:space="preserve">initiates another CCCH message to </w:t>
      </w:r>
      <w:r>
        <w:t xml:space="preserve">the network when data on non-SDT DRB is available has the following </w:t>
      </w:r>
      <w:r w:rsidR="0022644D">
        <w:t>dis</w:t>
      </w:r>
      <w:r>
        <w:t>advantages:</w:t>
      </w:r>
      <w:bookmarkEnd w:id="6"/>
      <w:bookmarkEnd w:id="7"/>
      <w:bookmarkEnd w:id="8"/>
      <w:bookmarkEnd w:id="9"/>
      <w:bookmarkEnd w:id="10"/>
      <w:bookmarkEnd w:id="11"/>
      <w:bookmarkEnd w:id="12"/>
      <w:bookmarkEnd w:id="13"/>
      <w:bookmarkEnd w:id="14"/>
      <w:bookmarkEnd w:id="15"/>
    </w:p>
    <w:p w14:paraId="51149908" w14:textId="610AB124" w:rsidR="0022644D" w:rsidRDefault="0022644D" w:rsidP="00AB4C0E">
      <w:pPr>
        <w:pStyle w:val="observ"/>
        <w:numPr>
          <w:ilvl w:val="1"/>
          <w:numId w:val="5"/>
        </w:numPr>
      </w:pPr>
      <w:bookmarkStart w:id="16" w:name="_Toc71326940"/>
      <w:bookmarkStart w:id="17" w:name="_Toc71402916"/>
      <w:bookmarkStart w:id="18" w:name="_Toc71569637"/>
      <w:bookmarkStart w:id="19" w:name="_Toc68037160"/>
      <w:bookmarkStart w:id="20" w:name="_Toc68054643"/>
      <w:bookmarkStart w:id="21" w:name="_Toc68055256"/>
      <w:bookmarkStart w:id="22" w:name="_Toc68204604"/>
      <w:bookmarkStart w:id="23" w:name="_Toc68204865"/>
      <w:bookmarkStart w:id="24" w:name="_Toc68205709"/>
      <w:bookmarkStart w:id="25" w:name="_Toc71570053"/>
      <w:r>
        <w:t xml:space="preserve">Breaks the security requirement captured in RRC spec that </w:t>
      </w:r>
      <w:r w:rsidR="00E61348">
        <w:t>same COUNT and key should not be used</w:t>
      </w:r>
      <w:bookmarkEnd w:id="16"/>
      <w:bookmarkEnd w:id="17"/>
      <w:bookmarkEnd w:id="18"/>
      <w:bookmarkEnd w:id="25"/>
    </w:p>
    <w:p w14:paraId="723A9A3A" w14:textId="361B134E" w:rsidR="009B6782" w:rsidRDefault="009B6782" w:rsidP="00AB4C0E">
      <w:pPr>
        <w:pStyle w:val="observ"/>
        <w:numPr>
          <w:ilvl w:val="1"/>
          <w:numId w:val="5"/>
        </w:numPr>
      </w:pPr>
      <w:bookmarkStart w:id="26" w:name="_Toc71402917"/>
      <w:bookmarkStart w:id="27" w:name="_Toc71569638"/>
      <w:bookmarkStart w:id="28" w:name="_Toc71570054"/>
      <w:r>
        <w:t xml:space="preserve">Wrong I-RNTI in the second ResumeRequest </w:t>
      </w:r>
      <w:r w:rsidR="00594611">
        <w:t xml:space="preserve">and unable to identify the UE context </w:t>
      </w:r>
      <w:r>
        <w:t xml:space="preserve">if the </w:t>
      </w:r>
      <w:r w:rsidR="00594611">
        <w:t>network relocated the UE context to serving gNB</w:t>
      </w:r>
      <w:bookmarkEnd w:id="26"/>
      <w:bookmarkEnd w:id="27"/>
      <w:bookmarkEnd w:id="28"/>
    </w:p>
    <w:p w14:paraId="5267140B" w14:textId="513D105B" w:rsidR="00D04D6C" w:rsidRDefault="00E61348" w:rsidP="00AB4C0E">
      <w:pPr>
        <w:pStyle w:val="observ"/>
        <w:numPr>
          <w:ilvl w:val="1"/>
          <w:numId w:val="5"/>
        </w:numPr>
      </w:pPr>
      <w:bookmarkStart w:id="29" w:name="_Toc68037161"/>
      <w:bookmarkStart w:id="30" w:name="_Toc68054644"/>
      <w:bookmarkStart w:id="31" w:name="_Toc68055257"/>
      <w:bookmarkStart w:id="32" w:name="_Toc68204605"/>
      <w:bookmarkStart w:id="33" w:name="_Toc68204866"/>
      <w:bookmarkStart w:id="34" w:name="_Toc68205710"/>
      <w:bookmarkStart w:id="35" w:name="_Toc71326941"/>
      <w:bookmarkStart w:id="36" w:name="_Toc71402918"/>
      <w:bookmarkStart w:id="37" w:name="_Toc71569639"/>
      <w:bookmarkStart w:id="38" w:name="_Toc71570055"/>
      <w:bookmarkEnd w:id="19"/>
      <w:bookmarkEnd w:id="20"/>
      <w:bookmarkEnd w:id="21"/>
      <w:bookmarkEnd w:id="22"/>
      <w:bookmarkEnd w:id="23"/>
      <w:bookmarkEnd w:id="24"/>
      <w:r>
        <w:t xml:space="preserve">Additional </w:t>
      </w:r>
      <w:r w:rsidR="00D04D6C">
        <w:t>signalling to the network, including RACH</w:t>
      </w:r>
      <w:bookmarkEnd w:id="29"/>
      <w:bookmarkEnd w:id="30"/>
      <w:bookmarkEnd w:id="31"/>
      <w:bookmarkEnd w:id="32"/>
      <w:bookmarkEnd w:id="33"/>
      <w:bookmarkEnd w:id="34"/>
      <w:bookmarkEnd w:id="35"/>
      <w:bookmarkEnd w:id="36"/>
      <w:bookmarkEnd w:id="37"/>
      <w:bookmarkEnd w:id="38"/>
    </w:p>
    <w:p w14:paraId="5778C555" w14:textId="3F08DCCE" w:rsidR="00D04D6C" w:rsidRPr="003F4B89" w:rsidRDefault="00E61348" w:rsidP="00AB4C0E">
      <w:pPr>
        <w:pStyle w:val="observ"/>
        <w:numPr>
          <w:ilvl w:val="1"/>
          <w:numId w:val="5"/>
        </w:numPr>
      </w:pPr>
      <w:bookmarkStart w:id="39" w:name="_Toc68037162"/>
      <w:bookmarkStart w:id="40" w:name="_Toc68054645"/>
      <w:bookmarkStart w:id="41" w:name="_Toc68055258"/>
      <w:bookmarkStart w:id="42" w:name="_Toc68204606"/>
      <w:bookmarkStart w:id="43" w:name="_Toc68204867"/>
      <w:bookmarkStart w:id="44" w:name="_Toc68205711"/>
      <w:bookmarkStart w:id="45" w:name="_Toc71326942"/>
      <w:bookmarkStart w:id="46" w:name="_Toc71402919"/>
      <w:bookmarkStart w:id="47" w:name="_Toc71569640"/>
      <w:bookmarkStart w:id="48" w:name="_Toc71570056"/>
      <w:r>
        <w:t>R</w:t>
      </w:r>
      <w:r w:rsidR="00D04D6C" w:rsidRPr="003F4B89">
        <w:t>eset L2 and potentially re-tx SDT data on non-SDT data arrival</w:t>
      </w:r>
      <w:bookmarkEnd w:id="39"/>
      <w:bookmarkEnd w:id="40"/>
      <w:bookmarkEnd w:id="41"/>
      <w:bookmarkEnd w:id="42"/>
      <w:bookmarkEnd w:id="43"/>
      <w:bookmarkEnd w:id="44"/>
      <w:bookmarkEnd w:id="45"/>
      <w:bookmarkEnd w:id="46"/>
      <w:bookmarkEnd w:id="47"/>
      <w:bookmarkEnd w:id="48"/>
    </w:p>
    <w:p w14:paraId="4F3737D4" w14:textId="62B6BA51" w:rsidR="00D04D6C" w:rsidRDefault="00D04D6C" w:rsidP="00AB4C0E">
      <w:pPr>
        <w:pStyle w:val="observ"/>
        <w:numPr>
          <w:ilvl w:val="1"/>
          <w:numId w:val="5"/>
        </w:numPr>
      </w:pPr>
      <w:r>
        <w:t xml:space="preserve"> </w:t>
      </w:r>
      <w:bookmarkStart w:id="49" w:name="_Toc68037163"/>
      <w:bookmarkStart w:id="50" w:name="_Toc68054646"/>
      <w:bookmarkStart w:id="51" w:name="_Toc68055259"/>
      <w:bookmarkStart w:id="52" w:name="_Toc68204607"/>
      <w:bookmarkStart w:id="53" w:name="_Toc68204868"/>
      <w:bookmarkStart w:id="54" w:name="_Toc68205712"/>
      <w:bookmarkStart w:id="55" w:name="_Toc71326943"/>
      <w:bookmarkStart w:id="56" w:name="_Toc71402920"/>
      <w:bookmarkStart w:id="57" w:name="_Toc71569641"/>
      <w:bookmarkStart w:id="58" w:name="_Toc71570057"/>
      <w:r w:rsidR="00DF168E">
        <w:t>More complex</w:t>
      </w:r>
      <w:r>
        <w:t xml:space="preserve"> solution from implementation and specification point of view</w:t>
      </w:r>
      <w:bookmarkEnd w:id="49"/>
      <w:bookmarkEnd w:id="50"/>
      <w:bookmarkEnd w:id="51"/>
      <w:bookmarkEnd w:id="52"/>
      <w:bookmarkEnd w:id="53"/>
      <w:bookmarkEnd w:id="54"/>
      <w:bookmarkEnd w:id="55"/>
      <w:bookmarkEnd w:id="56"/>
      <w:bookmarkEnd w:id="57"/>
      <w:bookmarkEnd w:id="58"/>
    </w:p>
    <w:p w14:paraId="17E082D7" w14:textId="70FEF703" w:rsidR="00D04D6C" w:rsidRPr="003F4B89" w:rsidRDefault="00DF168E" w:rsidP="00AB4C0E">
      <w:pPr>
        <w:pStyle w:val="observ"/>
        <w:numPr>
          <w:ilvl w:val="1"/>
          <w:numId w:val="5"/>
        </w:numPr>
      </w:pPr>
      <w:bookmarkStart w:id="59" w:name="_Toc68037164"/>
      <w:bookmarkStart w:id="60" w:name="_Toc68054647"/>
      <w:bookmarkStart w:id="61" w:name="_Toc68055260"/>
      <w:bookmarkStart w:id="62" w:name="_Toc68204608"/>
      <w:bookmarkStart w:id="63" w:name="_Toc68204869"/>
      <w:bookmarkStart w:id="64" w:name="_Toc68205713"/>
      <w:bookmarkStart w:id="65" w:name="_Toc71326944"/>
      <w:bookmarkStart w:id="66" w:name="_Toc71402921"/>
      <w:bookmarkStart w:id="67" w:name="_Toc71569642"/>
      <w:bookmarkStart w:id="68" w:name="_Toc71570058"/>
      <w:r>
        <w:t xml:space="preserve">Additional </w:t>
      </w:r>
      <w:r w:rsidR="00D04D6C">
        <w:t>delay in sending data after non-SDT data arrival (</w:t>
      </w:r>
      <w:r>
        <w:t xml:space="preserve">from </w:t>
      </w:r>
      <w:r w:rsidR="00D04D6C">
        <w:t>RACH, ResumeReq)</w:t>
      </w:r>
      <w:bookmarkEnd w:id="59"/>
      <w:bookmarkEnd w:id="60"/>
      <w:bookmarkEnd w:id="61"/>
      <w:bookmarkEnd w:id="62"/>
      <w:bookmarkEnd w:id="63"/>
      <w:bookmarkEnd w:id="64"/>
      <w:bookmarkEnd w:id="65"/>
      <w:bookmarkEnd w:id="66"/>
      <w:bookmarkEnd w:id="67"/>
      <w:bookmarkEnd w:id="68"/>
    </w:p>
    <w:p w14:paraId="1B081DCB" w14:textId="757F4F9E" w:rsidR="00D04D6C" w:rsidRPr="003F4B89" w:rsidRDefault="00D04D6C" w:rsidP="00AB4C0E">
      <w:pPr>
        <w:pStyle w:val="observ"/>
        <w:numPr>
          <w:ilvl w:val="1"/>
          <w:numId w:val="5"/>
        </w:numPr>
      </w:pPr>
      <w:bookmarkStart w:id="69" w:name="_Toc68037166"/>
      <w:bookmarkStart w:id="70" w:name="_Toc68054649"/>
      <w:bookmarkStart w:id="71" w:name="_Toc68055262"/>
      <w:bookmarkStart w:id="72" w:name="_Toc68204610"/>
      <w:bookmarkStart w:id="73" w:name="_Toc68204871"/>
      <w:bookmarkStart w:id="74" w:name="_Toc68205715"/>
      <w:bookmarkStart w:id="75" w:name="_Toc71326945"/>
      <w:bookmarkStart w:id="76" w:name="_Toc71402922"/>
      <w:bookmarkStart w:id="77" w:name="_Toc71569643"/>
      <w:bookmarkStart w:id="78" w:name="_Toc71570059"/>
      <w:r w:rsidRPr="003F4B89">
        <w:t>UAC for a UE in RRC_INACTIVE is applied again to send non-SDT data</w:t>
      </w:r>
      <w:bookmarkEnd w:id="69"/>
      <w:bookmarkEnd w:id="70"/>
      <w:bookmarkEnd w:id="71"/>
      <w:bookmarkEnd w:id="72"/>
      <w:bookmarkEnd w:id="73"/>
      <w:bookmarkEnd w:id="74"/>
      <w:bookmarkEnd w:id="75"/>
      <w:bookmarkEnd w:id="76"/>
      <w:bookmarkEnd w:id="77"/>
      <w:bookmarkEnd w:id="78"/>
    </w:p>
    <w:p w14:paraId="6B78227D" w14:textId="7D48E085" w:rsidR="00112725" w:rsidRPr="003F4B89" w:rsidRDefault="00112725" w:rsidP="00AB4C0E">
      <w:pPr>
        <w:pStyle w:val="observ"/>
        <w:numPr>
          <w:ilvl w:val="1"/>
          <w:numId w:val="5"/>
        </w:numPr>
      </w:pPr>
      <w:bookmarkStart w:id="79" w:name="_Toc71326946"/>
      <w:bookmarkStart w:id="80" w:name="_Toc71402923"/>
      <w:bookmarkStart w:id="81" w:name="_Toc71569644"/>
      <w:bookmarkStart w:id="82" w:name="_Toc71570060"/>
      <w:r>
        <w:t>Is dependent on positive response to the LSes to SA3 and CT1</w:t>
      </w:r>
      <w:bookmarkEnd w:id="79"/>
      <w:bookmarkEnd w:id="80"/>
      <w:bookmarkEnd w:id="81"/>
      <w:bookmarkEnd w:id="82"/>
    </w:p>
    <w:p w14:paraId="5980CA6C" w14:textId="29F0DAC7" w:rsidR="00D04D6C" w:rsidRDefault="00D04D6C" w:rsidP="00AB4C0E">
      <w:pPr>
        <w:jc w:val="both"/>
      </w:pPr>
      <w:r>
        <w:t xml:space="preserve">Therefore considering the </w:t>
      </w:r>
      <w:r w:rsidR="00A14659">
        <w:t>dis</w:t>
      </w:r>
      <w:r>
        <w:t>advantages analyze</w:t>
      </w:r>
      <w:r w:rsidR="003E5C9F">
        <w:t>d</w:t>
      </w:r>
      <w:r>
        <w:t xml:space="preserve"> above we </w:t>
      </w:r>
      <w:r w:rsidR="00A14659">
        <w:t xml:space="preserve">propose RAN2 already take a decision not to adopt the CCH option irrespective </w:t>
      </w:r>
      <w:r w:rsidR="00112725">
        <w:t>of the outcome of the CT1 and SA3 discussions</w:t>
      </w:r>
      <w:r>
        <w:t>.</w:t>
      </w:r>
    </w:p>
    <w:p w14:paraId="3CE271F8" w14:textId="09B254B1" w:rsidR="00D04D6C" w:rsidRDefault="00D04D6C" w:rsidP="00AB4C0E">
      <w:pPr>
        <w:pStyle w:val="Proposal"/>
        <w:numPr>
          <w:ilvl w:val="0"/>
          <w:numId w:val="4"/>
        </w:numPr>
      </w:pPr>
      <w:bookmarkStart w:id="83" w:name="_Toc68054668"/>
      <w:bookmarkStart w:id="84" w:name="_Toc68055281"/>
      <w:bookmarkStart w:id="85" w:name="_Toc68204631"/>
      <w:bookmarkStart w:id="86" w:name="_Toc68204889"/>
      <w:bookmarkStart w:id="87" w:name="_Toc68205688"/>
      <w:bookmarkStart w:id="88" w:name="_Toc71326951"/>
      <w:bookmarkStart w:id="89" w:name="_Toc71402928"/>
      <w:bookmarkStart w:id="90" w:name="_Toc71569649"/>
      <w:bookmarkStart w:id="91" w:name="_Toc71570037"/>
      <w:r>
        <w:t>RAN2 enables o</w:t>
      </w:r>
      <w:r w:rsidRPr="007E6C60">
        <w:t xml:space="preserve">ption (2) where UE </w:t>
      </w:r>
      <w:r w:rsidR="008B3010">
        <w:t>in RRC_INACTIVE with an ongoing SDT session</w:t>
      </w:r>
      <w:r w:rsidR="008B3010" w:rsidRPr="007E6C60">
        <w:t xml:space="preserve"> </w:t>
      </w:r>
      <w:r w:rsidRPr="007E6C60">
        <w:t>indicates the network when data on non-SDT DRB is available</w:t>
      </w:r>
      <w:r>
        <w:t xml:space="preserve"> and leaves the decision on whether/when to fallback to legacy resume up to network</w:t>
      </w:r>
      <w:r w:rsidRPr="00CC2B08">
        <w:t>.</w:t>
      </w:r>
      <w:bookmarkEnd w:id="83"/>
      <w:bookmarkEnd w:id="84"/>
      <w:bookmarkEnd w:id="85"/>
      <w:bookmarkEnd w:id="86"/>
      <w:bookmarkEnd w:id="87"/>
      <w:bookmarkEnd w:id="88"/>
      <w:bookmarkEnd w:id="89"/>
      <w:bookmarkEnd w:id="90"/>
      <w:bookmarkEnd w:id="91"/>
    </w:p>
    <w:p w14:paraId="23907A2A" w14:textId="77777777" w:rsidR="00606E68" w:rsidRPr="00E86C96" w:rsidRDefault="00606E68" w:rsidP="00AB4C0E">
      <w:pPr>
        <w:jc w:val="both"/>
      </w:pPr>
      <w:bookmarkStart w:id="92" w:name="_Toc68204613"/>
      <w:bookmarkStart w:id="93" w:name="_Toc68205690"/>
      <w:bookmarkEnd w:id="92"/>
      <w:bookmarkEnd w:id="93"/>
    </w:p>
    <w:p w14:paraId="0BBA97DE" w14:textId="4C992C73" w:rsidR="00B47D51" w:rsidRDefault="00B47D51" w:rsidP="00AB4C0E">
      <w:pPr>
        <w:pStyle w:val="Heading2"/>
        <w:jc w:val="both"/>
      </w:pPr>
      <w:r>
        <w:t>Delta signalling for SDT configuration</w:t>
      </w:r>
    </w:p>
    <w:p w14:paraId="1060C57E" w14:textId="62DD6E4E" w:rsidR="00B47D51" w:rsidRDefault="00B47D51" w:rsidP="00AB4C0E">
      <w:pPr>
        <w:jc w:val="both"/>
      </w:pPr>
      <w:r>
        <w:t xml:space="preserve">SDT from UEs will be frequent small data transmissions at short intervals.   As RAN2 has agreed to use RRC signalling based approach as the baseline, each SDT session must involve an </w:t>
      </w:r>
      <w:r w:rsidRPr="00E67839">
        <w:rPr>
          <w:i/>
          <w:iCs/>
        </w:rPr>
        <w:t>RRCResumeRequest</w:t>
      </w:r>
      <w:r>
        <w:t xml:space="preserve"> and </w:t>
      </w:r>
      <w:r w:rsidRPr="00E67839">
        <w:rPr>
          <w:i/>
          <w:iCs/>
        </w:rPr>
        <w:t>RRCRelease</w:t>
      </w:r>
      <w:r>
        <w:t xml:space="preserve"> message.  There could be a fair amount of configuration associated with SDT such as CG, I-RNTI, short-I-RNTI and signalling </w:t>
      </w:r>
      <w:r>
        <w:lastRenderedPageBreak/>
        <w:t xml:space="preserve">associated with normal Resume.  If these have to be signalled at every SDT session, they can be a significant relative to the volume of actual data sent in the SDT session.  </w:t>
      </w:r>
    </w:p>
    <w:p w14:paraId="6B851BD5" w14:textId="45FC7E78" w:rsidR="00B47D51" w:rsidRDefault="00B47D51" w:rsidP="00AB4C0E">
      <w:pPr>
        <w:jc w:val="both"/>
      </w:pPr>
      <w:r>
        <w:t xml:space="preserve">Configuration associated with legacy Resume is also provided by </w:t>
      </w:r>
      <w:r w:rsidRPr="00E67839">
        <w:rPr>
          <w:i/>
          <w:iCs/>
        </w:rPr>
        <w:t>RRCRelease</w:t>
      </w:r>
      <w:r>
        <w:t xml:space="preserve"> message.  The normal behaviour in the absence of delta signalling will be that both SDT and legacy Resume will need to be provided at the end of each SDT session if RRC Release message is reused for SDT.</w:t>
      </w:r>
    </w:p>
    <w:p w14:paraId="6C89A8E5" w14:textId="08CBE0A4" w:rsidR="00B47D51" w:rsidRPr="00606E68" w:rsidRDefault="00B47D51" w:rsidP="00AB4C0E">
      <w:pPr>
        <w:jc w:val="both"/>
      </w:pPr>
      <w:r>
        <w:t xml:space="preserve">Since these configurations are likely to be the same </w:t>
      </w:r>
      <w:r w:rsidRPr="00606E68">
        <w:t>over several SDT sessions, delta signalling of both the normal Resume and SDT configuration could be very beneficial.</w:t>
      </w:r>
      <w:r w:rsidR="00282C65" w:rsidRPr="00606E68">
        <w:t xml:space="preserve">  Considering that the UE may go through a sequence of SDT and full resume</w:t>
      </w:r>
      <w:r w:rsidR="00D40694" w:rsidRPr="00606E68">
        <w:t xml:space="preserve">, this delta signalling of the SDT configuration can continue across all of these sessions.  </w:t>
      </w:r>
      <w:r w:rsidR="00251778" w:rsidRPr="00606E68">
        <w:t>That is the SDT configuration can be retained as long as the INACTIVE configuration is also retained</w:t>
      </w:r>
      <w:r w:rsidR="00E926D7" w:rsidRPr="00606E68">
        <w:t xml:space="preserve"> and form the baseline for subsequent delta configuration.</w:t>
      </w:r>
    </w:p>
    <w:p w14:paraId="78215665" w14:textId="4D0B04CA" w:rsidR="00B47D51" w:rsidRPr="00606E68" w:rsidRDefault="00B47D51" w:rsidP="00AB4C0E">
      <w:pPr>
        <w:pStyle w:val="observ"/>
        <w:ind w:left="360"/>
      </w:pPr>
      <w:bookmarkStart w:id="94" w:name="_Toc67870071"/>
      <w:bookmarkStart w:id="95" w:name="_Toc67954583"/>
      <w:bookmarkStart w:id="96" w:name="_Toc68037171"/>
      <w:bookmarkStart w:id="97" w:name="_Toc68054656"/>
      <w:bookmarkStart w:id="98" w:name="_Toc68055269"/>
      <w:bookmarkStart w:id="99" w:name="_Toc68204617"/>
      <w:bookmarkStart w:id="100" w:name="_Toc68204877"/>
      <w:bookmarkStart w:id="101" w:name="_Toc68205721"/>
      <w:bookmarkStart w:id="102" w:name="_Toc71326947"/>
      <w:bookmarkStart w:id="103" w:name="_Toc71402924"/>
      <w:bookmarkStart w:id="104" w:name="_Toc71569645"/>
      <w:bookmarkStart w:id="105" w:name="_Toc71570061"/>
      <w:r w:rsidRPr="00606E68">
        <w:t xml:space="preserve">Delta signalling of </w:t>
      </w:r>
      <w:r w:rsidR="00A0205A">
        <w:t xml:space="preserve">legacy </w:t>
      </w:r>
      <w:r w:rsidRPr="00606E68">
        <w:t xml:space="preserve">Suspend </w:t>
      </w:r>
      <w:r w:rsidR="00A0205A">
        <w:t xml:space="preserve">and SDT </w:t>
      </w:r>
      <w:r w:rsidRPr="00606E68">
        <w:t>configuration can reduce signalling overhead compared to volume of data</w:t>
      </w:r>
      <w:bookmarkEnd w:id="94"/>
      <w:bookmarkEnd w:id="95"/>
      <w:bookmarkEnd w:id="96"/>
      <w:bookmarkEnd w:id="97"/>
      <w:bookmarkEnd w:id="98"/>
      <w:bookmarkEnd w:id="99"/>
      <w:bookmarkEnd w:id="100"/>
      <w:bookmarkEnd w:id="101"/>
      <w:bookmarkEnd w:id="102"/>
      <w:bookmarkEnd w:id="103"/>
      <w:bookmarkEnd w:id="104"/>
      <w:bookmarkEnd w:id="105"/>
    </w:p>
    <w:p w14:paraId="3760A27F" w14:textId="19B6C410" w:rsidR="00B47D51" w:rsidRPr="00606E68" w:rsidRDefault="004753FC" w:rsidP="00AB4C0E">
      <w:pPr>
        <w:pStyle w:val="Proposal"/>
        <w:numPr>
          <w:ilvl w:val="0"/>
          <w:numId w:val="4"/>
        </w:numPr>
      </w:pPr>
      <w:bookmarkStart w:id="106" w:name="_Toc67870084"/>
      <w:bookmarkStart w:id="107" w:name="_Toc67870170"/>
      <w:bookmarkStart w:id="108" w:name="_Toc67954599"/>
      <w:bookmarkStart w:id="109" w:name="_Toc67870085"/>
      <w:bookmarkStart w:id="110" w:name="_Toc67870171"/>
      <w:bookmarkStart w:id="111" w:name="_Toc67954600"/>
      <w:bookmarkStart w:id="112" w:name="_Toc68054673"/>
      <w:bookmarkStart w:id="113" w:name="_Toc68055286"/>
      <w:bookmarkStart w:id="114" w:name="_Toc68204635"/>
      <w:bookmarkStart w:id="115" w:name="_Toc68204893"/>
      <w:bookmarkStart w:id="116" w:name="_Toc68205693"/>
      <w:bookmarkStart w:id="117" w:name="_Toc71326952"/>
      <w:bookmarkStart w:id="118" w:name="_Toc71402929"/>
      <w:bookmarkStart w:id="119" w:name="_Toc71569650"/>
      <w:bookmarkStart w:id="120" w:name="_Toc71570038"/>
      <w:bookmarkEnd w:id="106"/>
      <w:bookmarkEnd w:id="107"/>
      <w:bookmarkEnd w:id="108"/>
      <w:r>
        <w:t>D</w:t>
      </w:r>
      <w:r w:rsidR="00B47D51" w:rsidRPr="00606E68">
        <w:t xml:space="preserve">elta signaling is supported for the SDT related configuration. This delta signaling applies across different SDT sessions and when resuming the RRC connection (i.e. SDT </w:t>
      </w:r>
      <w:r w:rsidR="002C1420">
        <w:t xml:space="preserve">related </w:t>
      </w:r>
      <w:r w:rsidR="00B47D51" w:rsidRPr="00606E68">
        <w:t xml:space="preserve">configuration is released </w:t>
      </w:r>
      <w:r w:rsidR="00F87C87">
        <w:t>when</w:t>
      </w:r>
      <w:r w:rsidR="00F87C87" w:rsidRPr="00606E68">
        <w:t xml:space="preserve"> </w:t>
      </w:r>
      <w:r w:rsidR="00B47D51" w:rsidRPr="00606E68">
        <w:t xml:space="preserve">UE </w:t>
      </w:r>
      <w:r w:rsidR="00F87C87">
        <w:t>enters</w:t>
      </w:r>
      <w:r w:rsidR="00C827AD" w:rsidRPr="00606E68">
        <w:t xml:space="preserve"> </w:t>
      </w:r>
      <w:r w:rsidR="00C16F7B">
        <w:t>RRC_</w:t>
      </w:r>
      <w:r w:rsidR="00F87C87" w:rsidRPr="00606E68">
        <w:t>I</w:t>
      </w:r>
      <w:r w:rsidR="00F87C87">
        <w:t>DLE</w:t>
      </w:r>
      <w:r w:rsidR="00F87C87" w:rsidRPr="00606E68">
        <w:t xml:space="preserve"> </w:t>
      </w:r>
      <w:r w:rsidR="00B47D51" w:rsidRPr="00606E68">
        <w:t xml:space="preserve">or when </w:t>
      </w:r>
      <w:r w:rsidR="0059337D" w:rsidRPr="00606E68">
        <w:t>the network explicitly releases the SDT configuration</w:t>
      </w:r>
      <w:r w:rsidR="00B47D51" w:rsidRPr="00606E68">
        <w:t>).</w:t>
      </w:r>
      <w:bookmarkEnd w:id="109"/>
      <w:bookmarkEnd w:id="110"/>
      <w:bookmarkEnd w:id="111"/>
      <w:bookmarkEnd w:id="112"/>
      <w:bookmarkEnd w:id="113"/>
      <w:bookmarkEnd w:id="114"/>
      <w:bookmarkEnd w:id="115"/>
      <w:bookmarkEnd w:id="116"/>
      <w:bookmarkEnd w:id="117"/>
      <w:bookmarkEnd w:id="118"/>
      <w:bookmarkEnd w:id="119"/>
      <w:bookmarkEnd w:id="120"/>
    </w:p>
    <w:p w14:paraId="697CF798" w14:textId="6AAD032B" w:rsidR="00B47D51" w:rsidRDefault="00B47D51" w:rsidP="00AB4C0E">
      <w:pPr>
        <w:jc w:val="both"/>
      </w:pPr>
    </w:p>
    <w:p w14:paraId="16A9CDAF" w14:textId="77777777" w:rsidR="00FA752B" w:rsidRDefault="00616B44" w:rsidP="00AB4C0E">
      <w:pPr>
        <w:pStyle w:val="Heading2"/>
        <w:jc w:val="both"/>
        <w:rPr>
          <w:noProof w:val="0"/>
          <w:lang w:val="en-US"/>
        </w:rPr>
      </w:pPr>
      <w:r>
        <w:rPr>
          <w:noProof w:val="0"/>
          <w:lang w:val="en-US"/>
        </w:rPr>
        <w:t xml:space="preserve">SDT </w:t>
      </w:r>
      <w:r w:rsidR="007F48DE" w:rsidRPr="00512B23">
        <w:rPr>
          <w:noProof w:val="0"/>
          <w:lang w:val="en-US"/>
        </w:rPr>
        <w:t>C</w:t>
      </w:r>
      <w:r w:rsidR="00E80425" w:rsidRPr="00512B23">
        <w:rPr>
          <w:noProof w:val="0"/>
          <w:lang w:val="en-US"/>
        </w:rPr>
        <w:t>onfiguration</w:t>
      </w:r>
      <w:r>
        <w:rPr>
          <w:noProof w:val="0"/>
          <w:lang w:val="en-US"/>
        </w:rPr>
        <w:t xml:space="preserve"> Signalling</w:t>
      </w:r>
      <w:r w:rsidR="00E80425" w:rsidRPr="00512B23">
        <w:rPr>
          <w:noProof w:val="0"/>
          <w:lang w:val="en-US"/>
        </w:rPr>
        <w:t xml:space="preserve"> </w:t>
      </w:r>
    </w:p>
    <w:p w14:paraId="5CFA71A0" w14:textId="18279F0B" w:rsidR="00373779" w:rsidRDefault="009D0B37" w:rsidP="00AB4C0E">
      <w:pPr>
        <w:jc w:val="both"/>
      </w:pPr>
      <w:r>
        <w:t>T</w:t>
      </w:r>
      <w:r w:rsidR="00D656DF">
        <w:t xml:space="preserve">he </w:t>
      </w:r>
      <w:r w:rsidR="00373779">
        <w:t>agreement from RAN2#113bis</w:t>
      </w:r>
      <w:r>
        <w:t xml:space="preserve"> that might be</w:t>
      </w:r>
      <w:r w:rsidR="00D656DF">
        <w:t xml:space="preserve"> inter-related to </w:t>
      </w:r>
      <w:r w:rsidR="007247A2">
        <w:t>this</w:t>
      </w:r>
      <w:r>
        <w:t xml:space="preserve"> discussion </w:t>
      </w:r>
      <w:r w:rsidR="007247A2">
        <w:t>on</w:t>
      </w:r>
      <w:r>
        <w:t xml:space="preserve"> </w:t>
      </w:r>
      <w:r w:rsidR="000B524F">
        <w:t xml:space="preserve">required signaling for </w:t>
      </w:r>
      <w:r>
        <w:t>SDT</w:t>
      </w:r>
      <w:r w:rsidR="000B524F">
        <w:t xml:space="preserve"> related</w:t>
      </w:r>
      <w:r w:rsidR="007247A2">
        <w:t xml:space="preserve"> configuration</w:t>
      </w:r>
      <w:r>
        <w:t xml:space="preserve"> are the following</w:t>
      </w:r>
      <w:r w:rsidR="00373779">
        <w:t>:</w:t>
      </w:r>
    </w:p>
    <w:p w14:paraId="5F2FE6C2" w14:textId="04B2BEB2" w:rsidR="00373779" w:rsidRPr="00FC6CD5" w:rsidRDefault="009D0B37" w:rsidP="001F4A7E">
      <w:pPr>
        <w:pStyle w:val="ListParagraph"/>
        <w:numPr>
          <w:ilvl w:val="0"/>
          <w:numId w:val="17"/>
        </w:numPr>
        <w:jc w:val="both"/>
        <w:rPr>
          <w:rFonts w:ascii="Times New Roman" w:hAnsi="Times New Roman" w:cs="Times New Roman"/>
          <w:i/>
          <w:iCs/>
          <w:sz w:val="20"/>
          <w:szCs w:val="20"/>
        </w:rPr>
      </w:pPr>
      <w:r>
        <w:rPr>
          <w:rFonts w:ascii="Times New Roman" w:hAnsi="Times New Roman" w:cs="Times New Roman"/>
          <w:i/>
          <w:iCs/>
          <w:sz w:val="20"/>
          <w:szCs w:val="20"/>
        </w:rPr>
        <w:t>“</w:t>
      </w:r>
      <w:r w:rsidR="00A711DB" w:rsidRPr="00FC6CD5">
        <w:rPr>
          <w:rFonts w:ascii="Times New Roman" w:hAnsi="Times New Roman" w:cs="Times New Roman"/>
          <w:i/>
          <w:iCs/>
          <w:sz w:val="20"/>
          <w:szCs w:val="20"/>
        </w:rPr>
        <w:t>Non-SDT radio bearers are only resumed upon receiving RRCResume (same as today)</w:t>
      </w:r>
    </w:p>
    <w:p w14:paraId="1F84C89A" w14:textId="24BA0B0A" w:rsidR="00A711DB" w:rsidRPr="00FC6CD5" w:rsidRDefault="00CF1A93" w:rsidP="001F4A7E">
      <w:pPr>
        <w:pStyle w:val="ListParagraph"/>
        <w:numPr>
          <w:ilvl w:val="0"/>
          <w:numId w:val="17"/>
        </w:numPr>
        <w:jc w:val="both"/>
        <w:rPr>
          <w:rFonts w:ascii="Times New Roman" w:hAnsi="Times New Roman" w:cs="Times New Roman"/>
          <w:i/>
          <w:iCs/>
          <w:sz w:val="20"/>
          <w:szCs w:val="20"/>
        </w:rPr>
      </w:pPr>
      <w:r w:rsidRPr="00FC6CD5">
        <w:rPr>
          <w:rFonts w:ascii="Times New Roman" w:hAnsi="Times New Roman" w:cs="Times New Roman"/>
          <w:i/>
          <w:iCs/>
          <w:sz w:val="20"/>
          <w:szCs w:val="20"/>
        </w:rPr>
        <w:t>W</w:t>
      </w:r>
      <w:r w:rsidR="005F265D" w:rsidRPr="00FC6CD5">
        <w:rPr>
          <w:rFonts w:ascii="Times New Roman" w:hAnsi="Times New Roman" w:cs="Times New Roman"/>
          <w:i/>
          <w:iCs/>
          <w:sz w:val="20"/>
          <w:szCs w:val="20"/>
        </w:rPr>
        <w:t>hether to support ROHC continuity is explicitly configured by the network</w:t>
      </w:r>
    </w:p>
    <w:p w14:paraId="14243AD4" w14:textId="77777777" w:rsidR="00CF1A93" w:rsidRPr="00FC6CD5" w:rsidRDefault="00CF1A93" w:rsidP="001F4A7E">
      <w:pPr>
        <w:pStyle w:val="ListParagraph"/>
        <w:numPr>
          <w:ilvl w:val="0"/>
          <w:numId w:val="17"/>
        </w:numPr>
        <w:jc w:val="both"/>
        <w:rPr>
          <w:rFonts w:ascii="Times New Roman" w:hAnsi="Times New Roman" w:cs="Times New Roman"/>
          <w:i/>
          <w:iCs/>
          <w:sz w:val="20"/>
          <w:szCs w:val="20"/>
        </w:rPr>
      </w:pPr>
      <w:r w:rsidRPr="00FC6CD5">
        <w:rPr>
          <w:rFonts w:ascii="Times New Roman" w:hAnsi="Times New Roman" w:cs="Times New Roman"/>
          <w:i/>
          <w:iCs/>
          <w:sz w:val="20"/>
          <w:szCs w:val="20"/>
        </w:rPr>
        <w:t>PDCP duplication is not supported for SDT</w:t>
      </w:r>
    </w:p>
    <w:p w14:paraId="4026D09D" w14:textId="77777777" w:rsidR="009D0B37" w:rsidRDefault="00CF1A93" w:rsidP="001F4A7E">
      <w:pPr>
        <w:pStyle w:val="ListParagraph"/>
        <w:numPr>
          <w:ilvl w:val="0"/>
          <w:numId w:val="17"/>
        </w:numPr>
        <w:jc w:val="both"/>
        <w:rPr>
          <w:rFonts w:ascii="Times New Roman" w:hAnsi="Times New Roman" w:cs="Times New Roman"/>
          <w:i/>
          <w:iCs/>
          <w:sz w:val="20"/>
          <w:szCs w:val="20"/>
        </w:rPr>
      </w:pPr>
      <w:r w:rsidRPr="00FC6CD5">
        <w:rPr>
          <w:rFonts w:ascii="Times New Roman" w:hAnsi="Times New Roman" w:cs="Times New Roman"/>
          <w:i/>
          <w:iCs/>
          <w:sz w:val="20"/>
          <w:szCs w:val="20"/>
        </w:rPr>
        <w:t>Connected mode DRX is not supported for SDT</w:t>
      </w:r>
    </w:p>
    <w:p w14:paraId="16A15500" w14:textId="3A1432C3" w:rsidR="003350CC" w:rsidRPr="00FC6CD5" w:rsidRDefault="007247A2" w:rsidP="001F4A7E">
      <w:pPr>
        <w:pStyle w:val="ListParagraph"/>
        <w:numPr>
          <w:ilvl w:val="0"/>
          <w:numId w:val="17"/>
        </w:numPr>
        <w:jc w:val="both"/>
        <w:rPr>
          <w:i/>
        </w:rPr>
      </w:pPr>
      <w:r w:rsidRPr="007247A2">
        <w:rPr>
          <w:rFonts w:ascii="Times New Roman" w:hAnsi="Times New Roman" w:cs="Times New Roman"/>
          <w:i/>
          <w:iCs/>
          <w:sz w:val="20"/>
          <w:szCs w:val="20"/>
        </w:rPr>
        <w:t xml:space="preserve">The UE performs </w:t>
      </w:r>
      <w:bookmarkStart w:id="121" w:name="_Hlk71107645"/>
      <w:r w:rsidRPr="007247A2">
        <w:rPr>
          <w:rFonts w:ascii="Times New Roman" w:hAnsi="Times New Roman" w:cs="Times New Roman"/>
          <w:i/>
          <w:iCs/>
          <w:sz w:val="20"/>
          <w:szCs w:val="20"/>
        </w:rPr>
        <w:t>PDCP re-establishment implicitly</w:t>
      </w:r>
      <w:bookmarkEnd w:id="121"/>
      <w:r w:rsidRPr="007247A2">
        <w:rPr>
          <w:rFonts w:ascii="Times New Roman" w:hAnsi="Times New Roman" w:cs="Times New Roman"/>
          <w:i/>
          <w:iCs/>
          <w:sz w:val="20"/>
          <w:szCs w:val="20"/>
        </w:rPr>
        <w:t>, i.e. without explicit indication for PDCP re-establishment, when the UE initiates SDT procedure</w:t>
      </w:r>
    </w:p>
    <w:p w14:paraId="3780AB19" w14:textId="68103531" w:rsidR="001B29A2" w:rsidRPr="0017429A" w:rsidRDefault="001B29A2" w:rsidP="001B29A2">
      <w:pPr>
        <w:pStyle w:val="Heading3"/>
      </w:pPr>
      <w:r>
        <w:t>General configuration applicable or not to SDT operation</w:t>
      </w:r>
    </w:p>
    <w:p w14:paraId="06B27E33" w14:textId="7B35AFD0" w:rsidR="00C54610" w:rsidRDefault="00C54610" w:rsidP="00AB4C0E">
      <w:pPr>
        <w:jc w:val="both"/>
      </w:pPr>
      <w:r w:rsidRPr="00512B23">
        <w:t>When the UE was moved to INACTIVE, it stored the previous configuration.  During the SDT transfer, some of that configuration, such as the configuration related to the radio bearers, is restored and used as the configuration for the SDT data transfer as agreed in the last meeting.  The stored configuration may also include many other configuration</w:t>
      </w:r>
      <w:r w:rsidR="0086675C">
        <w:t>s</w:t>
      </w:r>
      <w:r w:rsidRPr="00512B23">
        <w:t xml:space="preserve"> such as UE connected mode measurements.  To</w:t>
      </w:r>
      <w:r>
        <w:t xml:space="preserve"> </w:t>
      </w:r>
      <w:r w:rsidR="00B40418">
        <w:t>m</w:t>
      </w:r>
      <w:r w:rsidR="0086675C">
        <w:t>inimize</w:t>
      </w:r>
      <w:r>
        <w:t xml:space="preserve"> additional complexity, by default, none of the other UE configuration should be restored during the SDT session and UE shall not perform any additional procedures beyond what is essential for receiving and transmitting SDT data. </w:t>
      </w:r>
    </w:p>
    <w:p w14:paraId="19BB6DBA" w14:textId="75FA5917" w:rsidR="00D61D72" w:rsidRDefault="00D61D72" w:rsidP="00AB4C0E">
      <w:pPr>
        <w:pStyle w:val="Proposal"/>
        <w:numPr>
          <w:ilvl w:val="0"/>
          <w:numId w:val="4"/>
        </w:numPr>
      </w:pPr>
      <w:bookmarkStart w:id="122" w:name="_Toc67870086"/>
      <w:bookmarkStart w:id="123" w:name="_Toc67870172"/>
      <w:bookmarkStart w:id="124" w:name="_Toc67954601"/>
      <w:bookmarkStart w:id="125" w:name="_Toc68054674"/>
      <w:bookmarkStart w:id="126" w:name="_Toc68055287"/>
      <w:bookmarkStart w:id="127" w:name="_Toc68204636"/>
      <w:bookmarkStart w:id="128" w:name="_Toc68204894"/>
      <w:bookmarkStart w:id="129" w:name="_Toc68205694"/>
      <w:bookmarkStart w:id="130" w:name="_Toc71326953"/>
      <w:bookmarkStart w:id="131" w:name="_Toc71402930"/>
      <w:bookmarkStart w:id="132" w:name="_Toc71569651"/>
      <w:bookmarkStart w:id="133" w:name="_Toc71570039"/>
      <w:r>
        <w:t xml:space="preserve">During </w:t>
      </w:r>
      <w:r w:rsidR="002575B3">
        <w:t xml:space="preserve">the </w:t>
      </w:r>
      <w:r>
        <w:t xml:space="preserve">SDT </w:t>
      </w:r>
      <w:r w:rsidR="002575B3">
        <w:t>procedure</w:t>
      </w:r>
      <w:r>
        <w:t>, UE only restores the configurations for SDT, suspend and radio bearers (i.e. other UE stored configurations are not restored during the SDT session).</w:t>
      </w:r>
      <w:bookmarkEnd w:id="122"/>
      <w:bookmarkEnd w:id="123"/>
      <w:bookmarkEnd w:id="124"/>
      <w:bookmarkEnd w:id="125"/>
      <w:bookmarkEnd w:id="126"/>
      <w:bookmarkEnd w:id="127"/>
      <w:bookmarkEnd w:id="128"/>
      <w:bookmarkEnd w:id="129"/>
      <w:bookmarkEnd w:id="130"/>
      <w:bookmarkEnd w:id="131"/>
      <w:bookmarkEnd w:id="132"/>
      <w:bookmarkEnd w:id="133"/>
    </w:p>
    <w:p w14:paraId="03479989" w14:textId="16887DBD" w:rsidR="00E01005" w:rsidRDefault="00BB08B9" w:rsidP="00133D6A">
      <w:pPr>
        <w:spacing w:after="120"/>
        <w:jc w:val="both"/>
      </w:pPr>
      <w:r>
        <w:t>L</w:t>
      </w:r>
      <w:r w:rsidR="00E01005">
        <w:t xml:space="preserve">egacy resume mechanism </w:t>
      </w:r>
      <w:r w:rsidR="003C0195">
        <w:t xml:space="preserve">explicitly acts to </w:t>
      </w:r>
      <w:r w:rsidR="002165CC">
        <w:t>certain</w:t>
      </w:r>
      <w:r w:rsidR="003C0195">
        <w:t xml:space="preserve"> configurations and timers</w:t>
      </w:r>
      <w:r w:rsidR="002165CC">
        <w:t xml:space="preserve"> that might not be relevant for SDT operation</w:t>
      </w:r>
      <w:r w:rsidR="004A1539">
        <w:t xml:space="preserve">. </w:t>
      </w:r>
      <w:r w:rsidR="002165CC">
        <w:t>F</w:t>
      </w:r>
      <w:r>
        <w:t>or simplicity</w:t>
      </w:r>
      <w:r w:rsidR="002165CC">
        <w:t xml:space="preserve">, previous proposals </w:t>
      </w:r>
      <w:r w:rsidR="004A1539">
        <w:t xml:space="preserve">suggest not to enable any </w:t>
      </w:r>
      <w:r w:rsidR="002165CC">
        <w:t xml:space="preserve">related </w:t>
      </w:r>
      <w:r w:rsidR="004A1539">
        <w:t>actions</w:t>
      </w:r>
      <w:r>
        <w:t xml:space="preserve"> on UE side</w:t>
      </w:r>
      <w:r w:rsidR="002165CC">
        <w:t xml:space="preserve"> during </w:t>
      </w:r>
      <w:r w:rsidR="006C285D">
        <w:t>SDT procedure</w:t>
      </w:r>
      <w:r>
        <w:t xml:space="preserve"> (regardless on whether it is for release restore or even update).</w:t>
      </w:r>
      <w:r w:rsidR="002772F4">
        <w:t xml:space="preserve"> Therefore</w:t>
      </w:r>
      <w:r w:rsidR="002165CC">
        <w:t>,</w:t>
      </w:r>
      <w:r w:rsidR="002772F4">
        <w:t xml:space="preserve"> </w:t>
      </w:r>
      <w:r w:rsidR="002165CC">
        <w:t xml:space="preserve">UE’s stored </w:t>
      </w:r>
      <w:r w:rsidR="002772F4">
        <w:t>configurations</w:t>
      </w:r>
      <w:r w:rsidR="00293242">
        <w:t xml:space="preserve"> </w:t>
      </w:r>
      <w:r w:rsidR="00293242" w:rsidRPr="00293242">
        <w:t>in UE Inactive AS context</w:t>
      </w:r>
      <w:r w:rsidR="002772F4">
        <w:t xml:space="preserve"> that may not be relevant for SDT operation may include at least:</w:t>
      </w:r>
    </w:p>
    <w:p w14:paraId="62E0CAC3" w14:textId="77777777" w:rsidR="007E2737" w:rsidRPr="00FC6CD5" w:rsidRDefault="007E2737" w:rsidP="001F4A7E">
      <w:pPr>
        <w:pStyle w:val="ListParagraph"/>
        <w:numPr>
          <w:ilvl w:val="0"/>
          <w:numId w:val="18"/>
        </w:numPr>
        <w:jc w:val="both"/>
        <w:rPr>
          <w:rFonts w:ascii="Times New Roman" w:hAnsi="Times New Roman" w:cs="Times New Roman"/>
          <w:i/>
          <w:iCs/>
          <w:sz w:val="20"/>
          <w:szCs w:val="20"/>
        </w:rPr>
      </w:pPr>
      <w:r w:rsidRPr="00FC6CD5">
        <w:rPr>
          <w:rFonts w:ascii="Times New Roman" w:hAnsi="Times New Roman" w:cs="Times New Roman"/>
          <w:i/>
          <w:iCs/>
          <w:sz w:val="20"/>
          <w:szCs w:val="20"/>
        </w:rPr>
        <w:t xml:space="preserve">delayBudgetReportingConfig, </w:t>
      </w:r>
    </w:p>
    <w:p w14:paraId="07571665" w14:textId="77777777" w:rsidR="007E2737" w:rsidRPr="00FC6CD5" w:rsidRDefault="007E2737" w:rsidP="001F4A7E">
      <w:pPr>
        <w:pStyle w:val="ListParagraph"/>
        <w:numPr>
          <w:ilvl w:val="0"/>
          <w:numId w:val="18"/>
        </w:numPr>
        <w:jc w:val="both"/>
        <w:rPr>
          <w:rFonts w:ascii="Times New Roman" w:hAnsi="Times New Roman" w:cs="Times New Roman"/>
          <w:i/>
          <w:iCs/>
          <w:sz w:val="20"/>
          <w:szCs w:val="20"/>
        </w:rPr>
      </w:pPr>
      <w:r w:rsidRPr="00FC6CD5">
        <w:rPr>
          <w:rFonts w:ascii="Times New Roman" w:hAnsi="Times New Roman" w:cs="Times New Roman"/>
          <w:i/>
          <w:iCs/>
          <w:sz w:val="20"/>
          <w:szCs w:val="20"/>
        </w:rPr>
        <w:t xml:space="preserve">overheatingAssistanceConfig, </w:t>
      </w:r>
    </w:p>
    <w:p w14:paraId="0C6D3FFF" w14:textId="77777777" w:rsidR="007E2737" w:rsidRPr="00FC6CD5" w:rsidRDefault="007E2737" w:rsidP="001F4A7E">
      <w:pPr>
        <w:pStyle w:val="ListParagraph"/>
        <w:numPr>
          <w:ilvl w:val="0"/>
          <w:numId w:val="18"/>
        </w:numPr>
        <w:jc w:val="both"/>
        <w:rPr>
          <w:rFonts w:ascii="Times New Roman" w:hAnsi="Times New Roman" w:cs="Times New Roman"/>
          <w:i/>
          <w:iCs/>
          <w:sz w:val="20"/>
          <w:szCs w:val="20"/>
        </w:rPr>
      </w:pPr>
      <w:r w:rsidRPr="00FC6CD5">
        <w:rPr>
          <w:rFonts w:ascii="Times New Roman" w:hAnsi="Times New Roman" w:cs="Times New Roman"/>
          <w:i/>
          <w:iCs/>
          <w:sz w:val="20"/>
          <w:szCs w:val="20"/>
        </w:rPr>
        <w:t xml:space="preserve">idc-AssistanceConfig, </w:t>
      </w:r>
    </w:p>
    <w:p w14:paraId="3CE35A1A" w14:textId="35DE72CB" w:rsidR="00BB08B9" w:rsidRDefault="007E2737" w:rsidP="001F4A7E">
      <w:pPr>
        <w:pStyle w:val="ListParagraph"/>
        <w:numPr>
          <w:ilvl w:val="0"/>
          <w:numId w:val="18"/>
        </w:numPr>
        <w:jc w:val="both"/>
        <w:rPr>
          <w:rFonts w:ascii="Times New Roman" w:hAnsi="Times New Roman" w:cs="Times New Roman"/>
          <w:sz w:val="20"/>
          <w:szCs w:val="20"/>
        </w:rPr>
      </w:pPr>
      <w:r w:rsidRPr="00FC6CD5">
        <w:rPr>
          <w:rFonts w:ascii="Times New Roman" w:hAnsi="Times New Roman" w:cs="Times New Roman"/>
          <w:i/>
          <w:iCs/>
          <w:sz w:val="20"/>
          <w:szCs w:val="20"/>
        </w:rPr>
        <w:t>drx-PreferenceConfig</w:t>
      </w:r>
      <w:r w:rsidRPr="00FC6CD5">
        <w:rPr>
          <w:rFonts w:ascii="Times New Roman" w:hAnsi="Times New Roman" w:cs="Times New Roman"/>
          <w:sz w:val="20"/>
          <w:szCs w:val="20"/>
        </w:rPr>
        <w:t xml:space="preserve"> for all configured cell groups</w:t>
      </w:r>
      <w:r w:rsidR="00D8064C">
        <w:rPr>
          <w:rFonts w:ascii="Times New Roman" w:hAnsi="Times New Roman" w:cs="Times New Roman"/>
          <w:sz w:val="20"/>
          <w:szCs w:val="20"/>
        </w:rPr>
        <w:t>,</w:t>
      </w:r>
    </w:p>
    <w:p w14:paraId="31E694E9" w14:textId="10A274A5" w:rsidR="00D8064C" w:rsidRPr="00FC6CD5" w:rsidRDefault="00D8064C" w:rsidP="001F4A7E">
      <w:pPr>
        <w:pStyle w:val="ListParagraph"/>
        <w:numPr>
          <w:ilvl w:val="0"/>
          <w:numId w:val="18"/>
        </w:numPr>
        <w:jc w:val="both"/>
        <w:rPr>
          <w:rFonts w:ascii="Times New Roman" w:hAnsi="Times New Roman" w:cs="Times New Roman"/>
          <w:i/>
          <w:iCs/>
          <w:sz w:val="20"/>
          <w:szCs w:val="20"/>
        </w:rPr>
      </w:pPr>
      <w:r w:rsidRPr="00FC6CD5">
        <w:rPr>
          <w:rFonts w:ascii="Times New Roman" w:hAnsi="Times New Roman" w:cs="Times New Roman"/>
          <w:i/>
          <w:iCs/>
          <w:sz w:val="20"/>
          <w:szCs w:val="20"/>
        </w:rPr>
        <w:t>mrdc-SecondaryCellGroup</w:t>
      </w:r>
    </w:p>
    <w:p w14:paraId="69FD51BE" w14:textId="74CE04A9" w:rsidR="002456F8" w:rsidRPr="00760E24" w:rsidRDefault="002456F8" w:rsidP="001F4A7E">
      <w:pPr>
        <w:pStyle w:val="ListParagraph"/>
        <w:numPr>
          <w:ilvl w:val="0"/>
          <w:numId w:val="18"/>
        </w:numPr>
        <w:jc w:val="both"/>
      </w:pPr>
      <w:r>
        <w:rPr>
          <w:rFonts w:ascii="Times New Roman" w:hAnsi="Times New Roman" w:cs="Times New Roman"/>
          <w:sz w:val="20"/>
          <w:szCs w:val="20"/>
        </w:rPr>
        <w:t xml:space="preserve">Timers </w:t>
      </w:r>
      <w:r w:rsidRPr="002456F8">
        <w:rPr>
          <w:rFonts w:ascii="Times New Roman" w:hAnsi="Times New Roman" w:cs="Times New Roman"/>
          <w:sz w:val="20"/>
          <w:szCs w:val="20"/>
        </w:rPr>
        <w:t>T346a</w:t>
      </w:r>
      <w:r>
        <w:rPr>
          <w:rFonts w:ascii="Times New Roman" w:hAnsi="Times New Roman" w:cs="Times New Roman"/>
          <w:sz w:val="20"/>
          <w:szCs w:val="20"/>
        </w:rPr>
        <w:t xml:space="preserve">, </w:t>
      </w:r>
      <w:r w:rsidRPr="002456F8">
        <w:rPr>
          <w:rFonts w:ascii="Times New Roman" w:hAnsi="Times New Roman" w:cs="Times New Roman"/>
          <w:sz w:val="20"/>
          <w:szCs w:val="20"/>
        </w:rPr>
        <w:t>T346b</w:t>
      </w:r>
      <w:r>
        <w:rPr>
          <w:rFonts w:ascii="Times New Roman" w:hAnsi="Times New Roman" w:cs="Times New Roman"/>
          <w:sz w:val="20"/>
          <w:szCs w:val="20"/>
        </w:rPr>
        <w:t xml:space="preserve">, </w:t>
      </w:r>
      <w:r w:rsidRPr="002456F8">
        <w:rPr>
          <w:rFonts w:ascii="Times New Roman" w:hAnsi="Times New Roman" w:cs="Times New Roman"/>
          <w:sz w:val="20"/>
          <w:szCs w:val="20"/>
        </w:rPr>
        <w:t>T346c</w:t>
      </w:r>
      <w:r>
        <w:rPr>
          <w:rFonts w:ascii="Times New Roman" w:hAnsi="Times New Roman" w:cs="Times New Roman"/>
          <w:sz w:val="20"/>
          <w:szCs w:val="20"/>
        </w:rPr>
        <w:t xml:space="preserve">, </w:t>
      </w:r>
      <w:r w:rsidRPr="002456F8">
        <w:rPr>
          <w:rFonts w:ascii="Times New Roman" w:hAnsi="Times New Roman" w:cs="Times New Roman"/>
          <w:sz w:val="20"/>
          <w:szCs w:val="20"/>
        </w:rPr>
        <w:t>T346d</w:t>
      </w:r>
      <w:r>
        <w:rPr>
          <w:rFonts w:ascii="Times New Roman" w:hAnsi="Times New Roman" w:cs="Times New Roman"/>
          <w:sz w:val="20"/>
          <w:szCs w:val="20"/>
        </w:rPr>
        <w:t xml:space="preserve">, </w:t>
      </w:r>
      <w:r w:rsidRPr="002456F8">
        <w:rPr>
          <w:rFonts w:ascii="Times New Roman" w:hAnsi="Times New Roman" w:cs="Times New Roman"/>
          <w:sz w:val="20"/>
          <w:szCs w:val="20"/>
        </w:rPr>
        <w:t>T346e</w:t>
      </w:r>
      <w:r>
        <w:rPr>
          <w:rFonts w:ascii="Times New Roman" w:hAnsi="Times New Roman" w:cs="Times New Roman"/>
          <w:sz w:val="20"/>
          <w:szCs w:val="20"/>
        </w:rPr>
        <w:t xml:space="preserve">, </w:t>
      </w:r>
      <w:r w:rsidRPr="002456F8">
        <w:rPr>
          <w:rFonts w:ascii="Times New Roman" w:hAnsi="Times New Roman" w:cs="Times New Roman"/>
          <w:sz w:val="20"/>
          <w:szCs w:val="20"/>
        </w:rPr>
        <w:t>T346f</w:t>
      </w:r>
    </w:p>
    <w:p w14:paraId="6C5BAC28" w14:textId="2EFFFD95" w:rsidR="002575B3" w:rsidRDefault="002575B3" w:rsidP="00F16E4E">
      <w:pPr>
        <w:pStyle w:val="Proposal"/>
        <w:numPr>
          <w:ilvl w:val="0"/>
          <w:numId w:val="4"/>
        </w:numPr>
      </w:pPr>
      <w:bookmarkStart w:id="134" w:name="_Toc71326954"/>
      <w:bookmarkStart w:id="135" w:name="_Toc71402931"/>
      <w:bookmarkStart w:id="136" w:name="_Toc71569652"/>
      <w:bookmarkStart w:id="137" w:name="_Toc71570040"/>
      <w:r>
        <w:lastRenderedPageBreak/>
        <w:t xml:space="preserve">During the SDT procedure, UE does not </w:t>
      </w:r>
      <w:r w:rsidR="003A1E58">
        <w:t xml:space="preserve">act (e.g. release, restore or update) at least any of the following </w:t>
      </w:r>
      <w:r w:rsidR="00D9587F">
        <w:t xml:space="preserve">configurations which are stored </w:t>
      </w:r>
      <w:r w:rsidR="00D9587F" w:rsidRPr="00293242">
        <w:t>in UE Inactive AS context</w:t>
      </w:r>
      <w:r w:rsidR="00D9587F">
        <w:t xml:space="preserve"> </w:t>
      </w:r>
      <w:r w:rsidR="003A1E58">
        <w:t>(</w:t>
      </w:r>
      <w:r w:rsidR="00D9587F">
        <w:t>but are</w:t>
      </w:r>
      <w:r w:rsidR="003A1E58">
        <w:t xml:space="preserve"> not relevant </w:t>
      </w:r>
      <w:r w:rsidR="00D9587F">
        <w:t>to</w:t>
      </w:r>
      <w:r w:rsidR="003A1E58">
        <w:t xml:space="preserve"> SDT</w:t>
      </w:r>
      <w:r w:rsidR="00D9587F">
        <w:t xml:space="preserve"> operation</w:t>
      </w:r>
      <w:r w:rsidR="003A1E58">
        <w:t xml:space="preserve">): a) </w:t>
      </w:r>
      <w:r w:rsidR="003A1E58" w:rsidRPr="00FC6CD5">
        <w:rPr>
          <w:i/>
          <w:iCs/>
        </w:rPr>
        <w:t xml:space="preserve">delayBudgetReportingConfig, </w:t>
      </w:r>
      <w:r w:rsidR="00F16E4E">
        <w:t xml:space="preserve">b) </w:t>
      </w:r>
      <w:r w:rsidR="003A1E58" w:rsidRPr="00FC6CD5">
        <w:rPr>
          <w:i/>
          <w:iCs/>
        </w:rPr>
        <w:t>overheatingAssistanceConfig,</w:t>
      </w:r>
      <w:r w:rsidR="00F16E4E" w:rsidRPr="00F16E4E">
        <w:rPr>
          <w:i/>
          <w:iCs/>
        </w:rPr>
        <w:t xml:space="preserve"> </w:t>
      </w:r>
      <w:r w:rsidR="00F16E4E" w:rsidRPr="00FC6CD5">
        <w:t>c)</w:t>
      </w:r>
      <w:r w:rsidR="003A1E58" w:rsidRPr="00FC6CD5">
        <w:rPr>
          <w:i/>
          <w:iCs/>
        </w:rPr>
        <w:t xml:space="preserve"> idc-AssistanceConfig, </w:t>
      </w:r>
      <w:r w:rsidR="00F16E4E">
        <w:t xml:space="preserve">d) </w:t>
      </w:r>
      <w:r w:rsidR="003A1E58" w:rsidRPr="00FC6CD5">
        <w:rPr>
          <w:i/>
          <w:iCs/>
        </w:rPr>
        <w:t>drx-PreferenceConfig</w:t>
      </w:r>
      <w:r w:rsidR="003A1E58">
        <w:t xml:space="preserve"> for all configured cell groups,</w:t>
      </w:r>
      <w:r w:rsidR="007A3463">
        <w:t xml:space="preserve"> </w:t>
      </w:r>
      <w:r w:rsidR="00F16E4E">
        <w:t xml:space="preserve">e) </w:t>
      </w:r>
      <w:r w:rsidR="003A1E58" w:rsidRPr="00FC6CD5">
        <w:rPr>
          <w:i/>
          <w:iCs/>
        </w:rPr>
        <w:t>mrdc-SecondaryCellGroup</w:t>
      </w:r>
      <w:r w:rsidR="007A3463">
        <w:t xml:space="preserve">, </w:t>
      </w:r>
      <w:r w:rsidR="00F16E4E">
        <w:t>and</w:t>
      </w:r>
      <w:r w:rsidR="00D9587F">
        <w:t xml:space="preserve"> f</w:t>
      </w:r>
      <w:r w:rsidR="00F16E4E">
        <w:t xml:space="preserve">)  </w:t>
      </w:r>
      <w:r w:rsidR="003A1E58">
        <w:t>Timers T346a, T346b, T346c, T346d, T346e, T346f</w:t>
      </w:r>
      <w:r>
        <w:t>.</w:t>
      </w:r>
      <w:bookmarkEnd w:id="134"/>
      <w:bookmarkEnd w:id="135"/>
      <w:bookmarkEnd w:id="136"/>
      <w:bookmarkEnd w:id="137"/>
    </w:p>
    <w:p w14:paraId="72279CD1" w14:textId="2A9496E4" w:rsidR="001B29A2" w:rsidRDefault="001B29A2" w:rsidP="006F415D">
      <w:pPr>
        <w:jc w:val="both"/>
      </w:pPr>
    </w:p>
    <w:p w14:paraId="0012991E" w14:textId="02C9F45C" w:rsidR="001B29A2" w:rsidRPr="0017429A" w:rsidRDefault="001B29A2" w:rsidP="001B29A2">
      <w:pPr>
        <w:pStyle w:val="Heading3"/>
      </w:pPr>
      <w:r>
        <w:t>RoHC configuration</w:t>
      </w:r>
    </w:p>
    <w:p w14:paraId="564B7239" w14:textId="03BD181A" w:rsidR="006F415D" w:rsidRDefault="00DE2654" w:rsidP="006F415D">
      <w:pPr>
        <w:jc w:val="both"/>
      </w:pPr>
      <w:r>
        <w:t>On the RoHC configuration,</w:t>
      </w:r>
      <w:r w:rsidR="0089184E">
        <w:t xml:space="preserve"> </w:t>
      </w:r>
      <w:r w:rsidR="006F4D4D">
        <w:t xml:space="preserve">our understanding is that </w:t>
      </w:r>
      <w:r w:rsidR="006F4D4D" w:rsidRPr="006F4D4D">
        <w:t xml:space="preserve">UE needs to know in advance at the time of sending </w:t>
      </w:r>
      <w:r w:rsidR="006F4D4D">
        <w:t xml:space="preserve">SDT traffic </w:t>
      </w:r>
      <w:r w:rsidR="006F4D4D" w:rsidRPr="006F4D4D">
        <w:t>whether to continue with RoHC state or not</w:t>
      </w:r>
      <w:r w:rsidR="006F4D4D">
        <w:t>, as explained in</w:t>
      </w:r>
      <w:r>
        <w:t xml:space="preserve"> </w:t>
      </w:r>
      <w:r w:rsidR="00F236F2">
        <w:fldChar w:fldCharType="begin"/>
      </w:r>
      <w:r w:rsidR="00F236F2">
        <w:instrText xml:space="preserve"> REF _Ref71326067 \r \h </w:instrText>
      </w:r>
      <w:r w:rsidR="00F236F2">
        <w:fldChar w:fldCharType="separate"/>
      </w:r>
      <w:r w:rsidR="008624B8">
        <w:t>[5]</w:t>
      </w:r>
      <w:r w:rsidR="00F236F2">
        <w:fldChar w:fldCharType="end"/>
      </w:r>
      <w:r w:rsidR="0089184E" w:rsidRPr="00FA7711">
        <w:t>.</w:t>
      </w:r>
      <w:r w:rsidR="006F4D4D">
        <w:t xml:space="preserve"> </w:t>
      </w:r>
      <w:r w:rsidR="006F415D">
        <w:t xml:space="preserve">That is, it would need to know before starting the SDT session whether the network can continue RoHC or even whether the </w:t>
      </w:r>
      <w:r w:rsidR="007B0728">
        <w:t xml:space="preserve">UE </w:t>
      </w:r>
      <w:r w:rsidR="006F415D">
        <w:t>context is</w:t>
      </w:r>
      <w:r w:rsidR="007B0728">
        <w:t xml:space="preserve"> or not</w:t>
      </w:r>
      <w:r w:rsidR="006F415D">
        <w:t xml:space="preserve"> relocated.  </w:t>
      </w:r>
    </w:p>
    <w:p w14:paraId="2769CF72" w14:textId="77777777" w:rsidR="006F415D" w:rsidRDefault="006F415D" w:rsidP="006F415D">
      <w:pPr>
        <w:jc w:val="both"/>
      </w:pPr>
      <w:r>
        <w:t xml:space="preserve">During handover in NR, header compression may be continued during HO based on network indication in the HO command.  Typically, it can be continued when the RoHC context is not relocated during the HO and sometimes, depending on implementation, even with RoHC context relocation (though this RoHC context transfer procedure on the network side is not specified). </w:t>
      </w:r>
    </w:p>
    <w:p w14:paraId="214820FB" w14:textId="77777777" w:rsidR="006F415D" w:rsidRDefault="006F415D" w:rsidP="006F415D">
      <w:pPr>
        <w:jc w:val="both"/>
      </w:pPr>
      <w:r>
        <w:t>Following the same logic for SDT, it should be possible to continue RoHC when the SDT session is not relocated.  This could be due to resumption in the same CU region or due to anchoring.   On the other hand, if the context is relocated it may not be possible for RoHC to continue after relocation.  The decision whether to relocate or not is dependent on factors such as cell in which UE is resuming, which network is aware only after network receives the SDT.  Hence, it is not possible to indicate in advance to the UE whether to continue RoHC or not for SDT.</w:t>
      </w:r>
    </w:p>
    <w:p w14:paraId="67260B7B" w14:textId="77777777" w:rsidR="006F415D" w:rsidRDefault="006F415D" w:rsidP="006F415D">
      <w:pPr>
        <w:pStyle w:val="observ"/>
        <w:ind w:left="360"/>
      </w:pPr>
      <w:bookmarkStart w:id="138" w:name="_Toc67870070"/>
      <w:bookmarkStart w:id="139" w:name="_Toc67954582"/>
      <w:bookmarkStart w:id="140" w:name="_Toc68037158"/>
      <w:bookmarkStart w:id="141" w:name="_Toc68053925"/>
      <w:bookmarkStart w:id="142" w:name="_Toc68054037"/>
      <w:bookmarkStart w:id="143" w:name="_Toc68054420"/>
      <w:bookmarkStart w:id="144" w:name="_Toc68125377"/>
      <w:bookmarkStart w:id="145" w:name="_Toc68200135"/>
      <w:bookmarkStart w:id="146" w:name="_Toc68200447"/>
      <w:bookmarkStart w:id="147" w:name="_Toc68203473"/>
      <w:bookmarkStart w:id="148" w:name="_Toc71326948"/>
      <w:bookmarkStart w:id="149" w:name="_Toc71402925"/>
      <w:bookmarkStart w:id="150" w:name="_Toc71569646"/>
      <w:bookmarkStart w:id="151" w:name="_Toc71570062"/>
      <w:r>
        <w:t>Decision whether to continue RoHC has to be known at the UE before SDT while the network decision of whether to perform context relocation is taken only after network receives SDT.</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399366C5" w14:textId="77777777" w:rsidR="006F415D" w:rsidRDefault="006F415D" w:rsidP="006F415D">
      <w:pPr>
        <w:jc w:val="both"/>
      </w:pPr>
      <w:r>
        <w:t xml:space="preserve">One possibility is allowed RoHC to continue only in the same cell for SDT.  Alternatively, it could be allowed to continue RoHC within a certain area – such as within an RNA.  And this could also be under control of the network; that is, the network can indicate this to the UE as part of the SDT configuration (e.g., in the RRC release message) that sent to the UE to INACTIVE prior to the SDT session.   For example, this indication can be, “continue RoHC within the same cell”.  With this indication, UE will continue RoHC only in the same cell.  </w:t>
      </w:r>
    </w:p>
    <w:p w14:paraId="66DA5B6C" w14:textId="615B5CC9" w:rsidR="006F415D" w:rsidRPr="00994609" w:rsidRDefault="00CF3BF5" w:rsidP="006F415D">
      <w:pPr>
        <w:pStyle w:val="Proposal"/>
        <w:numPr>
          <w:ilvl w:val="0"/>
          <w:numId w:val="4"/>
        </w:numPr>
      </w:pPr>
      <w:hyperlink w:anchor="_Toc67002521" w:history="1">
        <w:bookmarkStart w:id="152" w:name="_Toc68203469"/>
        <w:bookmarkStart w:id="153" w:name="_Toc68200443"/>
        <w:bookmarkStart w:id="154" w:name="_Toc68200140"/>
        <w:bookmarkStart w:id="155" w:name="_Toc68125388"/>
        <w:bookmarkStart w:id="156" w:name="_Toc68125382"/>
        <w:bookmarkStart w:id="157" w:name="_Toc68054431"/>
        <w:bookmarkStart w:id="158" w:name="_Toc68054425"/>
        <w:bookmarkStart w:id="159" w:name="_Toc68054042"/>
        <w:bookmarkStart w:id="160" w:name="_Toc68053931"/>
        <w:bookmarkStart w:id="161" w:name="_Toc67954595"/>
        <w:bookmarkStart w:id="162" w:name="_Toc67870167"/>
        <w:bookmarkStart w:id="163" w:name="_Toc67870081"/>
        <w:bookmarkStart w:id="164" w:name="_Toc71326955"/>
        <w:bookmarkStart w:id="165" w:name="_Toc71402932"/>
        <w:bookmarkStart w:id="166" w:name="_Toc71569653"/>
        <w:bookmarkStart w:id="167" w:name="_Toc71570041"/>
        <w:r w:rsidR="006F415D" w:rsidRPr="00994609">
          <w:t>Network can control using SDT configuration (</w:t>
        </w:r>
        <w:r w:rsidR="00330655">
          <w:t>e.g. via</w:t>
        </w:r>
        <w:r w:rsidR="006F415D" w:rsidRPr="00994609">
          <w:t xml:space="preserve"> in </w:t>
        </w:r>
        <w:r w:rsidR="006F415D" w:rsidRPr="00FC6CD5">
          <w:rPr>
            <w:i/>
            <w:iCs/>
          </w:rPr>
          <w:t>RRC</w:t>
        </w:r>
        <w:r w:rsidR="00330655" w:rsidRPr="00FC6CD5">
          <w:rPr>
            <w:i/>
            <w:iCs/>
          </w:rPr>
          <w:t>R</w:t>
        </w:r>
        <w:r w:rsidR="006F415D" w:rsidRPr="00FC6CD5">
          <w:rPr>
            <w:i/>
            <w:iCs/>
          </w:rPr>
          <w:t>elease</w:t>
        </w:r>
        <w:r w:rsidR="006F415D" w:rsidRPr="00994609">
          <w:t xml:space="preserve"> message) whether UE should continue RoHC state or not.  This </w:t>
        </w:r>
        <w:r w:rsidR="00330655">
          <w:t xml:space="preserve">information </w:t>
        </w:r>
        <w:r w:rsidR="006F415D" w:rsidRPr="00994609">
          <w:t>could further restrict</w:t>
        </w:r>
        <w:r w:rsidR="00330655">
          <w:t xml:space="preserve"> </w:t>
        </w:r>
        <w:r w:rsidR="00D9587F">
          <w:t>whether</w:t>
        </w:r>
        <w:r w:rsidR="00330655">
          <w:t xml:space="preserve"> RoHC state can</w:t>
        </w:r>
        <w:r w:rsidR="006F415D" w:rsidRPr="00994609">
          <w:t xml:space="preserve"> continue only in a</w:t>
        </w:r>
        <w:r w:rsidR="00D9587F">
          <w:t xml:space="preserve"> given</w:t>
        </w:r>
        <w:r w:rsidR="006F415D" w:rsidRPr="00994609">
          <w:t xml:space="preserve"> region </w:t>
        </w:r>
        <w:r w:rsidR="00D9587F">
          <w:t xml:space="preserve">(e.g. </w:t>
        </w:r>
        <w:r w:rsidR="006F415D" w:rsidRPr="00994609">
          <w:t>same cell</w:t>
        </w:r>
        <w:r w:rsidR="00D9587F">
          <w:t xml:space="preserve"> where UE Inactive AS Context</w:t>
        </w:r>
        <w:r w:rsidR="006F415D" w:rsidRPr="00994609">
          <w:t xml:space="preserve"> </w:t>
        </w:r>
        <w:r w:rsidR="00D9587F">
          <w:t xml:space="preserve">is stored </w:t>
        </w:r>
        <w:r w:rsidR="006F415D" w:rsidRPr="00994609">
          <w:t xml:space="preserve">or </w:t>
        </w:r>
        <w:r w:rsidR="00D9587F">
          <w:t>current configured</w:t>
        </w:r>
        <w:r w:rsidR="006F415D" w:rsidRPr="00994609">
          <w:t xml:space="preserve"> RNA</w:t>
        </w:r>
        <w:r w:rsidR="00D9587F">
          <w:t xml:space="preserve"> to UE)</w:t>
        </w:r>
        <w:r w:rsidR="006F415D" w:rsidRPr="00994609">
          <w:t>.</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hyperlink>
    </w:p>
    <w:p w14:paraId="36030F66" w14:textId="2E729C57" w:rsidR="001F1F3F" w:rsidRDefault="001F1F3F" w:rsidP="00AB4C0E">
      <w:pPr>
        <w:jc w:val="both"/>
        <w:rPr>
          <w:lang w:val="en-GB"/>
        </w:rPr>
      </w:pPr>
    </w:p>
    <w:p w14:paraId="40F8E146" w14:textId="682D341F" w:rsidR="001F1F3F" w:rsidRPr="0017429A" w:rsidRDefault="009D3DA5" w:rsidP="001F1F3F">
      <w:pPr>
        <w:pStyle w:val="Heading3"/>
      </w:pPr>
      <w:r>
        <w:t xml:space="preserve">Configuration to suppress of </w:t>
      </w:r>
      <w:r w:rsidR="001F1F3F">
        <w:t>PDC</w:t>
      </w:r>
      <w:r w:rsidR="005522EA">
        <w:t>P</w:t>
      </w:r>
      <w:r w:rsidR="001F1F3F">
        <w:t xml:space="preserve"> st</w:t>
      </w:r>
      <w:r>
        <w:t>atus report</w:t>
      </w:r>
    </w:p>
    <w:p w14:paraId="40AEC81A" w14:textId="6F5549F4" w:rsidR="00901985" w:rsidRDefault="00274B8A" w:rsidP="00AB4C0E">
      <w:pPr>
        <w:jc w:val="both"/>
        <w:rPr>
          <w:lang w:val="en-GB"/>
        </w:rPr>
      </w:pPr>
      <w:r>
        <w:rPr>
          <w:lang w:val="en-GB"/>
        </w:rPr>
        <w:t xml:space="preserve">Another configuration under consideration is whether network needs to configure the UE explicitly on whether PDCP status report </w:t>
      </w:r>
      <w:r w:rsidR="00AB38A4">
        <w:rPr>
          <w:lang w:val="en-GB"/>
        </w:rPr>
        <w:t xml:space="preserve">can be suppressed or not (assuming that this operation </w:t>
      </w:r>
      <w:r w:rsidR="00B912B7">
        <w:rPr>
          <w:lang w:val="en-GB"/>
        </w:rPr>
        <w:t>is enabled</w:t>
      </w:r>
      <w:r w:rsidR="00AB38A4">
        <w:rPr>
          <w:lang w:val="en-GB"/>
        </w:rPr>
        <w:t xml:space="preserve"> </w:t>
      </w:r>
      <w:r w:rsidR="00B912B7">
        <w:rPr>
          <w:lang w:val="en-GB"/>
        </w:rPr>
        <w:t>during</w:t>
      </w:r>
      <w:r w:rsidR="00AB38A4">
        <w:rPr>
          <w:lang w:val="en-GB"/>
        </w:rPr>
        <w:t xml:space="preserve"> SDT)</w:t>
      </w:r>
      <w:r w:rsidR="00B912B7">
        <w:rPr>
          <w:lang w:val="en-GB"/>
        </w:rPr>
        <w:t xml:space="preserve">. </w:t>
      </w:r>
    </w:p>
    <w:p w14:paraId="1735B366" w14:textId="77777777" w:rsidR="00FA752B" w:rsidRDefault="00FA752B" w:rsidP="00FA752B">
      <w:pPr>
        <w:jc w:val="both"/>
      </w:pPr>
      <w:r>
        <w:t xml:space="preserve">Legacy NR operation defines that when PDCP is re-established, status reports are generated by the UE if configured to do so.  This configuration is per DRB and applicable for all procedures.  During Resume procedure, the status reports are not helpful to the network as there is no data transmission ongoing before the Resume.  This was discussed in R2-112e with the agreement that UE shall send the status report when PDCP is re-established even if it is not essential during a Resume procedure.  </w:t>
      </w:r>
    </w:p>
    <w:p w14:paraId="023008EE" w14:textId="08524E27" w:rsidR="00FA752B" w:rsidRDefault="00FA752B" w:rsidP="00FA752B">
      <w:pPr>
        <w:jc w:val="both"/>
      </w:pPr>
      <w:r>
        <w:t>These status reports would need to be sent with every SDT session and could contribute to a significant increase in the volume of SDT traffic.  This is specially critical as the actual data over SDT session could be small.  It is hence proposed to suppress these PDCP status reports during a PDCP re-establishment for SDT</w:t>
      </w:r>
      <w:r w:rsidR="000B524F">
        <w:t xml:space="preserve">, as explained in </w:t>
      </w:r>
      <w:r w:rsidR="00F236F2">
        <w:fldChar w:fldCharType="begin"/>
      </w:r>
      <w:r w:rsidR="00F236F2">
        <w:instrText xml:space="preserve"> REF _Ref71326067 \r \h </w:instrText>
      </w:r>
      <w:r w:rsidR="00F236F2">
        <w:fldChar w:fldCharType="separate"/>
      </w:r>
      <w:r w:rsidR="008624B8">
        <w:t>[5]</w:t>
      </w:r>
      <w:r w:rsidR="00F236F2">
        <w:fldChar w:fldCharType="end"/>
      </w:r>
      <w:r>
        <w:t xml:space="preserve">.  </w:t>
      </w:r>
    </w:p>
    <w:p w14:paraId="07D340C5" w14:textId="77777777" w:rsidR="00FA752B" w:rsidRPr="00DA6F30" w:rsidRDefault="00FA752B" w:rsidP="00FA752B">
      <w:pPr>
        <w:pStyle w:val="Proposal"/>
        <w:numPr>
          <w:ilvl w:val="0"/>
          <w:numId w:val="4"/>
        </w:numPr>
        <w:rPr>
          <w:lang w:val="en-US"/>
        </w:rPr>
      </w:pPr>
      <w:bookmarkStart w:id="168" w:name="_Toc67870080"/>
      <w:bookmarkStart w:id="169" w:name="_Toc67870166"/>
      <w:bookmarkStart w:id="170" w:name="_Toc67954593"/>
      <w:bookmarkStart w:id="171" w:name="_Toc68053929"/>
      <w:bookmarkStart w:id="172" w:name="_Toc68054040"/>
      <w:bookmarkStart w:id="173" w:name="_Toc68054423"/>
      <w:bookmarkStart w:id="174" w:name="_Toc68054429"/>
      <w:bookmarkStart w:id="175" w:name="_Toc68125380"/>
      <w:bookmarkStart w:id="176" w:name="_Toc68125386"/>
      <w:bookmarkStart w:id="177" w:name="_Toc68200138"/>
      <w:bookmarkStart w:id="178" w:name="_Toc68200441"/>
      <w:bookmarkStart w:id="179" w:name="_Toc68203467"/>
      <w:bookmarkStart w:id="180" w:name="_Toc71326956"/>
      <w:bookmarkStart w:id="181" w:name="_Toc71402933"/>
      <w:bookmarkStart w:id="182" w:name="_Toc71569654"/>
      <w:bookmarkStart w:id="183" w:name="_Toc71570042"/>
      <w:r w:rsidRPr="00DA6F30">
        <w:rPr>
          <w:lang w:val="en-US"/>
        </w:rPr>
        <w:t xml:space="preserve">PDCP status reports are not sent during PDCP re-establishment for </w:t>
      </w:r>
      <w:r>
        <w:rPr>
          <w:lang w:val="en-US"/>
        </w:rPr>
        <w:t>every</w:t>
      </w:r>
      <w:r w:rsidRPr="00DA6F30">
        <w:rPr>
          <w:lang w:val="en-US"/>
        </w:rPr>
        <w:t xml:space="preserve"> SDT</w:t>
      </w:r>
      <w:r>
        <w:rPr>
          <w:lang w:val="en-US"/>
        </w:rPr>
        <w:t xml:space="preserve"> session</w:t>
      </w:r>
      <w:r w:rsidRPr="00DA6F30">
        <w:rPr>
          <w:lang w:val="en-US"/>
        </w:rPr>
        <w:t>.</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14:paraId="4E6882C9" w14:textId="659B03CD" w:rsidR="00FA752B" w:rsidRDefault="00FA752B" w:rsidP="00FA752B">
      <w:pPr>
        <w:spacing w:after="60"/>
        <w:jc w:val="both"/>
      </w:pPr>
      <w:r w:rsidRPr="00E67839">
        <w:lastRenderedPageBreak/>
        <w:t>Assuming</w:t>
      </w:r>
      <w:r>
        <w:t xml:space="preserve"> that </w:t>
      </w:r>
      <w:r w:rsidRPr="00DA6F30">
        <w:t>PDCP status reports</w:t>
      </w:r>
      <w:r>
        <w:t xml:space="preserve"> is suppressed</w:t>
      </w:r>
      <w:r w:rsidR="00FD4D8B">
        <w:t xml:space="preserve"> (as captured in previous proposal)</w:t>
      </w:r>
      <w:r>
        <w:t>, some companies suggested that it is already possible in current specifications to suppress PDCP re-establishment for SDT.  In our understanding of the PDCP spec:</w:t>
      </w:r>
    </w:p>
    <w:p w14:paraId="1A6E32DA" w14:textId="77777777" w:rsidR="00FA752B" w:rsidRDefault="00FA752B" w:rsidP="00FA752B">
      <w:pPr>
        <w:ind w:left="284"/>
        <w:rPr>
          <w:rFonts w:eastAsia="Times New Roman"/>
          <w:lang w:eastAsia="ko-KR"/>
        </w:rPr>
      </w:pPr>
      <w:r>
        <w:rPr>
          <w:lang w:eastAsia="ko-KR"/>
        </w:rPr>
        <w:t xml:space="preserve">For AM DRBs </w:t>
      </w:r>
      <w:r>
        <w:t>configured by upper layers to send a PDCP status report</w:t>
      </w:r>
      <w:r>
        <w:rPr>
          <w:lang w:eastAsia="ko-KR"/>
        </w:rPr>
        <w:t xml:space="preserve"> in the uplink (</w:t>
      </w:r>
      <w:r>
        <w:rPr>
          <w:i/>
        </w:rPr>
        <w:t>statusReportRequired</w:t>
      </w:r>
      <w:r>
        <w:rPr>
          <w:i/>
          <w:lang w:eastAsia="ko-KR"/>
        </w:rPr>
        <w:t xml:space="preserve"> </w:t>
      </w:r>
      <w:r>
        <w:rPr>
          <w:lang w:eastAsia="ko-KR"/>
        </w:rPr>
        <w:t xml:space="preserve">in </w:t>
      </w:r>
      <w:r>
        <w:t>TS 38.331</w:t>
      </w:r>
      <w:r>
        <w:rPr>
          <w:lang w:eastAsia="ko-KR"/>
        </w:rPr>
        <w:t xml:space="preserve"> [3]), the receiving PDCP entity shall trigger a PDCP status report when:</w:t>
      </w:r>
    </w:p>
    <w:p w14:paraId="10A19796" w14:textId="77777777" w:rsidR="00FA752B" w:rsidRPr="00874CBC" w:rsidRDefault="00FA752B" w:rsidP="00FA752B">
      <w:pPr>
        <w:pStyle w:val="B1"/>
        <w:ind w:left="852"/>
        <w:rPr>
          <w:rFonts w:ascii="Times New Roman" w:hAnsi="Times New Roman"/>
          <w:lang w:val="en-GB"/>
        </w:rPr>
      </w:pPr>
      <w:r w:rsidRPr="00874CBC">
        <w:rPr>
          <w:rFonts w:ascii="Times New Roman" w:hAnsi="Times New Roman"/>
          <w:lang w:val="en-GB"/>
        </w:rPr>
        <w:t>-</w:t>
      </w:r>
      <w:r w:rsidRPr="00874CBC">
        <w:rPr>
          <w:rFonts w:ascii="Times New Roman" w:hAnsi="Times New Roman"/>
          <w:lang w:val="en-GB"/>
        </w:rPr>
        <w:tab/>
        <w:t>upper layer requests a PDCP entity re-establishment;</w:t>
      </w:r>
    </w:p>
    <w:p w14:paraId="2241066C" w14:textId="77777777" w:rsidR="00FA752B" w:rsidRDefault="00FA752B" w:rsidP="00FA752B">
      <w:pPr>
        <w:jc w:val="both"/>
        <w:rPr>
          <w:iCs/>
        </w:rPr>
      </w:pPr>
      <w:r>
        <w:t xml:space="preserve">If </w:t>
      </w:r>
      <w:r>
        <w:rPr>
          <w:i/>
        </w:rPr>
        <w:t xml:space="preserve">statusReportRequired </w:t>
      </w:r>
      <w:r>
        <w:rPr>
          <w:iCs/>
        </w:rPr>
        <w:t xml:space="preserve">is set, then PDCP will send status report whenever upper layers trigger PDCP re-establishment.   As PDCP re-establishment will be triggered at least for SDT DRBs during SDT, PDCP will generate a status report if </w:t>
      </w:r>
      <w:r>
        <w:rPr>
          <w:i/>
        </w:rPr>
        <w:t xml:space="preserve">statusReportRequired </w:t>
      </w:r>
      <w:r>
        <w:rPr>
          <w:iCs/>
        </w:rPr>
        <w:t xml:space="preserve">is set.  </w:t>
      </w:r>
    </w:p>
    <w:p w14:paraId="33A0282A" w14:textId="102002B9" w:rsidR="00FA752B" w:rsidRPr="00F236F2" w:rsidRDefault="00FA752B" w:rsidP="00FA752B">
      <w:pPr>
        <w:jc w:val="both"/>
      </w:pPr>
      <w:r>
        <w:rPr>
          <w:iCs/>
        </w:rPr>
        <w:t xml:space="preserve">To provide the flexibility of suppressing the status report only for SDT, we do not think not setting </w:t>
      </w:r>
      <w:r>
        <w:rPr>
          <w:i/>
        </w:rPr>
        <w:t xml:space="preserve">statusReportRequired </w:t>
      </w:r>
      <w:r>
        <w:rPr>
          <w:iCs/>
        </w:rPr>
        <w:t xml:space="preserve">for a DRB “permanently” is a good solution.  Nor is resetting the </w:t>
      </w:r>
      <w:r>
        <w:rPr>
          <w:i/>
        </w:rPr>
        <w:t xml:space="preserve">statusReportRequired </w:t>
      </w:r>
      <w:r w:rsidRPr="00E67839">
        <w:rPr>
          <w:iCs/>
        </w:rPr>
        <w:t>for</w:t>
      </w:r>
      <w:r>
        <w:rPr>
          <w:i/>
        </w:rPr>
        <w:t xml:space="preserve"> </w:t>
      </w:r>
      <w:r>
        <w:rPr>
          <w:rFonts w:eastAsiaTheme="minorHAnsi"/>
        </w:rPr>
        <w:t xml:space="preserve">each SDT session as </w:t>
      </w:r>
      <w:r w:rsidRPr="008E2DA2">
        <w:rPr>
          <w:rFonts w:eastAsiaTheme="minorHAnsi"/>
        </w:rPr>
        <w:t xml:space="preserve">there are many other fields that are mandatory or Need R (e.g. </w:t>
      </w:r>
      <w:r w:rsidRPr="00F236F2">
        <w:rPr>
          <w:rFonts w:eastAsiaTheme="minorHAnsi"/>
          <w:i/>
          <w:iCs/>
        </w:rPr>
        <w:t>headerCompression</w:t>
      </w:r>
      <w:r w:rsidRPr="00F236F2">
        <w:rPr>
          <w:rFonts w:eastAsiaTheme="minorHAnsi"/>
        </w:rPr>
        <w:t xml:space="preserve">, </w:t>
      </w:r>
      <w:r w:rsidRPr="00F236F2">
        <w:rPr>
          <w:rFonts w:eastAsiaTheme="minorHAnsi"/>
          <w:i/>
          <w:iCs/>
        </w:rPr>
        <w:t>integrityProtection</w:t>
      </w:r>
      <w:r w:rsidRPr="00F236F2">
        <w:rPr>
          <w:rFonts w:eastAsiaTheme="minorHAnsi"/>
        </w:rPr>
        <w:t xml:space="preserve">, </w:t>
      </w:r>
      <w:r w:rsidRPr="00F236F2">
        <w:rPr>
          <w:rFonts w:eastAsiaTheme="minorHAnsi"/>
          <w:i/>
          <w:iCs/>
        </w:rPr>
        <w:t>outOfOrderDelivery</w:t>
      </w:r>
      <w:r w:rsidRPr="00F236F2">
        <w:rPr>
          <w:rFonts w:eastAsiaTheme="minorHAnsi"/>
        </w:rPr>
        <w:t xml:space="preserve">, </w:t>
      </w:r>
      <w:r w:rsidRPr="00F236F2">
        <w:rPr>
          <w:rFonts w:eastAsiaTheme="minorHAnsi"/>
          <w:i/>
          <w:iCs/>
        </w:rPr>
        <w:t>t-Reordering</w:t>
      </w:r>
      <w:r w:rsidRPr="00F236F2">
        <w:rPr>
          <w:rFonts w:eastAsiaTheme="minorHAnsi"/>
        </w:rPr>
        <w:t xml:space="preserve"> </w:t>
      </w:r>
      <w:r w:rsidRPr="00F236F2">
        <w:t>o</w:t>
      </w:r>
      <w:r w:rsidRPr="00F236F2">
        <w:rPr>
          <w:rFonts w:eastAsiaTheme="minorHAnsi"/>
        </w:rPr>
        <w:t>f value is not infinity, or</w:t>
      </w:r>
      <w:r w:rsidRPr="00F236F2">
        <w:rPr>
          <w:i/>
          <w:iCs/>
        </w:rPr>
        <w:t xml:space="preserve"> </w:t>
      </w:r>
      <w:r w:rsidRPr="00F236F2">
        <w:rPr>
          <w:rFonts w:eastAsiaTheme="minorHAnsi"/>
          <w:i/>
          <w:iCs/>
        </w:rPr>
        <w:t>cipheringDisabled</w:t>
      </w:r>
      <w:r w:rsidRPr="00F236F2">
        <w:rPr>
          <w:rFonts w:eastAsiaTheme="minorHAnsi"/>
        </w:rPr>
        <w:t>) and this would significantly increase the size of the message</w:t>
      </w:r>
      <w:r w:rsidRPr="00F236F2">
        <w:t>.</w:t>
      </w:r>
      <w:r w:rsidR="004E79DC" w:rsidRPr="00F236F2">
        <w:t xml:space="preserve"> </w:t>
      </w:r>
    </w:p>
    <w:p w14:paraId="37152662" w14:textId="22928E82" w:rsidR="00501979" w:rsidRDefault="00501979" w:rsidP="00FA752B">
      <w:pPr>
        <w:jc w:val="both"/>
        <w:rPr>
          <w:iCs/>
        </w:rPr>
      </w:pPr>
      <w:r w:rsidRPr="00F236F2">
        <w:t xml:space="preserve">On other hand, </w:t>
      </w:r>
      <w:r w:rsidR="005522EA" w:rsidRPr="00F236F2">
        <w:t>we suggest enabling the suppression of PDCH status report implicitly in the specification (i.e. without requiring any explicit signaling for this) to align with the agreed approach to handle PDCP re-establishment</w:t>
      </w:r>
      <w:r w:rsidR="009B2DFC" w:rsidRPr="00F236F2">
        <w:t xml:space="preserve">. This was was </w:t>
      </w:r>
      <w:r w:rsidR="005522EA" w:rsidRPr="00F236F2">
        <w:rPr>
          <w:i/>
          <w:iCs/>
        </w:rPr>
        <w:t>implicitly, i.e. without explicit indication for PDCP re-establishment, when the UE initiates SDT procedure</w:t>
      </w:r>
      <w:r w:rsidR="005522EA" w:rsidRPr="00F236F2">
        <w:t>).</w:t>
      </w:r>
      <w:r w:rsidR="005522EA">
        <w:t xml:space="preserve"> </w:t>
      </w:r>
    </w:p>
    <w:p w14:paraId="22319F50" w14:textId="77777777" w:rsidR="00FA752B" w:rsidRPr="00D32F22" w:rsidRDefault="00FA752B" w:rsidP="00FA752B">
      <w:pPr>
        <w:pStyle w:val="observ"/>
        <w:ind w:left="360"/>
      </w:pPr>
      <w:bookmarkStart w:id="184" w:name="_Toc68054035"/>
      <w:bookmarkStart w:id="185" w:name="_Toc68054418"/>
      <w:bookmarkStart w:id="186" w:name="_Toc68125375"/>
      <w:bookmarkStart w:id="187" w:name="_Toc68200133"/>
      <w:bookmarkStart w:id="188" w:name="_Toc68200445"/>
      <w:bookmarkStart w:id="189" w:name="_Toc68203471"/>
      <w:bookmarkStart w:id="190" w:name="_Toc71326949"/>
      <w:bookmarkStart w:id="191" w:name="_Toc71402926"/>
      <w:bookmarkStart w:id="192" w:name="_Toc71569647"/>
      <w:bookmarkStart w:id="193" w:name="_Toc71570063"/>
      <w:r w:rsidRPr="00D32F22">
        <w:t>It is currently</w:t>
      </w:r>
      <w:r>
        <w:t xml:space="preserve"> not</w:t>
      </w:r>
      <w:r w:rsidRPr="00D32F22">
        <w:t xml:space="preserve"> possible to suppress PDCP status report only for SDT.</w:t>
      </w:r>
      <w:bookmarkEnd w:id="184"/>
      <w:bookmarkEnd w:id="185"/>
      <w:bookmarkEnd w:id="186"/>
      <w:bookmarkEnd w:id="187"/>
      <w:bookmarkEnd w:id="188"/>
      <w:bookmarkEnd w:id="189"/>
      <w:bookmarkEnd w:id="190"/>
      <w:bookmarkEnd w:id="191"/>
      <w:bookmarkEnd w:id="192"/>
      <w:bookmarkEnd w:id="193"/>
    </w:p>
    <w:p w14:paraId="6387949A" w14:textId="6ABD1F0D" w:rsidR="009B2DFC" w:rsidRPr="00DA6F30" w:rsidRDefault="009B2DFC" w:rsidP="009B2DFC">
      <w:pPr>
        <w:pStyle w:val="Proposal"/>
        <w:numPr>
          <w:ilvl w:val="0"/>
          <w:numId w:val="4"/>
        </w:numPr>
        <w:rPr>
          <w:lang w:val="en-US"/>
        </w:rPr>
      </w:pPr>
      <w:bookmarkStart w:id="194" w:name="_Toc71326957"/>
      <w:bookmarkStart w:id="195" w:name="_Toc71402934"/>
      <w:bookmarkStart w:id="196" w:name="_Toc71569655"/>
      <w:bookmarkStart w:id="197" w:name="_Toc71570043"/>
      <w:r>
        <w:rPr>
          <w:lang w:val="en-US"/>
        </w:rPr>
        <w:t xml:space="preserve">The suppression of the </w:t>
      </w:r>
      <w:r w:rsidRPr="00DA6F30">
        <w:rPr>
          <w:lang w:val="en-US"/>
        </w:rPr>
        <w:t xml:space="preserve">PDCP status report during PDCP re-establishment for </w:t>
      </w:r>
      <w:r>
        <w:rPr>
          <w:lang w:val="en-US"/>
        </w:rPr>
        <w:t>every</w:t>
      </w:r>
      <w:r w:rsidRPr="00DA6F30">
        <w:rPr>
          <w:lang w:val="en-US"/>
        </w:rPr>
        <w:t xml:space="preserve"> SDT</w:t>
      </w:r>
      <w:r>
        <w:rPr>
          <w:lang w:val="en-US"/>
        </w:rPr>
        <w:t xml:space="preserve"> session is enabled implicitly </w:t>
      </w:r>
      <w:r w:rsidR="00141647">
        <w:rPr>
          <w:lang w:val="en-US"/>
        </w:rPr>
        <w:t xml:space="preserve">in the specification </w:t>
      </w:r>
      <w:r w:rsidR="00141647" w:rsidRPr="00141647">
        <w:rPr>
          <w:lang w:val="en-US"/>
        </w:rPr>
        <w:t xml:space="preserve">when the UE initiates SDT procedure </w:t>
      </w:r>
      <w:r w:rsidR="00141647">
        <w:rPr>
          <w:lang w:val="en-US"/>
        </w:rPr>
        <w:t>(</w:t>
      </w:r>
      <w:r w:rsidR="00141647" w:rsidRPr="00FA7711">
        <w:rPr>
          <w:lang w:val="en-US"/>
        </w:rPr>
        <w:t xml:space="preserve">i.e. </w:t>
      </w:r>
      <w:r w:rsidR="00141647" w:rsidRPr="00FC6CD5">
        <w:t xml:space="preserve">without explicit indication sent by the network to allow </w:t>
      </w:r>
      <w:r w:rsidR="00141647" w:rsidRPr="00FA7711">
        <w:rPr>
          <w:lang w:val="en-US"/>
        </w:rPr>
        <w:t>suppression</w:t>
      </w:r>
      <w:r w:rsidR="00141647" w:rsidRPr="003350CC">
        <w:rPr>
          <w:lang w:val="en-US"/>
        </w:rPr>
        <w:t xml:space="preserve"> </w:t>
      </w:r>
      <w:r w:rsidR="00141647" w:rsidRPr="00FA4764">
        <w:rPr>
          <w:lang w:val="en-US"/>
        </w:rPr>
        <w:t xml:space="preserve">of the </w:t>
      </w:r>
      <w:r w:rsidR="00141647" w:rsidRPr="00FF59DF">
        <w:rPr>
          <w:lang w:val="en-US"/>
        </w:rPr>
        <w:t>PDCP status report for SDT</w:t>
      </w:r>
      <w:r w:rsidR="00141647">
        <w:rPr>
          <w:lang w:val="en-US"/>
        </w:rPr>
        <w:t>)</w:t>
      </w:r>
      <w:r w:rsidRPr="00DA6F30">
        <w:rPr>
          <w:lang w:val="en-US"/>
        </w:rPr>
        <w:t>.</w:t>
      </w:r>
      <w:bookmarkEnd w:id="194"/>
      <w:bookmarkEnd w:id="195"/>
      <w:bookmarkEnd w:id="196"/>
      <w:bookmarkEnd w:id="197"/>
    </w:p>
    <w:p w14:paraId="7F92842F" w14:textId="77777777" w:rsidR="009B2DFC" w:rsidRDefault="009B2DFC" w:rsidP="00AB4C0E">
      <w:pPr>
        <w:jc w:val="both"/>
      </w:pPr>
    </w:p>
    <w:p w14:paraId="224AEAC6" w14:textId="4B831A2A" w:rsidR="009D3DA5" w:rsidRPr="0017429A" w:rsidRDefault="00D656DF" w:rsidP="009D3DA5">
      <w:pPr>
        <w:pStyle w:val="Heading3"/>
      </w:pPr>
      <w:r>
        <w:t>Update of UE’s configuration while in RRC_INACTIVE</w:t>
      </w:r>
    </w:p>
    <w:p w14:paraId="466D32CA" w14:textId="7CF64E38" w:rsidR="00D61D72" w:rsidRDefault="00D61D72" w:rsidP="00AB4C0E">
      <w:pPr>
        <w:jc w:val="both"/>
      </w:pPr>
      <w:r>
        <w:t xml:space="preserve">RAN1 LS </w:t>
      </w:r>
      <w:r w:rsidRPr="00BC7B14">
        <w:t>[</w:t>
      </w:r>
      <w:r w:rsidR="004F22D6" w:rsidRPr="00BC7B14">
        <w:t>R1-2102125</w:t>
      </w:r>
      <w:r w:rsidRPr="00BC7B14">
        <w:t>]</w:t>
      </w:r>
      <w:r>
        <w:t xml:space="preserve"> indicated the following on the </w:t>
      </w:r>
      <w:r w:rsidRPr="00995C29">
        <w:t>CORESET and search space for monitoring the PDCCH addressed to the C-RNTI after successful completion of the RACH procedure during RA-SDT</w:t>
      </w:r>
      <w:r>
        <w:t>:</w:t>
      </w:r>
    </w:p>
    <w:p w14:paraId="66424E64" w14:textId="77777777" w:rsidR="00D61D72" w:rsidRDefault="00D61D72" w:rsidP="00AB4C0E">
      <w:pPr>
        <w:ind w:left="720"/>
        <w:jc w:val="both"/>
      </w:pPr>
      <w:r w:rsidRPr="00995C29">
        <w:rPr>
          <w:i/>
          <w:iCs/>
        </w:rPr>
        <w:t xml:space="preserve">“From RAN1 perspective, the existing type-1 PDCCH CSS used for random access can be reused but it may impose higher PDCCH blocking rate and impact to the legacy UE performing random access, so at least a new search space that is different from the existing CSS should be supported for RA-SDT. </w:t>
      </w:r>
      <w:bookmarkStart w:id="198" w:name="_Hlk67040192"/>
      <w:r w:rsidRPr="00CA38D4">
        <w:rPr>
          <w:rFonts w:hint="eastAsia"/>
          <w:b/>
          <w:bCs/>
          <w:i/>
          <w:iCs/>
        </w:rPr>
        <w:t xml:space="preserve">It is feasible from RAN1 perspective to use either </w:t>
      </w:r>
      <w:r w:rsidRPr="00CA38D4">
        <w:rPr>
          <w:b/>
          <w:bCs/>
          <w:i/>
          <w:iCs/>
        </w:rPr>
        <w:t xml:space="preserve">a new common search space </w:t>
      </w:r>
      <w:r w:rsidRPr="00CA38D4">
        <w:rPr>
          <w:rFonts w:hint="eastAsia"/>
          <w:b/>
          <w:bCs/>
          <w:i/>
          <w:iCs/>
        </w:rPr>
        <w:t>or a</w:t>
      </w:r>
      <w:r w:rsidRPr="00CA38D4">
        <w:rPr>
          <w:b/>
          <w:bCs/>
          <w:i/>
          <w:iCs/>
        </w:rPr>
        <w:t xml:space="preserve"> UE-specific search space, </w:t>
      </w:r>
      <w:r w:rsidRPr="00CA38D4">
        <w:rPr>
          <w:rFonts w:hint="eastAsia"/>
          <w:b/>
          <w:bCs/>
          <w:i/>
          <w:iCs/>
        </w:rPr>
        <w:t xml:space="preserve">thus </w:t>
      </w:r>
      <w:r w:rsidRPr="003B7500">
        <w:rPr>
          <w:rFonts w:hint="eastAsia"/>
          <w:b/>
          <w:bCs/>
          <w:i/>
          <w:iCs/>
          <w:u w:val="single"/>
        </w:rPr>
        <w:t>it can be up to</w:t>
      </w:r>
      <w:r w:rsidRPr="003B7500">
        <w:rPr>
          <w:b/>
          <w:bCs/>
          <w:i/>
          <w:iCs/>
          <w:u w:val="single"/>
        </w:rPr>
        <w:t xml:space="preserve"> RAN2 to make the decision</w:t>
      </w:r>
      <w:bookmarkEnd w:id="198"/>
      <w:r w:rsidRPr="00CA38D4">
        <w:rPr>
          <w:b/>
          <w:bCs/>
          <w:i/>
          <w:iCs/>
        </w:rPr>
        <w:t>.</w:t>
      </w:r>
      <w:r w:rsidRPr="00995C29">
        <w:rPr>
          <w:i/>
          <w:iCs/>
        </w:rPr>
        <w:t xml:space="preserve"> </w:t>
      </w:r>
      <w:r w:rsidRPr="006C2F6B">
        <w:rPr>
          <w:b/>
          <w:bCs/>
          <w:i/>
          <w:iCs/>
        </w:rPr>
        <w:t>The configuration of CORESET will be further discussed, basically following the same design logic for search space.</w:t>
      </w:r>
      <w:r>
        <w:t>”</w:t>
      </w:r>
    </w:p>
    <w:p w14:paraId="0770AA16" w14:textId="4C91A824" w:rsidR="00D61D72" w:rsidRDefault="00F334C6" w:rsidP="00AB4C0E">
      <w:pPr>
        <w:jc w:val="both"/>
      </w:pPr>
      <w:r>
        <w:t xml:space="preserve">Possible </w:t>
      </w:r>
      <w:r w:rsidR="001642C1">
        <w:t>ways for the</w:t>
      </w:r>
      <w:r w:rsidR="00D61D72">
        <w:t xml:space="preserve"> network </w:t>
      </w:r>
      <w:r>
        <w:t>to</w:t>
      </w:r>
      <w:r w:rsidR="00D61D72">
        <w:t xml:space="preserve"> updat</w:t>
      </w:r>
      <w:r w:rsidR="0045333B">
        <w:t>e</w:t>
      </w:r>
      <w:r w:rsidR="00D61D72">
        <w:t xml:space="preserve"> </w:t>
      </w:r>
      <w:r w:rsidR="0045333B">
        <w:t>SDT related</w:t>
      </w:r>
      <w:r w:rsidR="00D61D72">
        <w:t xml:space="preserve"> configuration</w:t>
      </w:r>
      <w:r w:rsidR="00B51556">
        <w:t xml:space="preserve"> are</w:t>
      </w:r>
      <w:r w:rsidR="00D61D72">
        <w:t>:</w:t>
      </w:r>
    </w:p>
    <w:p w14:paraId="0839CFB5" w14:textId="4FEA005D" w:rsidR="00D61D72" w:rsidRPr="003211D2" w:rsidRDefault="00AB2ED8" w:rsidP="001F4A7E">
      <w:pPr>
        <w:pStyle w:val="ListParagraph"/>
        <w:numPr>
          <w:ilvl w:val="0"/>
          <w:numId w:val="12"/>
        </w:numPr>
        <w:jc w:val="both"/>
        <w:rPr>
          <w:rFonts w:ascii="Times New Roman" w:hAnsi="Times New Roman" w:cs="Times New Roman"/>
          <w:sz w:val="20"/>
          <w:szCs w:val="20"/>
        </w:rPr>
      </w:pPr>
      <w:r>
        <w:rPr>
          <w:rFonts w:ascii="Times New Roman" w:hAnsi="Times New Roman" w:cs="Times New Roman"/>
          <w:sz w:val="20"/>
          <w:szCs w:val="20"/>
        </w:rPr>
        <w:t>Broadcast</w:t>
      </w:r>
      <w:r w:rsidR="0088139B">
        <w:rPr>
          <w:rFonts w:ascii="Times New Roman" w:hAnsi="Times New Roman" w:cs="Times New Roman"/>
          <w:sz w:val="20"/>
          <w:szCs w:val="20"/>
        </w:rPr>
        <w:t xml:space="preserve"> signalling</w:t>
      </w:r>
      <w:r>
        <w:rPr>
          <w:rFonts w:ascii="Times New Roman" w:hAnsi="Times New Roman" w:cs="Times New Roman"/>
          <w:sz w:val="20"/>
          <w:szCs w:val="20"/>
        </w:rPr>
        <w:t xml:space="preserve">: </w:t>
      </w:r>
      <w:r w:rsidR="00D61D72" w:rsidRPr="004E5746">
        <w:rPr>
          <w:rFonts w:ascii="Times New Roman" w:hAnsi="Times New Roman" w:cs="Times New Roman"/>
          <w:sz w:val="20"/>
          <w:szCs w:val="20"/>
        </w:rPr>
        <w:t xml:space="preserve">SDT related configuration </w:t>
      </w:r>
      <w:r>
        <w:rPr>
          <w:rFonts w:ascii="Times New Roman" w:hAnsi="Times New Roman" w:cs="Times New Roman"/>
          <w:sz w:val="20"/>
          <w:szCs w:val="20"/>
        </w:rPr>
        <w:t>can be</w:t>
      </w:r>
      <w:r w:rsidR="00D61D72">
        <w:rPr>
          <w:rFonts w:ascii="Times New Roman" w:hAnsi="Times New Roman" w:cs="Times New Roman"/>
          <w:sz w:val="20"/>
          <w:szCs w:val="20"/>
        </w:rPr>
        <w:t xml:space="preserve"> updated o</w:t>
      </w:r>
      <w:r w:rsidR="00D61D72" w:rsidRPr="00D2480B">
        <w:rPr>
          <w:rFonts w:ascii="Times New Roman" w:hAnsi="Times New Roman" w:cs="Times New Roman"/>
          <w:sz w:val="20"/>
          <w:szCs w:val="20"/>
        </w:rPr>
        <w:t>utside the SDT session (before/after)</w:t>
      </w:r>
      <w:r w:rsidR="009B6B9E">
        <w:rPr>
          <w:rFonts w:ascii="Times New Roman" w:hAnsi="Times New Roman" w:cs="Times New Roman"/>
          <w:sz w:val="20"/>
          <w:szCs w:val="20"/>
        </w:rPr>
        <w:t>, while UE is INACTIVE</w:t>
      </w:r>
      <w:r>
        <w:rPr>
          <w:rFonts w:ascii="Times New Roman" w:hAnsi="Times New Roman" w:cs="Times New Roman"/>
          <w:sz w:val="20"/>
          <w:szCs w:val="20"/>
        </w:rPr>
        <w:t xml:space="preserve"> </w:t>
      </w:r>
      <w:r w:rsidR="00F1105D">
        <w:rPr>
          <w:rFonts w:ascii="Times New Roman" w:hAnsi="Times New Roman" w:cs="Times New Roman"/>
          <w:sz w:val="20"/>
          <w:szCs w:val="20"/>
        </w:rPr>
        <w:t>and</w:t>
      </w:r>
      <w:r w:rsidR="00D61D72">
        <w:rPr>
          <w:rFonts w:ascii="Times New Roman" w:hAnsi="Times New Roman" w:cs="Times New Roman"/>
          <w:sz w:val="20"/>
          <w:szCs w:val="20"/>
        </w:rPr>
        <w:t xml:space="preserve"> </w:t>
      </w:r>
      <w:r w:rsidR="00F1105D">
        <w:rPr>
          <w:rFonts w:ascii="Times New Roman" w:hAnsi="Times New Roman" w:cs="Times New Roman"/>
          <w:sz w:val="20"/>
          <w:szCs w:val="20"/>
        </w:rPr>
        <w:t xml:space="preserve">when </w:t>
      </w:r>
      <w:r w:rsidR="00D61D72">
        <w:rPr>
          <w:rFonts w:ascii="Times New Roman" w:hAnsi="Times New Roman" w:cs="Times New Roman"/>
          <w:sz w:val="20"/>
          <w:szCs w:val="20"/>
        </w:rPr>
        <w:t>UE res</w:t>
      </w:r>
      <w:r w:rsidR="00D61D72" w:rsidRPr="003211D2">
        <w:rPr>
          <w:rFonts w:ascii="Times New Roman" w:hAnsi="Times New Roman" w:cs="Times New Roman"/>
          <w:sz w:val="20"/>
          <w:szCs w:val="20"/>
        </w:rPr>
        <w:t xml:space="preserve">elects to a new cell. </w:t>
      </w:r>
      <w:r w:rsidR="00F648F6" w:rsidRPr="003211D2">
        <w:rPr>
          <w:rFonts w:ascii="Times New Roman" w:hAnsi="Times New Roman" w:cs="Times New Roman"/>
          <w:sz w:val="20"/>
          <w:szCs w:val="20"/>
        </w:rPr>
        <w:t xml:space="preserve">Moreover, </w:t>
      </w:r>
      <w:r w:rsidR="0045333B" w:rsidRPr="003211D2">
        <w:rPr>
          <w:rFonts w:ascii="Times New Roman" w:hAnsi="Times New Roman" w:cs="Times New Roman"/>
          <w:sz w:val="20"/>
          <w:szCs w:val="20"/>
        </w:rPr>
        <w:t>gNB could broad</w:t>
      </w:r>
      <w:r w:rsidR="00F03874" w:rsidRPr="003211D2">
        <w:rPr>
          <w:rFonts w:ascii="Times New Roman" w:hAnsi="Times New Roman" w:cs="Times New Roman"/>
          <w:sz w:val="20"/>
          <w:szCs w:val="20"/>
        </w:rPr>
        <w:t>cast a single or multiple sets</w:t>
      </w:r>
      <w:r w:rsidR="00F03874" w:rsidRPr="00507800">
        <w:rPr>
          <w:rFonts w:ascii="Times New Roman" w:hAnsi="Times New Roman" w:cs="Times New Roman"/>
          <w:sz w:val="20"/>
          <w:szCs w:val="20"/>
        </w:rPr>
        <w:t xml:space="preserve"> of SDT configurations </w:t>
      </w:r>
      <w:r w:rsidR="00111B69" w:rsidRPr="00BC7B14">
        <w:rPr>
          <w:rFonts w:ascii="Times New Roman" w:hAnsi="Times New Roman" w:cs="Times New Roman"/>
          <w:sz w:val="20"/>
          <w:szCs w:val="20"/>
        </w:rPr>
        <w:t xml:space="preserve">for different sets of UEs based for example on </w:t>
      </w:r>
      <w:r w:rsidR="00F20E2C" w:rsidRPr="00BC7B14">
        <w:rPr>
          <w:rFonts w:ascii="Times New Roman" w:hAnsi="Times New Roman" w:cs="Times New Roman"/>
          <w:sz w:val="20"/>
          <w:szCs w:val="20"/>
        </w:rPr>
        <w:t xml:space="preserve">some group </w:t>
      </w:r>
      <w:r w:rsidR="00111B69" w:rsidRPr="00BC7B14">
        <w:rPr>
          <w:rFonts w:ascii="Times New Roman" w:hAnsi="Times New Roman" w:cs="Times New Roman"/>
          <w:sz w:val="20"/>
          <w:szCs w:val="20"/>
        </w:rPr>
        <w:t>ID</w:t>
      </w:r>
      <w:r w:rsidR="00F03874" w:rsidRPr="003211D2">
        <w:rPr>
          <w:rFonts w:ascii="Times New Roman" w:hAnsi="Times New Roman" w:cs="Times New Roman"/>
          <w:sz w:val="20"/>
          <w:szCs w:val="20"/>
        </w:rPr>
        <w:t>.</w:t>
      </w:r>
      <w:r w:rsidR="0088139B" w:rsidRPr="003211D2">
        <w:rPr>
          <w:rFonts w:ascii="Times New Roman" w:hAnsi="Times New Roman" w:cs="Times New Roman"/>
          <w:sz w:val="20"/>
          <w:szCs w:val="20"/>
        </w:rPr>
        <w:t xml:space="preserve"> This would allow enabling the “new common search space”. </w:t>
      </w:r>
    </w:p>
    <w:p w14:paraId="31F57416" w14:textId="7127717F" w:rsidR="006F3307" w:rsidRPr="00D04ED7" w:rsidRDefault="00F1105D" w:rsidP="001F4A7E">
      <w:pPr>
        <w:pStyle w:val="ListParagraph"/>
        <w:numPr>
          <w:ilvl w:val="0"/>
          <w:numId w:val="12"/>
        </w:numPr>
        <w:jc w:val="both"/>
        <w:rPr>
          <w:rFonts w:ascii="Times New Roman" w:hAnsi="Times New Roman" w:cs="Times New Roman"/>
          <w:sz w:val="20"/>
          <w:szCs w:val="20"/>
        </w:rPr>
      </w:pPr>
      <w:r w:rsidRPr="003211D2">
        <w:rPr>
          <w:rFonts w:ascii="Times New Roman" w:hAnsi="Times New Roman" w:cs="Times New Roman"/>
          <w:sz w:val="20"/>
          <w:szCs w:val="20"/>
        </w:rPr>
        <w:t xml:space="preserve">Dedicated signalling: </w:t>
      </w:r>
      <w:r w:rsidR="00D61D72" w:rsidRPr="003211D2">
        <w:rPr>
          <w:rFonts w:ascii="Times New Roman" w:hAnsi="Times New Roman" w:cs="Times New Roman"/>
          <w:sz w:val="20"/>
          <w:szCs w:val="20"/>
        </w:rPr>
        <w:t>SDT related configuration</w:t>
      </w:r>
      <w:r w:rsidR="00D61D72" w:rsidRPr="001642C1">
        <w:rPr>
          <w:rFonts w:ascii="Times New Roman" w:hAnsi="Times New Roman" w:cs="Times New Roman"/>
          <w:sz w:val="20"/>
          <w:szCs w:val="20"/>
        </w:rPr>
        <w:t xml:space="preserve"> </w:t>
      </w:r>
      <w:r w:rsidR="00D61D72" w:rsidRPr="00D04ED7">
        <w:rPr>
          <w:rFonts w:ascii="Times New Roman" w:hAnsi="Times New Roman" w:cs="Times New Roman"/>
          <w:sz w:val="20"/>
          <w:szCs w:val="20"/>
        </w:rPr>
        <w:t xml:space="preserve">is updated </w:t>
      </w:r>
      <w:r w:rsidR="00B4427E">
        <w:rPr>
          <w:rFonts w:ascii="Times New Roman" w:hAnsi="Times New Roman" w:cs="Times New Roman"/>
          <w:sz w:val="20"/>
          <w:szCs w:val="20"/>
        </w:rPr>
        <w:t xml:space="preserve">at the beginning of an </w:t>
      </w:r>
      <w:r w:rsidR="00D61D72" w:rsidRPr="00D04ED7">
        <w:rPr>
          <w:rFonts w:ascii="Times New Roman" w:hAnsi="Times New Roman" w:cs="Times New Roman"/>
          <w:sz w:val="20"/>
          <w:szCs w:val="20"/>
        </w:rPr>
        <w:t xml:space="preserve">SDT session. </w:t>
      </w:r>
      <w:r w:rsidR="008B55B1" w:rsidRPr="00C91975">
        <w:rPr>
          <w:rFonts w:ascii="Times New Roman" w:hAnsi="Times New Roman" w:cs="Times New Roman"/>
          <w:sz w:val="20"/>
          <w:szCs w:val="20"/>
        </w:rPr>
        <w:t>This can be done via dedicated</w:t>
      </w:r>
      <w:r w:rsidR="008B55B1" w:rsidRPr="00D04ED7">
        <w:rPr>
          <w:rFonts w:ascii="Times New Roman" w:hAnsi="Times New Roman" w:cs="Times New Roman"/>
          <w:sz w:val="20"/>
          <w:szCs w:val="20"/>
        </w:rPr>
        <w:t xml:space="preserve"> signaling</w:t>
      </w:r>
      <w:r w:rsidR="008B55B1" w:rsidRPr="00C7711B">
        <w:rPr>
          <w:rFonts w:ascii="Times New Roman" w:hAnsi="Times New Roman" w:cs="Times New Roman"/>
          <w:sz w:val="20"/>
          <w:szCs w:val="20"/>
        </w:rPr>
        <w:t xml:space="preserve"> which can provide more flexibility and minimize the impact on the legacy system (e.g., reduction of the blocking probability compared to common search space/CO</w:t>
      </w:r>
      <w:r w:rsidR="008B55B1" w:rsidRPr="00C91975">
        <w:rPr>
          <w:rFonts w:ascii="Times New Roman" w:hAnsi="Times New Roman" w:cs="Times New Roman"/>
          <w:sz w:val="20"/>
          <w:szCs w:val="20"/>
        </w:rPr>
        <w:t>RESET). However, it can add signaling overhead to each SDT session wh</w:t>
      </w:r>
      <w:r w:rsidR="0044070E">
        <w:rPr>
          <w:rFonts w:ascii="Times New Roman" w:hAnsi="Times New Roman" w:cs="Times New Roman"/>
          <w:sz w:val="20"/>
          <w:szCs w:val="20"/>
        </w:rPr>
        <w:t>ere the</w:t>
      </w:r>
      <w:r w:rsidR="008B55B1" w:rsidRPr="00C91975">
        <w:rPr>
          <w:rFonts w:ascii="Times New Roman" w:hAnsi="Times New Roman" w:cs="Times New Roman"/>
          <w:sz w:val="20"/>
          <w:szCs w:val="20"/>
        </w:rPr>
        <w:t xml:space="preserve"> </w:t>
      </w:r>
      <w:r w:rsidR="006F3307" w:rsidRPr="00C91975">
        <w:rPr>
          <w:rFonts w:ascii="Times New Roman" w:hAnsi="Times New Roman" w:cs="Times New Roman"/>
          <w:sz w:val="20"/>
          <w:szCs w:val="20"/>
        </w:rPr>
        <w:t xml:space="preserve">main motivation was </w:t>
      </w:r>
      <w:r w:rsidR="008B55B1" w:rsidRPr="00C91975">
        <w:rPr>
          <w:rFonts w:ascii="Times New Roman" w:hAnsi="Times New Roman" w:cs="Times New Roman"/>
          <w:sz w:val="20"/>
          <w:szCs w:val="20"/>
        </w:rPr>
        <w:t>to reduce any unnecessary signaling.</w:t>
      </w:r>
      <w:r w:rsidR="008B55B1" w:rsidRPr="00E67839">
        <w:t xml:space="preserve"> </w:t>
      </w:r>
      <w:r w:rsidR="0088139B">
        <w:rPr>
          <w:rFonts w:ascii="Times New Roman" w:hAnsi="Times New Roman" w:cs="Times New Roman"/>
          <w:sz w:val="20"/>
          <w:szCs w:val="20"/>
        </w:rPr>
        <w:t>This would allow enabling the “UE specific search space”.</w:t>
      </w:r>
    </w:p>
    <w:p w14:paraId="156C3590" w14:textId="02D6E807" w:rsidR="00801203" w:rsidRDefault="006A5476" w:rsidP="00AB4C0E">
      <w:pPr>
        <w:jc w:val="both"/>
      </w:pPr>
      <w:r>
        <w:t xml:space="preserve">To avoid overheads during SDT session, </w:t>
      </w:r>
      <w:r w:rsidR="00371C00">
        <w:t xml:space="preserve">option </w:t>
      </w:r>
      <w:r w:rsidR="0088139B">
        <w:t>(A) looks preferable from RAN2 point of view. Option (B)</w:t>
      </w:r>
      <w:r w:rsidR="00371C00">
        <w:t xml:space="preserve"> should</w:t>
      </w:r>
      <w:r w:rsidR="0088139B">
        <w:t xml:space="preserve"> only</w:t>
      </w:r>
      <w:r w:rsidR="00371C00">
        <w:t xml:space="preserve"> be considered if option A is not sufficient based on RAN1 input.  </w:t>
      </w:r>
    </w:p>
    <w:p w14:paraId="4FAD0648" w14:textId="193D4C58" w:rsidR="00FA0D55" w:rsidRDefault="00FA0D55" w:rsidP="00AB4C0E">
      <w:pPr>
        <w:pStyle w:val="observ"/>
        <w:ind w:left="360"/>
      </w:pPr>
      <w:bookmarkStart w:id="199" w:name="_Toc68054657"/>
      <w:bookmarkStart w:id="200" w:name="_Toc68055270"/>
      <w:bookmarkStart w:id="201" w:name="_Toc68204618"/>
      <w:bookmarkStart w:id="202" w:name="_Toc68204878"/>
      <w:bookmarkStart w:id="203" w:name="_Toc68205722"/>
      <w:bookmarkStart w:id="204" w:name="_Toc71326950"/>
      <w:bookmarkStart w:id="205" w:name="_Toc71402927"/>
      <w:bookmarkStart w:id="206" w:name="_Toc71569648"/>
      <w:bookmarkStart w:id="207" w:name="_Toc71570064"/>
      <w:r>
        <w:lastRenderedPageBreak/>
        <w:t>From RAN2 point of view, broadcast signaling is preferable when updating SDT related configuration; however dedicated signaling can be reconsidered if RAN1 requires it for SDT operation.</w:t>
      </w:r>
      <w:bookmarkEnd w:id="199"/>
      <w:bookmarkEnd w:id="200"/>
      <w:bookmarkEnd w:id="201"/>
      <w:bookmarkEnd w:id="202"/>
      <w:bookmarkEnd w:id="203"/>
      <w:bookmarkEnd w:id="204"/>
      <w:bookmarkEnd w:id="205"/>
      <w:bookmarkEnd w:id="206"/>
      <w:bookmarkEnd w:id="207"/>
    </w:p>
    <w:p w14:paraId="326E9C14" w14:textId="7C45FCDE" w:rsidR="0088139B" w:rsidRDefault="0088139B" w:rsidP="00AB4C0E">
      <w:pPr>
        <w:pStyle w:val="Proposal"/>
        <w:numPr>
          <w:ilvl w:val="0"/>
          <w:numId w:val="4"/>
        </w:numPr>
      </w:pPr>
      <w:bookmarkStart w:id="208" w:name="_Toc68054675"/>
      <w:bookmarkStart w:id="209" w:name="_Toc68055288"/>
      <w:bookmarkStart w:id="210" w:name="_Toc68204637"/>
      <w:bookmarkStart w:id="211" w:name="_Toc68204895"/>
      <w:bookmarkStart w:id="212" w:name="_Toc68205695"/>
      <w:bookmarkStart w:id="213" w:name="_Toc71326958"/>
      <w:bookmarkStart w:id="214" w:name="_Toc71402935"/>
      <w:bookmarkStart w:id="215" w:name="_Toc71569656"/>
      <w:bookmarkStart w:id="216" w:name="_Toc71570044"/>
      <w:r>
        <w:t>From RAN2 point of view, it is preferable that a UE in RRC_INACTIVE only get</w:t>
      </w:r>
      <w:r w:rsidR="003211D2">
        <w:t>s</w:t>
      </w:r>
      <w:r>
        <w:t xml:space="preserve"> new configuration/parameters via broadcast signaling</w:t>
      </w:r>
      <w:r w:rsidDel="00056515">
        <w:t xml:space="preserve"> </w:t>
      </w:r>
      <w:r>
        <w:t xml:space="preserve">to update stored configurations used for SDT operation (such as, </w:t>
      </w:r>
      <w:r w:rsidR="003211D2">
        <w:t xml:space="preserve">common </w:t>
      </w:r>
      <w:r>
        <w:t>search space</w:t>
      </w:r>
      <w:r w:rsidR="003211D2">
        <w:t xml:space="preserve"> and</w:t>
      </w:r>
      <w:r>
        <w:t xml:space="preserve"> CORESET).</w:t>
      </w:r>
      <w:bookmarkEnd w:id="208"/>
      <w:bookmarkEnd w:id="209"/>
      <w:bookmarkEnd w:id="210"/>
      <w:bookmarkEnd w:id="211"/>
      <w:bookmarkEnd w:id="212"/>
      <w:bookmarkEnd w:id="213"/>
      <w:bookmarkEnd w:id="214"/>
      <w:bookmarkEnd w:id="215"/>
      <w:bookmarkEnd w:id="216"/>
      <w:r>
        <w:t xml:space="preserve"> </w:t>
      </w:r>
    </w:p>
    <w:p w14:paraId="6C26AF36" w14:textId="6513ECE2" w:rsidR="00E008B4" w:rsidRDefault="00C12C75" w:rsidP="00BC7B14">
      <w:r>
        <w:t xml:space="preserve">Update of the other stored </w:t>
      </w:r>
      <w:r w:rsidR="003E4EBB">
        <w:t xml:space="preserve">UE configuration is not essential during an SDT session and should not be supported.  </w:t>
      </w:r>
    </w:p>
    <w:p w14:paraId="18639911" w14:textId="58B4B082" w:rsidR="00D61D72" w:rsidRDefault="00D61D72" w:rsidP="00AB4C0E">
      <w:pPr>
        <w:pStyle w:val="Proposal"/>
        <w:numPr>
          <w:ilvl w:val="0"/>
          <w:numId w:val="4"/>
        </w:numPr>
      </w:pPr>
      <w:bookmarkStart w:id="217" w:name="_Toc68204638"/>
      <w:bookmarkStart w:id="218" w:name="_Toc68054676"/>
      <w:bookmarkStart w:id="219" w:name="_Toc68055289"/>
      <w:bookmarkStart w:id="220" w:name="_Toc67870088"/>
      <w:bookmarkStart w:id="221" w:name="_Toc67870174"/>
      <w:bookmarkStart w:id="222" w:name="_Toc67954603"/>
      <w:bookmarkStart w:id="223" w:name="_Toc68204639"/>
      <w:bookmarkStart w:id="224" w:name="_Toc68204896"/>
      <w:bookmarkStart w:id="225" w:name="_Toc68205696"/>
      <w:bookmarkStart w:id="226" w:name="_Toc71326959"/>
      <w:bookmarkStart w:id="227" w:name="_Toc71402936"/>
      <w:bookmarkStart w:id="228" w:name="_Toc71569657"/>
      <w:bookmarkStart w:id="229" w:name="_Toc71570045"/>
      <w:bookmarkEnd w:id="217"/>
      <w:r>
        <w:t>gNB cannot update any of the stored configuration</w:t>
      </w:r>
      <w:r w:rsidR="001F6604">
        <w:t xml:space="preserve"> for a UE in RRC_INACTIVE</w:t>
      </w:r>
      <w:r>
        <w:t xml:space="preserve"> that is not re-stored during the SDT session</w:t>
      </w:r>
      <w:r w:rsidR="006C3902">
        <w:t xml:space="preserve"> (i.e., not related to SDT transfer)</w:t>
      </w:r>
      <w:r>
        <w:t>.</w:t>
      </w:r>
      <w:bookmarkEnd w:id="218"/>
      <w:bookmarkEnd w:id="219"/>
      <w:bookmarkEnd w:id="220"/>
      <w:bookmarkEnd w:id="221"/>
      <w:bookmarkEnd w:id="222"/>
      <w:bookmarkEnd w:id="223"/>
      <w:bookmarkEnd w:id="224"/>
      <w:bookmarkEnd w:id="225"/>
      <w:bookmarkEnd w:id="226"/>
      <w:bookmarkEnd w:id="227"/>
      <w:bookmarkEnd w:id="228"/>
      <w:bookmarkEnd w:id="229"/>
    </w:p>
    <w:p w14:paraId="168EF93B" w14:textId="533ADCB9" w:rsidR="000506AD" w:rsidRPr="00E67839" w:rsidRDefault="000506AD" w:rsidP="00AB4C0E">
      <w:pPr>
        <w:jc w:val="both"/>
        <w:rPr>
          <w:lang w:val="en-GB"/>
        </w:rPr>
      </w:pPr>
    </w:p>
    <w:p w14:paraId="5276C431" w14:textId="0A05E1D5" w:rsidR="00B22AC1" w:rsidRDefault="00486A55" w:rsidP="00AB4C0E">
      <w:pPr>
        <w:pStyle w:val="Heading2"/>
        <w:jc w:val="both"/>
        <w:rPr>
          <w:noProof w:val="0"/>
          <w:lang w:val="en-US"/>
        </w:rPr>
      </w:pPr>
      <w:r w:rsidRPr="00E86C96">
        <w:rPr>
          <w:noProof w:val="0"/>
          <w:lang w:val="en-US"/>
        </w:rPr>
        <w:t xml:space="preserve">UE </w:t>
      </w:r>
      <w:r w:rsidR="00400B73">
        <w:rPr>
          <w:noProof w:val="0"/>
          <w:lang w:val="en-US"/>
        </w:rPr>
        <w:t>behaviour</w:t>
      </w:r>
      <w:r w:rsidR="005C630F" w:rsidRPr="00E86C96">
        <w:rPr>
          <w:noProof w:val="0"/>
          <w:lang w:val="en-US"/>
        </w:rPr>
        <w:t xml:space="preserve"> during SDT s</w:t>
      </w:r>
      <w:r w:rsidR="00A8050E" w:rsidRPr="00E86C96">
        <w:rPr>
          <w:noProof w:val="0"/>
          <w:lang w:val="en-US"/>
        </w:rPr>
        <w:t>ession</w:t>
      </w:r>
    </w:p>
    <w:p w14:paraId="0E92B6A2" w14:textId="778818A4" w:rsidR="00004042" w:rsidRDefault="00B22AC1" w:rsidP="00AB4C0E">
      <w:pPr>
        <w:jc w:val="both"/>
      </w:pPr>
      <w:r>
        <w:t>This section aims to summarize the</w:t>
      </w:r>
      <w:r w:rsidRPr="00B22AC1">
        <w:t xml:space="preserve"> UE behaviour during ongoing SDT session </w:t>
      </w:r>
      <w:r w:rsidR="00BB2ED7">
        <w:t xml:space="preserve">including </w:t>
      </w:r>
      <w:r w:rsidR="008A1E35">
        <w:t xml:space="preserve">whether the point was already covered by a previous RAN2 agreement or </w:t>
      </w:r>
      <w:r w:rsidR="00110608">
        <w:t>new agre</w:t>
      </w:r>
      <w:r w:rsidR="00921A55">
        <w:t>ement may be desirable in preparation</w:t>
      </w:r>
      <w:r w:rsidR="0039360A">
        <w:t xml:space="preserve"> for the</w:t>
      </w:r>
      <w:bookmarkStart w:id="230" w:name="_Hlk67864118"/>
      <w:r w:rsidR="0039360A">
        <w:t xml:space="preserve"> related</w:t>
      </w:r>
      <w:r w:rsidR="00B354ED">
        <w:t xml:space="preserve"> </w:t>
      </w:r>
      <w:r>
        <w:t>stage-3</w:t>
      </w:r>
      <w:r w:rsidRPr="00B22AC1">
        <w:t xml:space="preserve"> </w:t>
      </w:r>
      <w:bookmarkEnd w:id="230"/>
      <w:r w:rsidR="0039360A">
        <w:t>work to come</w:t>
      </w:r>
      <w:r>
        <w:t>.</w:t>
      </w:r>
      <w:r w:rsidR="00A73F4E">
        <w:t xml:space="preserve"> Table below shows in </w:t>
      </w:r>
      <w:r w:rsidR="00A73F4E" w:rsidRPr="00E67839">
        <w:rPr>
          <w:color w:val="0000CC"/>
        </w:rPr>
        <w:t xml:space="preserve">blue </w:t>
      </w:r>
      <w:r w:rsidR="00A73F4E">
        <w:t xml:space="preserve">those </w:t>
      </w:r>
      <w:r w:rsidR="006573D0">
        <w:t xml:space="preserve">rows with </w:t>
      </w:r>
      <w:r w:rsidR="00A73F4E">
        <w:t xml:space="preserve">straightforward operation that </w:t>
      </w:r>
      <w:r w:rsidR="00D16D5E">
        <w:t>c</w:t>
      </w:r>
      <w:r w:rsidR="00A73F4E">
        <w:t>ould be concluded</w:t>
      </w:r>
      <w:r w:rsidR="0086675C">
        <w:t xml:space="preserve"> (</w:t>
      </w:r>
      <w:r w:rsidR="006573D0">
        <w:t>as proposed below)</w:t>
      </w:r>
      <w:r w:rsidR="0056162F">
        <w:t xml:space="preserve"> and </w:t>
      </w:r>
      <w:r w:rsidR="00606130">
        <w:t xml:space="preserve">in </w:t>
      </w:r>
      <w:r w:rsidR="00606130" w:rsidRPr="00FC6CD5">
        <w:rPr>
          <w:color w:val="C00000"/>
        </w:rPr>
        <w:t xml:space="preserve">red </w:t>
      </w:r>
      <w:r w:rsidR="00606130">
        <w:t>those that are</w:t>
      </w:r>
      <w:r w:rsidR="0056162F">
        <w:t xml:space="preserve"> discussed separately in more detailed</w:t>
      </w:r>
      <w:r w:rsidR="00A73F4E">
        <w:t>.</w:t>
      </w:r>
    </w:p>
    <w:p w14:paraId="00EEB243" w14:textId="4D8A711D" w:rsidR="003B4457" w:rsidRPr="00927434" w:rsidRDefault="003B4457" w:rsidP="00EB5FE1">
      <w:pPr>
        <w:pStyle w:val="Caption"/>
        <w:keepNext/>
        <w:spacing w:after="60"/>
        <w:jc w:val="center"/>
        <w:rPr>
          <w:i w:val="0"/>
          <w:iCs w:val="0"/>
          <w:color w:val="auto"/>
          <w:sz w:val="20"/>
          <w:szCs w:val="20"/>
        </w:rPr>
      </w:pPr>
      <w:bookmarkStart w:id="231" w:name="_Ref67864178"/>
      <w:r w:rsidRPr="00927434">
        <w:rPr>
          <w:i w:val="0"/>
          <w:iCs w:val="0"/>
          <w:color w:val="auto"/>
          <w:sz w:val="20"/>
          <w:szCs w:val="20"/>
        </w:rPr>
        <w:t xml:space="preserve">Table </w:t>
      </w:r>
      <w:r w:rsidRPr="00927434">
        <w:rPr>
          <w:i w:val="0"/>
          <w:iCs w:val="0"/>
          <w:color w:val="auto"/>
          <w:sz w:val="20"/>
          <w:szCs w:val="20"/>
        </w:rPr>
        <w:fldChar w:fldCharType="begin"/>
      </w:r>
      <w:r w:rsidRPr="00927434">
        <w:rPr>
          <w:i w:val="0"/>
          <w:iCs w:val="0"/>
          <w:color w:val="auto"/>
          <w:sz w:val="20"/>
          <w:szCs w:val="20"/>
        </w:rPr>
        <w:instrText xml:space="preserve"> SEQ Table \* ARABIC </w:instrText>
      </w:r>
      <w:r w:rsidRPr="00927434">
        <w:rPr>
          <w:i w:val="0"/>
          <w:iCs w:val="0"/>
          <w:color w:val="auto"/>
          <w:sz w:val="20"/>
          <w:szCs w:val="20"/>
        </w:rPr>
        <w:fldChar w:fldCharType="separate"/>
      </w:r>
      <w:r w:rsidR="008624B8">
        <w:rPr>
          <w:i w:val="0"/>
          <w:iCs w:val="0"/>
          <w:noProof/>
          <w:color w:val="auto"/>
          <w:sz w:val="20"/>
          <w:szCs w:val="20"/>
        </w:rPr>
        <w:t>1</w:t>
      </w:r>
      <w:r w:rsidRPr="00927434">
        <w:rPr>
          <w:i w:val="0"/>
          <w:iCs w:val="0"/>
          <w:color w:val="auto"/>
          <w:sz w:val="20"/>
          <w:szCs w:val="20"/>
        </w:rPr>
        <w:fldChar w:fldCharType="end"/>
      </w:r>
      <w:bookmarkEnd w:id="231"/>
      <w:r w:rsidRPr="00927434">
        <w:rPr>
          <w:i w:val="0"/>
          <w:iCs w:val="0"/>
          <w:color w:val="auto"/>
          <w:sz w:val="20"/>
          <w:szCs w:val="20"/>
        </w:rPr>
        <w:t>.</w:t>
      </w:r>
      <w:r w:rsidR="00DD048B" w:rsidRPr="00927434">
        <w:rPr>
          <w:i w:val="0"/>
          <w:iCs w:val="0"/>
          <w:color w:val="auto"/>
          <w:sz w:val="20"/>
          <w:szCs w:val="20"/>
        </w:rPr>
        <w:t xml:space="preserve"> Operation of a UE in RRC_INACTIVE during </w:t>
      </w:r>
      <w:r w:rsidR="00D83754">
        <w:rPr>
          <w:i w:val="0"/>
          <w:iCs w:val="0"/>
          <w:color w:val="auto"/>
          <w:sz w:val="20"/>
          <w:szCs w:val="20"/>
        </w:rPr>
        <w:t>an</w:t>
      </w:r>
      <w:r w:rsidR="00D83754" w:rsidRPr="00927434">
        <w:rPr>
          <w:i w:val="0"/>
          <w:iCs w:val="0"/>
          <w:color w:val="auto"/>
          <w:sz w:val="20"/>
          <w:szCs w:val="20"/>
        </w:rPr>
        <w:t xml:space="preserve"> </w:t>
      </w:r>
      <w:r w:rsidR="00DD048B" w:rsidRPr="00927434">
        <w:rPr>
          <w:i w:val="0"/>
          <w:iCs w:val="0"/>
          <w:color w:val="auto"/>
          <w:sz w:val="20"/>
          <w:szCs w:val="20"/>
        </w:rPr>
        <w:t>SDT session</w:t>
      </w:r>
    </w:p>
    <w:tbl>
      <w:tblPr>
        <w:tblStyle w:val="TableGrid"/>
        <w:tblW w:w="5000" w:type="pct"/>
        <w:tblLook w:val="04A0" w:firstRow="1" w:lastRow="0" w:firstColumn="1" w:lastColumn="0" w:noHBand="0" w:noVBand="1"/>
      </w:tblPr>
      <w:tblGrid>
        <w:gridCol w:w="445"/>
        <w:gridCol w:w="4050"/>
        <w:gridCol w:w="4855"/>
      </w:tblGrid>
      <w:tr w:rsidR="00483471" w14:paraId="52B2EBB3" w14:textId="592A4135" w:rsidTr="00E67839">
        <w:tc>
          <w:tcPr>
            <w:tcW w:w="238" w:type="pct"/>
            <w:shd w:val="clear" w:color="auto" w:fill="BFBFBF" w:themeFill="background1" w:themeFillShade="BF"/>
            <w:vAlign w:val="center"/>
          </w:tcPr>
          <w:p w14:paraId="446BDD9F" w14:textId="5744D0E4" w:rsidR="00A10E8D" w:rsidRPr="00F3602F" w:rsidRDefault="00A10E8D" w:rsidP="00AB4C0E">
            <w:pPr>
              <w:spacing w:after="0"/>
              <w:jc w:val="both"/>
              <w:rPr>
                <w:b/>
                <w:bCs/>
              </w:rPr>
            </w:pPr>
            <w:r>
              <w:rPr>
                <w:b/>
                <w:bCs/>
              </w:rPr>
              <w:t>#</w:t>
            </w:r>
          </w:p>
        </w:tc>
        <w:tc>
          <w:tcPr>
            <w:tcW w:w="2166" w:type="pct"/>
            <w:shd w:val="clear" w:color="auto" w:fill="BFBFBF" w:themeFill="background1" w:themeFillShade="BF"/>
            <w:vAlign w:val="center"/>
          </w:tcPr>
          <w:p w14:paraId="18387B4B" w14:textId="56FD09C0" w:rsidR="00A10E8D" w:rsidRPr="003A43F1" w:rsidRDefault="00A10E8D" w:rsidP="00AB4C0E">
            <w:pPr>
              <w:spacing w:after="0"/>
              <w:jc w:val="both"/>
              <w:rPr>
                <w:b/>
                <w:bCs/>
              </w:rPr>
            </w:pPr>
            <w:r w:rsidRPr="003A43F1">
              <w:rPr>
                <w:b/>
                <w:bCs/>
              </w:rPr>
              <w:t>UE behaviour during ongoing SDT</w:t>
            </w:r>
            <w:r>
              <w:rPr>
                <w:b/>
                <w:bCs/>
              </w:rPr>
              <w:t xml:space="preserve"> session</w:t>
            </w:r>
          </w:p>
        </w:tc>
        <w:tc>
          <w:tcPr>
            <w:tcW w:w="2596" w:type="pct"/>
            <w:shd w:val="clear" w:color="auto" w:fill="BFBFBF" w:themeFill="background1" w:themeFillShade="BF"/>
            <w:vAlign w:val="center"/>
          </w:tcPr>
          <w:p w14:paraId="49DEA198" w14:textId="18FE0126" w:rsidR="00A10E8D" w:rsidRPr="003A43F1" w:rsidRDefault="003A7627" w:rsidP="00AB4C0E">
            <w:pPr>
              <w:spacing w:after="0"/>
              <w:jc w:val="both"/>
              <w:rPr>
                <w:b/>
                <w:bCs/>
              </w:rPr>
            </w:pPr>
            <w:r>
              <w:rPr>
                <w:b/>
                <w:bCs/>
              </w:rPr>
              <w:t xml:space="preserve">Justification or </w:t>
            </w:r>
            <w:r w:rsidR="0039360A">
              <w:rPr>
                <w:b/>
                <w:bCs/>
              </w:rPr>
              <w:t>RAN2 previous agreeme</w:t>
            </w:r>
            <w:r>
              <w:rPr>
                <w:b/>
                <w:bCs/>
              </w:rPr>
              <w:t>nt</w:t>
            </w:r>
          </w:p>
        </w:tc>
      </w:tr>
      <w:tr w:rsidR="00483471" w14:paraId="79903374" w14:textId="4353AF09" w:rsidTr="00E67839">
        <w:tc>
          <w:tcPr>
            <w:tcW w:w="238" w:type="pct"/>
          </w:tcPr>
          <w:p w14:paraId="035471AA" w14:textId="2AA52492" w:rsidR="00A10E8D" w:rsidRPr="00FD6029" w:rsidRDefault="00A10E8D" w:rsidP="00AB4C0E">
            <w:pPr>
              <w:spacing w:after="0"/>
              <w:jc w:val="both"/>
              <w:rPr>
                <w:b/>
                <w:bCs/>
              </w:rPr>
            </w:pPr>
            <w:r w:rsidRPr="00FD6029">
              <w:rPr>
                <w:b/>
                <w:bCs/>
              </w:rPr>
              <w:t>1</w:t>
            </w:r>
          </w:p>
        </w:tc>
        <w:tc>
          <w:tcPr>
            <w:tcW w:w="2166" w:type="pct"/>
          </w:tcPr>
          <w:p w14:paraId="35090BB8" w14:textId="63E9E890" w:rsidR="00A10E8D" w:rsidRDefault="00A10E8D" w:rsidP="00AB4C0E">
            <w:pPr>
              <w:spacing w:after="0"/>
              <w:jc w:val="both"/>
            </w:pPr>
            <w:r w:rsidRPr="00F3602F">
              <w:t>UE</w:t>
            </w:r>
            <w:r>
              <w:t xml:space="preserve"> in RRC_INACTIVE</w:t>
            </w:r>
            <w:r w:rsidRPr="00F3602F">
              <w:t xml:space="preserve"> can transmit and receive data on SDT configured bearers (where data segmentation and re-transmission is allowed like for a UE in </w:t>
            </w:r>
            <w:r>
              <w:t>RRC_</w:t>
            </w:r>
            <w:r w:rsidRPr="00F3602F">
              <w:t>CONNECTED)</w:t>
            </w:r>
          </w:p>
        </w:tc>
        <w:tc>
          <w:tcPr>
            <w:tcW w:w="2596" w:type="pct"/>
          </w:tcPr>
          <w:p w14:paraId="37135594" w14:textId="37A0F395" w:rsidR="00A10E8D" w:rsidRDefault="00FB3A30" w:rsidP="00AB4C0E">
            <w:pPr>
              <w:spacing w:after="0"/>
              <w:jc w:val="both"/>
            </w:pPr>
            <w:r>
              <w:t>RAN</w:t>
            </w:r>
            <w:r w:rsidR="00E650EC">
              <w:t>2 agreed on supporting multiple DL/UL SDT in same session</w:t>
            </w:r>
            <w:r w:rsidR="00FA0D55">
              <w:t xml:space="preserve"> without updating NCC. This implies that</w:t>
            </w:r>
            <w:r w:rsidR="002E436C">
              <w:t xml:space="preserve"> </w:t>
            </w:r>
            <w:r w:rsidR="00667244" w:rsidRPr="00F3602F">
              <w:t>data segmentation and re-transmission</w:t>
            </w:r>
            <w:r w:rsidR="00667244">
              <w:t xml:space="preserve"> </w:t>
            </w:r>
            <w:r w:rsidR="00527012">
              <w:t>is also</w:t>
            </w:r>
            <w:r w:rsidR="00667244">
              <w:t xml:space="preserve"> supported.</w:t>
            </w:r>
          </w:p>
        </w:tc>
      </w:tr>
      <w:tr w:rsidR="00483471" w14:paraId="023729AB" w14:textId="30D8E8ED" w:rsidTr="00E67839">
        <w:tc>
          <w:tcPr>
            <w:tcW w:w="238" w:type="pct"/>
          </w:tcPr>
          <w:p w14:paraId="798D2AF4" w14:textId="057A1684" w:rsidR="00A10E8D" w:rsidRPr="00FD6029" w:rsidRDefault="00A10E8D" w:rsidP="00AB4C0E">
            <w:pPr>
              <w:spacing w:after="0"/>
              <w:jc w:val="both"/>
              <w:rPr>
                <w:b/>
                <w:bCs/>
              </w:rPr>
            </w:pPr>
            <w:r w:rsidRPr="00FD6029">
              <w:rPr>
                <w:b/>
                <w:bCs/>
              </w:rPr>
              <w:t>2</w:t>
            </w:r>
          </w:p>
        </w:tc>
        <w:tc>
          <w:tcPr>
            <w:tcW w:w="2166" w:type="pct"/>
          </w:tcPr>
          <w:p w14:paraId="3F08160E" w14:textId="230FE36A" w:rsidR="00A10E8D" w:rsidRPr="00FC6CD5" w:rsidRDefault="00A10E8D" w:rsidP="00AB4C0E">
            <w:pPr>
              <w:spacing w:after="0"/>
              <w:jc w:val="both"/>
            </w:pPr>
            <w:r w:rsidRPr="00FC6CD5">
              <w:t xml:space="preserve">UE monitors PDCCH continuously </w:t>
            </w:r>
          </w:p>
        </w:tc>
        <w:tc>
          <w:tcPr>
            <w:tcW w:w="2596" w:type="pct"/>
          </w:tcPr>
          <w:p w14:paraId="3442E0F7" w14:textId="56819E84" w:rsidR="00A10E8D" w:rsidRPr="00FC6CD5" w:rsidRDefault="0075324D" w:rsidP="00AB4C0E">
            <w:pPr>
              <w:spacing w:after="0"/>
              <w:jc w:val="both"/>
            </w:pPr>
            <w:r w:rsidRPr="00FC6CD5">
              <w:t xml:space="preserve">RAN2 agreed on </w:t>
            </w:r>
            <w:r w:rsidR="00483471" w:rsidRPr="00FC6CD5">
              <w:t>monitoring of PDCCH after successful initiation of an SDT session</w:t>
            </w:r>
            <w:r w:rsidR="00A76235">
              <w:t xml:space="preserve"> and C-DRX is not supported for SDT (as agreed in RAN2#113bis-e)</w:t>
            </w:r>
            <w:r w:rsidR="009E2354" w:rsidRPr="00FC6CD5">
              <w:t>.</w:t>
            </w:r>
          </w:p>
        </w:tc>
      </w:tr>
      <w:tr w:rsidR="00483471" w14:paraId="69F43701" w14:textId="77777777" w:rsidTr="00E67839">
        <w:tc>
          <w:tcPr>
            <w:tcW w:w="238" w:type="pct"/>
          </w:tcPr>
          <w:p w14:paraId="78918E3B" w14:textId="1820EDFA" w:rsidR="00A10E8D" w:rsidRPr="00FD6029" w:rsidRDefault="00A10E8D" w:rsidP="00AB4C0E">
            <w:pPr>
              <w:spacing w:after="0"/>
              <w:jc w:val="both"/>
              <w:rPr>
                <w:b/>
                <w:bCs/>
              </w:rPr>
            </w:pPr>
            <w:r w:rsidRPr="00FD6029">
              <w:rPr>
                <w:b/>
                <w:bCs/>
              </w:rPr>
              <w:t>3</w:t>
            </w:r>
          </w:p>
        </w:tc>
        <w:tc>
          <w:tcPr>
            <w:tcW w:w="2166" w:type="pct"/>
          </w:tcPr>
          <w:p w14:paraId="030A7415" w14:textId="7604064B" w:rsidR="00A10E8D" w:rsidRPr="00E67839" w:rsidRDefault="00A10E8D" w:rsidP="00AB4C0E">
            <w:pPr>
              <w:spacing w:after="0"/>
              <w:jc w:val="both"/>
              <w:rPr>
                <w:color w:val="0000CC"/>
              </w:rPr>
            </w:pPr>
            <w:r w:rsidRPr="00E67839">
              <w:rPr>
                <w:color w:val="0000CC"/>
              </w:rPr>
              <w:t xml:space="preserve">UE-specific paging is not monitored </w:t>
            </w:r>
          </w:p>
        </w:tc>
        <w:tc>
          <w:tcPr>
            <w:tcW w:w="2596" w:type="pct"/>
          </w:tcPr>
          <w:p w14:paraId="43140CD7" w14:textId="1DCD5E68" w:rsidR="00A10E8D" w:rsidRPr="00E67839" w:rsidRDefault="00E033FB" w:rsidP="00AB4C0E">
            <w:pPr>
              <w:spacing w:after="0"/>
              <w:jc w:val="both"/>
              <w:rPr>
                <w:color w:val="0000CC"/>
              </w:rPr>
            </w:pPr>
            <w:r w:rsidRPr="00E67839">
              <w:rPr>
                <w:color w:val="0000CC"/>
              </w:rPr>
              <w:t xml:space="preserve">If there is DL data for the UE during an SDT session </w:t>
            </w:r>
            <w:r w:rsidR="00527012">
              <w:rPr>
                <w:color w:val="0000CC"/>
              </w:rPr>
              <w:t>(</w:t>
            </w:r>
            <w:r w:rsidRPr="00E67839">
              <w:rPr>
                <w:color w:val="0000CC"/>
              </w:rPr>
              <w:t xml:space="preserve">even for </w:t>
            </w:r>
            <w:r w:rsidR="00527012">
              <w:rPr>
                <w:color w:val="0000CC"/>
              </w:rPr>
              <w:t xml:space="preserve">non-SDT </w:t>
            </w:r>
            <w:r w:rsidRPr="00E67839">
              <w:rPr>
                <w:color w:val="0000CC"/>
              </w:rPr>
              <w:t>DRBs</w:t>
            </w:r>
            <w:r w:rsidR="00527012">
              <w:rPr>
                <w:color w:val="0000CC"/>
              </w:rPr>
              <w:t>)</w:t>
            </w:r>
            <w:r w:rsidRPr="00E67839">
              <w:rPr>
                <w:color w:val="0000CC"/>
              </w:rPr>
              <w:t>, network can move the UE to RRC_CONNECT</w:t>
            </w:r>
            <w:r w:rsidR="002B4028" w:rsidRPr="00E67839">
              <w:rPr>
                <w:color w:val="0000CC"/>
              </w:rPr>
              <w:t>ED</w:t>
            </w:r>
            <w:r w:rsidRPr="00E67839">
              <w:rPr>
                <w:color w:val="0000CC"/>
              </w:rPr>
              <w:t xml:space="preserve"> using Fallback to resume. </w:t>
            </w:r>
          </w:p>
        </w:tc>
      </w:tr>
      <w:tr w:rsidR="00483471" w14:paraId="114F2E36" w14:textId="77777777" w:rsidTr="00E67839">
        <w:tc>
          <w:tcPr>
            <w:tcW w:w="238" w:type="pct"/>
          </w:tcPr>
          <w:p w14:paraId="6BA0D717" w14:textId="42564EFC" w:rsidR="00A10E8D" w:rsidRPr="00FD6029" w:rsidRDefault="00A10E8D" w:rsidP="00AB4C0E">
            <w:pPr>
              <w:spacing w:after="0"/>
              <w:jc w:val="both"/>
              <w:rPr>
                <w:b/>
                <w:bCs/>
              </w:rPr>
            </w:pPr>
            <w:r w:rsidRPr="00FD6029">
              <w:rPr>
                <w:b/>
                <w:bCs/>
              </w:rPr>
              <w:t>4</w:t>
            </w:r>
          </w:p>
        </w:tc>
        <w:tc>
          <w:tcPr>
            <w:tcW w:w="2166" w:type="pct"/>
          </w:tcPr>
          <w:p w14:paraId="14687BF4" w14:textId="1EEDBD8C" w:rsidR="00A10E8D" w:rsidRPr="00E67839" w:rsidRDefault="00A10E8D" w:rsidP="00AB4C0E">
            <w:pPr>
              <w:spacing w:after="0"/>
              <w:jc w:val="both"/>
              <w:rPr>
                <w:color w:val="0000CC"/>
              </w:rPr>
            </w:pPr>
            <w:r w:rsidRPr="00E67839">
              <w:rPr>
                <w:color w:val="0000CC"/>
              </w:rPr>
              <w:t>UE can rely on legacy operation to monitor SI notifications in paging</w:t>
            </w:r>
          </w:p>
        </w:tc>
        <w:tc>
          <w:tcPr>
            <w:tcW w:w="2596" w:type="pct"/>
          </w:tcPr>
          <w:p w14:paraId="0767F704" w14:textId="6186EC90" w:rsidR="00A10E8D" w:rsidRPr="00E67839" w:rsidRDefault="00B43D9C" w:rsidP="00AB4C0E">
            <w:pPr>
              <w:spacing w:after="0"/>
              <w:jc w:val="both"/>
              <w:rPr>
                <w:color w:val="0000CC"/>
              </w:rPr>
            </w:pPr>
            <w:r w:rsidRPr="00E67839">
              <w:rPr>
                <w:color w:val="0000CC"/>
              </w:rPr>
              <w:t xml:space="preserve">There should not be an </w:t>
            </w:r>
            <w:r w:rsidR="00371F67" w:rsidRPr="00E67839">
              <w:rPr>
                <w:color w:val="0000CC"/>
              </w:rPr>
              <w:t xml:space="preserve">issue to support SI notification </w:t>
            </w:r>
            <w:r w:rsidR="005865AB">
              <w:rPr>
                <w:color w:val="0000CC"/>
              </w:rPr>
              <w:t>in</w:t>
            </w:r>
            <w:r w:rsidR="0097005E">
              <w:rPr>
                <w:color w:val="0000CC"/>
              </w:rPr>
              <w:t xml:space="preserve"> </w:t>
            </w:r>
            <w:r w:rsidR="005865AB">
              <w:rPr>
                <w:color w:val="0000CC"/>
              </w:rPr>
              <w:t>b</w:t>
            </w:r>
            <w:r w:rsidR="00A35456">
              <w:rPr>
                <w:color w:val="0000CC"/>
              </w:rPr>
              <w:t xml:space="preserve">etween SDT sessions </w:t>
            </w:r>
            <w:r w:rsidR="00371F67" w:rsidRPr="00E67839">
              <w:rPr>
                <w:color w:val="0000CC"/>
              </w:rPr>
              <w:t>like for UEs in RRC_</w:t>
            </w:r>
            <w:r w:rsidR="0097005E">
              <w:rPr>
                <w:color w:val="0000CC"/>
              </w:rPr>
              <w:t>INACTIVE</w:t>
            </w:r>
          </w:p>
        </w:tc>
      </w:tr>
      <w:tr w:rsidR="00483471" w14:paraId="26EE4424" w14:textId="77777777" w:rsidTr="00E67839">
        <w:tc>
          <w:tcPr>
            <w:tcW w:w="238" w:type="pct"/>
          </w:tcPr>
          <w:p w14:paraId="098FC084" w14:textId="0420F81C" w:rsidR="00A10E8D" w:rsidRPr="00FD6029" w:rsidRDefault="00A10E8D" w:rsidP="00AB4C0E">
            <w:pPr>
              <w:spacing w:after="0"/>
              <w:jc w:val="both"/>
              <w:rPr>
                <w:b/>
                <w:bCs/>
              </w:rPr>
            </w:pPr>
            <w:r w:rsidRPr="00FD6029">
              <w:rPr>
                <w:b/>
                <w:bCs/>
              </w:rPr>
              <w:t>5</w:t>
            </w:r>
          </w:p>
        </w:tc>
        <w:tc>
          <w:tcPr>
            <w:tcW w:w="2166" w:type="pct"/>
          </w:tcPr>
          <w:p w14:paraId="69213B70" w14:textId="51111D7B" w:rsidR="00A10E8D" w:rsidRPr="00FC6CD5" w:rsidRDefault="00A76B2D" w:rsidP="00AB4C0E">
            <w:pPr>
              <w:spacing w:after="0"/>
              <w:jc w:val="both"/>
              <w:rPr>
                <w:color w:val="C00000"/>
              </w:rPr>
            </w:pPr>
            <w:r w:rsidRPr="00FC6CD5">
              <w:rPr>
                <w:color w:val="C00000"/>
              </w:rPr>
              <w:t>When SDT session is not ongoing, c</w:t>
            </w:r>
            <w:r w:rsidR="00A10E8D" w:rsidRPr="00FC6CD5">
              <w:rPr>
                <w:color w:val="C00000"/>
              </w:rPr>
              <w:t xml:space="preserve">ell </w:t>
            </w:r>
            <w:r w:rsidR="00141C9A" w:rsidRPr="00FC6CD5">
              <w:rPr>
                <w:color w:val="C00000"/>
              </w:rPr>
              <w:t>re</w:t>
            </w:r>
            <w:r w:rsidR="00A10E8D" w:rsidRPr="00FC6CD5">
              <w:rPr>
                <w:color w:val="C00000"/>
              </w:rPr>
              <w:t>selection continues like for a legacy UE in RRC_INACTIVE</w:t>
            </w:r>
            <w:r w:rsidRPr="00FC6CD5">
              <w:rPr>
                <w:color w:val="C00000"/>
              </w:rPr>
              <w:t>.</w:t>
            </w:r>
          </w:p>
          <w:p w14:paraId="6AD944B8" w14:textId="0C7EA325" w:rsidR="00A76B2D" w:rsidRPr="00FC6CD5" w:rsidRDefault="00A76B2D" w:rsidP="00AB4C0E">
            <w:pPr>
              <w:spacing w:after="0"/>
              <w:jc w:val="both"/>
              <w:rPr>
                <w:color w:val="C00000"/>
              </w:rPr>
            </w:pPr>
            <w:r w:rsidRPr="00FC6CD5">
              <w:rPr>
                <w:color w:val="C00000"/>
              </w:rPr>
              <w:t>When SDT session is not ongoing,</w:t>
            </w:r>
            <w:r w:rsidR="00C52F23" w:rsidRPr="00FC6CD5">
              <w:rPr>
                <w:color w:val="C00000"/>
              </w:rPr>
              <w:t xml:space="preserve"> UE stays in RRC_INACTIVE</w:t>
            </w:r>
            <w:r w:rsidR="00045EAE" w:rsidRPr="00FC6CD5">
              <w:rPr>
                <w:color w:val="C00000"/>
              </w:rPr>
              <w:t>.</w:t>
            </w:r>
          </w:p>
        </w:tc>
        <w:tc>
          <w:tcPr>
            <w:tcW w:w="2596" w:type="pct"/>
          </w:tcPr>
          <w:p w14:paraId="2C2E2C99" w14:textId="588CE431" w:rsidR="002F792D" w:rsidRPr="00FC6CD5" w:rsidRDefault="003A3B00" w:rsidP="00FA7711">
            <w:pPr>
              <w:spacing w:after="0"/>
              <w:jc w:val="both"/>
              <w:rPr>
                <w:color w:val="C00000"/>
              </w:rPr>
            </w:pPr>
            <w:r w:rsidRPr="00FC6CD5">
              <w:rPr>
                <w:color w:val="C00000"/>
              </w:rPr>
              <w:t xml:space="preserve">When SDT session is not </w:t>
            </w:r>
            <w:r w:rsidR="008B42D3">
              <w:rPr>
                <w:color w:val="C00000"/>
              </w:rPr>
              <w:t>started/</w:t>
            </w:r>
            <w:r w:rsidRPr="00FC6CD5">
              <w:rPr>
                <w:color w:val="C00000"/>
              </w:rPr>
              <w:t>ongoing, it is preferable n</w:t>
            </w:r>
            <w:r w:rsidR="00174815" w:rsidRPr="00FC6CD5">
              <w:rPr>
                <w:color w:val="C00000"/>
              </w:rPr>
              <w:t>o</w:t>
            </w:r>
            <w:r w:rsidRPr="00FC6CD5">
              <w:rPr>
                <w:color w:val="C00000"/>
              </w:rPr>
              <w:t>t</w:t>
            </w:r>
            <w:r w:rsidR="00174815" w:rsidRPr="00FC6CD5">
              <w:rPr>
                <w:color w:val="C00000"/>
              </w:rPr>
              <w:t xml:space="preserve"> to change </w:t>
            </w:r>
            <w:r w:rsidRPr="00FC6CD5">
              <w:rPr>
                <w:color w:val="C00000"/>
              </w:rPr>
              <w:t xml:space="preserve">legacy </w:t>
            </w:r>
            <w:r w:rsidR="00174815" w:rsidRPr="00FC6CD5">
              <w:rPr>
                <w:color w:val="C00000"/>
              </w:rPr>
              <w:t>cell reselection for SDT feature</w:t>
            </w:r>
            <w:r w:rsidRPr="00FC6CD5">
              <w:rPr>
                <w:color w:val="C00000"/>
              </w:rPr>
              <w:t>.</w:t>
            </w:r>
            <w:r w:rsidR="00E266C9" w:rsidRPr="00FC6CD5">
              <w:rPr>
                <w:color w:val="C00000"/>
              </w:rPr>
              <w:t xml:space="preserve"> </w:t>
            </w:r>
            <w:r w:rsidR="001C067F" w:rsidRPr="00FC6CD5">
              <w:rPr>
                <w:color w:val="C00000"/>
              </w:rPr>
              <w:t>I.e. UE stays in RRC_INACTIVE with all applicable stored configuration</w:t>
            </w:r>
            <w:r w:rsidRPr="00FC6CD5">
              <w:rPr>
                <w:color w:val="C00000"/>
              </w:rPr>
              <w:t>. Moreover, even w</w:t>
            </w:r>
            <w:r w:rsidR="002F792D" w:rsidRPr="00FC6CD5">
              <w:rPr>
                <w:color w:val="C00000"/>
              </w:rPr>
              <w:t xml:space="preserve">hen SDT session is </w:t>
            </w:r>
            <w:r w:rsidR="008B42D3">
              <w:rPr>
                <w:color w:val="C00000"/>
              </w:rPr>
              <w:t>started/</w:t>
            </w:r>
            <w:r w:rsidR="002F792D" w:rsidRPr="00FC6CD5">
              <w:rPr>
                <w:color w:val="C00000"/>
              </w:rPr>
              <w:t xml:space="preserve">ongoing, UE </w:t>
            </w:r>
            <w:r w:rsidRPr="00FC6CD5">
              <w:rPr>
                <w:color w:val="C00000"/>
              </w:rPr>
              <w:t>prefer to also remain</w:t>
            </w:r>
            <w:r w:rsidR="002F792D" w:rsidRPr="00FC6CD5">
              <w:rPr>
                <w:color w:val="C00000"/>
              </w:rPr>
              <w:t xml:space="preserve"> in RRC_INACTIVE to minimize any data loss/duplication, and interruption delay </w:t>
            </w:r>
            <w:r w:rsidR="00984F96" w:rsidRPr="00FC6CD5">
              <w:rPr>
                <w:color w:val="C00000"/>
              </w:rPr>
              <w:t xml:space="preserve">as explained in </w:t>
            </w:r>
            <w:r w:rsidR="00863146">
              <w:rPr>
                <w:color w:val="C00000"/>
              </w:rPr>
              <w:fldChar w:fldCharType="begin"/>
            </w:r>
            <w:r w:rsidR="00863146">
              <w:rPr>
                <w:color w:val="C00000"/>
              </w:rPr>
              <w:instrText xml:space="preserve"> REF _Ref71326141 \r \h </w:instrText>
            </w:r>
            <w:r w:rsidR="00863146">
              <w:rPr>
                <w:color w:val="C00000"/>
              </w:rPr>
            </w:r>
            <w:r w:rsidR="00863146">
              <w:rPr>
                <w:color w:val="C00000"/>
              </w:rPr>
              <w:fldChar w:fldCharType="separate"/>
            </w:r>
            <w:r w:rsidR="008624B8">
              <w:rPr>
                <w:color w:val="C00000"/>
              </w:rPr>
              <w:t>[6]</w:t>
            </w:r>
            <w:r w:rsidR="00863146">
              <w:rPr>
                <w:color w:val="C00000"/>
              </w:rPr>
              <w:fldChar w:fldCharType="end"/>
            </w:r>
            <w:r w:rsidR="002F792D" w:rsidRPr="00FC6CD5">
              <w:rPr>
                <w:color w:val="C00000"/>
              </w:rPr>
              <w:t>.</w:t>
            </w:r>
          </w:p>
        </w:tc>
      </w:tr>
      <w:tr w:rsidR="00483471" w14:paraId="5831305C" w14:textId="77777777" w:rsidTr="00E67839">
        <w:tc>
          <w:tcPr>
            <w:tcW w:w="238" w:type="pct"/>
          </w:tcPr>
          <w:p w14:paraId="55173DEF" w14:textId="7FDB067C" w:rsidR="00A10E8D" w:rsidRPr="00FD6029" w:rsidRDefault="00A10E8D" w:rsidP="00AB4C0E">
            <w:pPr>
              <w:spacing w:after="0"/>
              <w:jc w:val="both"/>
              <w:rPr>
                <w:b/>
                <w:bCs/>
              </w:rPr>
            </w:pPr>
            <w:r w:rsidRPr="00FD6029">
              <w:rPr>
                <w:b/>
                <w:bCs/>
              </w:rPr>
              <w:t>6</w:t>
            </w:r>
          </w:p>
        </w:tc>
        <w:tc>
          <w:tcPr>
            <w:tcW w:w="2166" w:type="pct"/>
          </w:tcPr>
          <w:p w14:paraId="77AFE917" w14:textId="4A07C50C" w:rsidR="00A10E8D" w:rsidRPr="00FC6CD5" w:rsidRDefault="00A10E8D" w:rsidP="00AB4C0E">
            <w:pPr>
              <w:spacing w:after="0"/>
              <w:jc w:val="both"/>
              <w:rPr>
                <w:color w:val="C00000"/>
              </w:rPr>
            </w:pPr>
            <w:r w:rsidRPr="00FC6CD5">
              <w:rPr>
                <w:color w:val="C00000"/>
              </w:rPr>
              <w:t xml:space="preserve">Handling for SDT session failure </w:t>
            </w:r>
            <w:r w:rsidR="00C80579" w:rsidRPr="00FC6CD5">
              <w:rPr>
                <w:color w:val="C00000"/>
              </w:rPr>
              <w:t>and corresponding UE behaviour</w:t>
            </w:r>
            <w:r w:rsidR="00606130" w:rsidRPr="00FC6CD5">
              <w:rPr>
                <w:color w:val="C00000"/>
              </w:rPr>
              <w:t xml:space="preserve"> (including recovery mechanism)</w:t>
            </w:r>
          </w:p>
        </w:tc>
        <w:tc>
          <w:tcPr>
            <w:tcW w:w="2596" w:type="pct"/>
          </w:tcPr>
          <w:p w14:paraId="328E0D72" w14:textId="301B0438" w:rsidR="00A10E8D" w:rsidRPr="00FC6CD5" w:rsidRDefault="00710A36" w:rsidP="00AB4C0E">
            <w:pPr>
              <w:spacing w:after="0"/>
              <w:jc w:val="both"/>
              <w:rPr>
                <w:color w:val="C00000"/>
              </w:rPr>
            </w:pPr>
            <w:r w:rsidRPr="00FC6CD5">
              <w:rPr>
                <w:color w:val="C00000"/>
              </w:rPr>
              <w:t>Specification should aim to</w:t>
            </w:r>
            <w:r w:rsidR="00C80579" w:rsidRPr="00FC6CD5">
              <w:rPr>
                <w:color w:val="C00000"/>
              </w:rPr>
              <w:t xml:space="preserve"> guarantee on the data continuity</w:t>
            </w:r>
            <w:r w:rsidR="008658CA" w:rsidRPr="00FC6CD5">
              <w:rPr>
                <w:color w:val="C00000"/>
              </w:rPr>
              <w:t xml:space="preserve">. Different </w:t>
            </w:r>
            <w:r w:rsidR="005206C8" w:rsidRPr="00FC6CD5">
              <w:rPr>
                <w:color w:val="C00000"/>
              </w:rPr>
              <w:t>events and their operation are discussed in</w:t>
            </w:r>
            <w:r w:rsidR="001206EB">
              <w:rPr>
                <w:color w:val="C00000"/>
              </w:rPr>
              <w:t xml:space="preserve"> </w:t>
            </w:r>
            <w:r w:rsidR="00863146">
              <w:rPr>
                <w:color w:val="C00000"/>
              </w:rPr>
              <w:fldChar w:fldCharType="begin"/>
            </w:r>
            <w:r w:rsidR="00863146">
              <w:rPr>
                <w:color w:val="C00000"/>
              </w:rPr>
              <w:instrText xml:space="preserve"> REF _Ref71326141 \r \h </w:instrText>
            </w:r>
            <w:r w:rsidR="00863146">
              <w:rPr>
                <w:color w:val="C00000"/>
              </w:rPr>
            </w:r>
            <w:r w:rsidR="00863146">
              <w:rPr>
                <w:color w:val="C00000"/>
              </w:rPr>
              <w:fldChar w:fldCharType="separate"/>
            </w:r>
            <w:r w:rsidR="008624B8">
              <w:rPr>
                <w:color w:val="C00000"/>
              </w:rPr>
              <w:t>[6]</w:t>
            </w:r>
            <w:r w:rsidR="00863146">
              <w:rPr>
                <w:color w:val="C00000"/>
              </w:rPr>
              <w:fldChar w:fldCharType="end"/>
            </w:r>
            <w:r w:rsidR="00606130" w:rsidRPr="00AB0560">
              <w:rPr>
                <w:color w:val="C00000"/>
              </w:rPr>
              <w:t>.</w:t>
            </w:r>
          </w:p>
        </w:tc>
      </w:tr>
      <w:tr w:rsidR="00C91975" w14:paraId="636BA2A9" w14:textId="77777777" w:rsidTr="00E67839">
        <w:tc>
          <w:tcPr>
            <w:tcW w:w="238" w:type="pct"/>
          </w:tcPr>
          <w:p w14:paraId="41D3DAB2" w14:textId="72DDC2C3" w:rsidR="00C91975" w:rsidRPr="00FD6029" w:rsidRDefault="00C91975" w:rsidP="00AB4C0E">
            <w:pPr>
              <w:spacing w:after="0"/>
              <w:jc w:val="both"/>
              <w:rPr>
                <w:b/>
                <w:bCs/>
              </w:rPr>
            </w:pPr>
            <w:r w:rsidRPr="00FD6029">
              <w:rPr>
                <w:b/>
                <w:bCs/>
              </w:rPr>
              <w:t>7</w:t>
            </w:r>
          </w:p>
        </w:tc>
        <w:tc>
          <w:tcPr>
            <w:tcW w:w="2166" w:type="pct"/>
          </w:tcPr>
          <w:p w14:paraId="7779C876" w14:textId="1F90D348" w:rsidR="00C91975" w:rsidRPr="00E67839" w:rsidRDefault="00C91975" w:rsidP="00AB4C0E">
            <w:pPr>
              <w:spacing w:after="0"/>
              <w:jc w:val="both"/>
              <w:rPr>
                <w:color w:val="0000CC"/>
              </w:rPr>
            </w:pPr>
            <w:r w:rsidRPr="00E67839">
              <w:rPr>
                <w:color w:val="0000CC"/>
              </w:rPr>
              <w:t xml:space="preserve">UE behaves like for a legacy UE in RRC_INACTIVE for other remaining operations (e.g. measurements); FFS </w:t>
            </w:r>
            <w:r w:rsidR="00E94AAF">
              <w:rPr>
                <w:color w:val="0000CC"/>
              </w:rPr>
              <w:t xml:space="preserve">handling of BWP (discussed on RAN2 </w:t>
            </w:r>
            <w:r w:rsidR="00A41E10">
              <w:rPr>
                <w:color w:val="0000CC"/>
              </w:rPr>
              <w:t xml:space="preserve">email disc. </w:t>
            </w:r>
            <w:r w:rsidR="00A41E10" w:rsidRPr="00A41E10">
              <w:rPr>
                <w:color w:val="0000CC"/>
              </w:rPr>
              <w:t>[Post113bis-e][507]</w:t>
            </w:r>
            <w:r w:rsidR="00E94AAF">
              <w:rPr>
                <w:color w:val="0000CC"/>
              </w:rPr>
              <w:t>) an</w:t>
            </w:r>
            <w:r w:rsidR="001E045C">
              <w:rPr>
                <w:color w:val="0000CC"/>
              </w:rPr>
              <w:t xml:space="preserve">d </w:t>
            </w:r>
            <w:r w:rsidRPr="00E67839">
              <w:rPr>
                <w:color w:val="0000CC"/>
              </w:rPr>
              <w:t xml:space="preserve">beam &amp; </w:t>
            </w:r>
            <w:r w:rsidR="00AA14C4">
              <w:rPr>
                <w:color w:val="0000CC"/>
              </w:rPr>
              <w:t>SSB</w:t>
            </w:r>
            <w:r w:rsidR="00AA14C4" w:rsidRPr="00E67839">
              <w:rPr>
                <w:color w:val="0000CC"/>
              </w:rPr>
              <w:t xml:space="preserve"> </w:t>
            </w:r>
            <w:r w:rsidRPr="00E67839">
              <w:rPr>
                <w:color w:val="0000CC"/>
              </w:rPr>
              <w:t>(</w:t>
            </w:r>
            <w:r w:rsidR="00263B46">
              <w:rPr>
                <w:color w:val="0000CC"/>
              </w:rPr>
              <w:t>under discussion in</w:t>
            </w:r>
            <w:r w:rsidRPr="00E67839">
              <w:rPr>
                <w:color w:val="0000CC"/>
              </w:rPr>
              <w:t xml:space="preserve"> RAN1)</w:t>
            </w:r>
          </w:p>
        </w:tc>
        <w:tc>
          <w:tcPr>
            <w:tcW w:w="2596" w:type="pct"/>
          </w:tcPr>
          <w:p w14:paraId="160C42FE" w14:textId="4F88254C" w:rsidR="00C91975" w:rsidRPr="00E67839" w:rsidRDefault="000C2AEB" w:rsidP="00AB4C0E">
            <w:pPr>
              <w:spacing w:after="0"/>
              <w:jc w:val="both"/>
              <w:rPr>
                <w:color w:val="0000CC"/>
              </w:rPr>
            </w:pPr>
            <w:r w:rsidRPr="00E67839">
              <w:rPr>
                <w:color w:val="0000CC"/>
              </w:rPr>
              <w:t>SDT aims</w:t>
            </w:r>
            <w:r w:rsidR="00926D7D" w:rsidRPr="00E67839">
              <w:rPr>
                <w:color w:val="0000CC"/>
              </w:rPr>
              <w:t xml:space="preserve"> to be simple</w:t>
            </w:r>
            <w:r w:rsidR="00921A8D" w:rsidRPr="00E67839">
              <w:rPr>
                <w:color w:val="0000CC"/>
              </w:rPr>
              <w:t xml:space="preserve"> mechanism </w:t>
            </w:r>
            <w:r w:rsidR="00454EC2" w:rsidRPr="00E67839">
              <w:rPr>
                <w:color w:val="0000CC"/>
              </w:rPr>
              <w:t>that benefit of not having to enable all functionally in used by UEs in RRC_CONNECTED</w:t>
            </w:r>
          </w:p>
        </w:tc>
      </w:tr>
      <w:tr w:rsidR="00C91975" w14:paraId="5B7BAFD7" w14:textId="77777777" w:rsidTr="00E67839">
        <w:tc>
          <w:tcPr>
            <w:tcW w:w="238" w:type="pct"/>
          </w:tcPr>
          <w:p w14:paraId="216031A0" w14:textId="67D1DD5E" w:rsidR="00C91975" w:rsidRPr="00FD6029" w:rsidRDefault="00507800" w:rsidP="00AB4C0E">
            <w:pPr>
              <w:spacing w:after="0"/>
              <w:jc w:val="both"/>
              <w:rPr>
                <w:b/>
                <w:bCs/>
              </w:rPr>
            </w:pPr>
            <w:r>
              <w:rPr>
                <w:b/>
                <w:bCs/>
              </w:rPr>
              <w:t>8</w:t>
            </w:r>
          </w:p>
        </w:tc>
        <w:tc>
          <w:tcPr>
            <w:tcW w:w="2166" w:type="pct"/>
          </w:tcPr>
          <w:p w14:paraId="025C9C9F" w14:textId="4158FC09" w:rsidR="00C91975" w:rsidRDefault="00C91975" w:rsidP="00AB4C0E">
            <w:pPr>
              <w:spacing w:after="0"/>
              <w:jc w:val="both"/>
            </w:pPr>
            <w:r>
              <w:t>SDT configuration and new mechanism</w:t>
            </w:r>
          </w:p>
        </w:tc>
        <w:tc>
          <w:tcPr>
            <w:tcW w:w="2596" w:type="pct"/>
          </w:tcPr>
          <w:p w14:paraId="35F13CE7" w14:textId="6E066F24" w:rsidR="00C91975" w:rsidRDefault="00601622" w:rsidP="00AB4C0E">
            <w:pPr>
              <w:spacing w:after="0"/>
              <w:jc w:val="both"/>
            </w:pPr>
            <w:r>
              <w:t>Solution details under discussion</w:t>
            </w:r>
          </w:p>
        </w:tc>
      </w:tr>
      <w:tr w:rsidR="00C91975" w14:paraId="11FF42E8" w14:textId="77777777" w:rsidTr="00E67839">
        <w:tc>
          <w:tcPr>
            <w:tcW w:w="238" w:type="pct"/>
          </w:tcPr>
          <w:p w14:paraId="1D7BA402" w14:textId="4BC6A3AD" w:rsidR="00C91975" w:rsidRPr="00FD6029" w:rsidRDefault="00507800" w:rsidP="00AB4C0E">
            <w:pPr>
              <w:spacing w:after="0"/>
              <w:jc w:val="both"/>
              <w:rPr>
                <w:b/>
                <w:bCs/>
              </w:rPr>
            </w:pPr>
            <w:r>
              <w:rPr>
                <w:b/>
                <w:bCs/>
              </w:rPr>
              <w:t>9</w:t>
            </w:r>
          </w:p>
        </w:tc>
        <w:tc>
          <w:tcPr>
            <w:tcW w:w="2166" w:type="pct"/>
          </w:tcPr>
          <w:p w14:paraId="2B4F98D9" w14:textId="13306B31" w:rsidR="00C91975" w:rsidRDefault="00C91975" w:rsidP="00AB4C0E">
            <w:pPr>
              <w:spacing w:after="0"/>
              <w:jc w:val="both"/>
            </w:pPr>
            <w:r w:rsidRPr="00551016">
              <w:t>Continuing header compression across SDT sessions</w:t>
            </w:r>
            <w:r>
              <w:t xml:space="preserve"> (i.e. continue with RoHC state)</w:t>
            </w:r>
          </w:p>
        </w:tc>
        <w:tc>
          <w:tcPr>
            <w:tcW w:w="2596" w:type="pct"/>
          </w:tcPr>
          <w:p w14:paraId="27A7988C" w14:textId="177D98B6" w:rsidR="00C91975" w:rsidRDefault="00410CC5" w:rsidP="00AB4C0E">
            <w:pPr>
              <w:spacing w:after="0"/>
              <w:jc w:val="both"/>
            </w:pPr>
            <w:r>
              <w:t xml:space="preserve">This topic still needs to be addressed as discussed in </w:t>
            </w:r>
            <w:r w:rsidR="008624B8">
              <w:t>previous section.</w:t>
            </w:r>
          </w:p>
        </w:tc>
      </w:tr>
    </w:tbl>
    <w:p w14:paraId="508B623E" w14:textId="7386DA11" w:rsidR="000B6CC3" w:rsidRDefault="000B6CC3" w:rsidP="00AB4C0E">
      <w:pPr>
        <w:spacing w:after="0"/>
        <w:jc w:val="both"/>
      </w:pPr>
    </w:p>
    <w:p w14:paraId="05BCD4E8" w14:textId="7155AD57" w:rsidR="008D19DE" w:rsidRDefault="008D19DE" w:rsidP="00AB4C0E">
      <w:pPr>
        <w:jc w:val="both"/>
      </w:pPr>
      <w:r>
        <w:t>From the table above</w:t>
      </w:r>
      <w:r w:rsidR="00A73F4E">
        <w:t>,</w:t>
      </w:r>
      <w:r>
        <w:t xml:space="preserve"> these are the proposed agreements on straight forward behaviours.</w:t>
      </w:r>
    </w:p>
    <w:p w14:paraId="75788EF4" w14:textId="6721C3C5" w:rsidR="003D4641" w:rsidRDefault="00927434" w:rsidP="00AB4C0E">
      <w:pPr>
        <w:pStyle w:val="Proposal"/>
        <w:numPr>
          <w:ilvl w:val="0"/>
          <w:numId w:val="4"/>
        </w:numPr>
        <w:rPr>
          <w:lang w:val="en-US"/>
        </w:rPr>
      </w:pPr>
      <w:bookmarkStart w:id="232" w:name="_Toc67954604"/>
      <w:bookmarkStart w:id="233" w:name="_Toc67870090"/>
      <w:bookmarkStart w:id="234" w:name="_Toc67870176"/>
      <w:bookmarkStart w:id="235" w:name="_Toc68054677"/>
      <w:bookmarkStart w:id="236" w:name="_Toc68055290"/>
      <w:bookmarkStart w:id="237" w:name="_Toc68204640"/>
      <w:bookmarkStart w:id="238" w:name="_Toc68204897"/>
      <w:bookmarkStart w:id="239" w:name="_Toc68205697"/>
      <w:bookmarkStart w:id="240" w:name="_Toc71326960"/>
      <w:bookmarkStart w:id="241" w:name="_Toc71402937"/>
      <w:bookmarkStart w:id="242" w:name="_Toc71569658"/>
      <w:bookmarkStart w:id="243" w:name="_Toc71570046"/>
      <w:r>
        <w:rPr>
          <w:lang w:val="en-US"/>
        </w:rPr>
        <w:lastRenderedPageBreak/>
        <w:t xml:space="preserve">To </w:t>
      </w:r>
      <w:r w:rsidR="00767CFC">
        <w:rPr>
          <w:lang w:val="en-US"/>
        </w:rPr>
        <w:t xml:space="preserve">agree on the following </w:t>
      </w:r>
      <w:r w:rsidR="004611E1">
        <w:rPr>
          <w:lang w:val="en-US"/>
        </w:rPr>
        <w:t xml:space="preserve">behaviours </w:t>
      </w:r>
      <w:r w:rsidR="0010389A">
        <w:rPr>
          <w:lang w:val="en-US"/>
        </w:rPr>
        <w:t>for</w:t>
      </w:r>
      <w:r w:rsidR="003B490C">
        <w:rPr>
          <w:lang w:val="en-US"/>
        </w:rPr>
        <w:t xml:space="preserve"> a UE in RRC_INACTIVE during an </w:t>
      </w:r>
      <w:r w:rsidR="003B490C" w:rsidRPr="00CE3B1F">
        <w:rPr>
          <w:lang w:val="en-US"/>
        </w:rPr>
        <w:t>ongoing SDT session</w:t>
      </w:r>
      <w:r w:rsidR="00483471">
        <w:rPr>
          <w:lang w:val="en-US"/>
        </w:rPr>
        <w:t>:</w:t>
      </w:r>
      <w:bookmarkEnd w:id="232"/>
      <w:bookmarkEnd w:id="233"/>
      <w:bookmarkEnd w:id="234"/>
      <w:bookmarkEnd w:id="235"/>
      <w:bookmarkEnd w:id="236"/>
      <w:bookmarkEnd w:id="237"/>
      <w:bookmarkEnd w:id="238"/>
      <w:bookmarkEnd w:id="239"/>
      <w:bookmarkEnd w:id="240"/>
      <w:bookmarkEnd w:id="241"/>
      <w:bookmarkEnd w:id="242"/>
      <w:bookmarkEnd w:id="243"/>
    </w:p>
    <w:p w14:paraId="3A497CE4" w14:textId="2EDFAFE2" w:rsidR="00C80000" w:rsidRPr="00FA7711" w:rsidRDefault="00C80000" w:rsidP="00AB4C0E">
      <w:pPr>
        <w:pStyle w:val="Proposal"/>
        <w:numPr>
          <w:ilvl w:val="1"/>
          <w:numId w:val="4"/>
        </w:numPr>
        <w:rPr>
          <w:lang w:val="en-US"/>
        </w:rPr>
      </w:pPr>
      <w:bookmarkStart w:id="244" w:name="_Toc67954606"/>
      <w:bookmarkStart w:id="245" w:name="_Toc68054678"/>
      <w:bookmarkStart w:id="246" w:name="_Toc68055291"/>
      <w:bookmarkStart w:id="247" w:name="_Toc68204641"/>
      <w:bookmarkStart w:id="248" w:name="_Toc68204898"/>
      <w:bookmarkStart w:id="249" w:name="_Toc68205698"/>
      <w:bookmarkStart w:id="250" w:name="_Toc71326961"/>
      <w:bookmarkStart w:id="251" w:name="_Toc71402938"/>
      <w:bookmarkStart w:id="252" w:name="_Toc71569659"/>
      <w:bookmarkStart w:id="253" w:name="_Toc71570047"/>
      <w:r w:rsidRPr="00FA0D55">
        <w:rPr>
          <w:lang w:val="en-US"/>
        </w:rPr>
        <w:t xml:space="preserve">UE </w:t>
      </w:r>
      <w:r w:rsidRPr="00F807EF">
        <w:t>rel</w:t>
      </w:r>
      <w:r>
        <w:t>ies</w:t>
      </w:r>
      <w:r w:rsidRPr="00F807EF">
        <w:t xml:space="preserve"> on legacy operation </w:t>
      </w:r>
      <w:r>
        <w:t xml:space="preserve">for RRC_CONNECTED </w:t>
      </w:r>
      <w:r w:rsidRPr="00F807EF">
        <w:t>to monitor SI notifications in paging</w:t>
      </w:r>
      <w:r w:rsidR="00587CEE">
        <w:t>.</w:t>
      </w:r>
      <w:bookmarkEnd w:id="244"/>
      <w:bookmarkEnd w:id="245"/>
      <w:bookmarkEnd w:id="246"/>
      <w:bookmarkEnd w:id="247"/>
      <w:bookmarkEnd w:id="248"/>
      <w:bookmarkEnd w:id="249"/>
      <w:bookmarkEnd w:id="250"/>
      <w:bookmarkEnd w:id="251"/>
      <w:bookmarkEnd w:id="252"/>
      <w:bookmarkEnd w:id="253"/>
    </w:p>
    <w:p w14:paraId="6869C7CC" w14:textId="77777777" w:rsidR="00FA7711" w:rsidRPr="00A73F4E" w:rsidRDefault="00FA7711" w:rsidP="00FA7711">
      <w:pPr>
        <w:pStyle w:val="Proposal"/>
        <w:numPr>
          <w:ilvl w:val="1"/>
          <w:numId w:val="4"/>
        </w:numPr>
        <w:rPr>
          <w:lang w:val="en-US"/>
        </w:rPr>
      </w:pPr>
      <w:bookmarkStart w:id="254" w:name="_Toc67954612"/>
      <w:bookmarkStart w:id="255" w:name="_Toc68054681"/>
      <w:bookmarkStart w:id="256" w:name="_Toc68055294"/>
      <w:bookmarkStart w:id="257" w:name="_Toc68204644"/>
      <w:bookmarkStart w:id="258" w:name="_Toc68204901"/>
      <w:bookmarkStart w:id="259" w:name="_Toc68205701"/>
      <w:bookmarkStart w:id="260" w:name="_Toc71326962"/>
      <w:bookmarkStart w:id="261" w:name="_Toc71402939"/>
      <w:bookmarkStart w:id="262" w:name="_Toc71569660"/>
      <w:bookmarkStart w:id="263" w:name="_Toc71570048"/>
      <w:r w:rsidRPr="00A73F4E">
        <w:rPr>
          <w:lang w:val="en-US"/>
        </w:rPr>
        <w:t>UE-specific paging is not monitored during an SDT session.</w:t>
      </w:r>
      <w:bookmarkStart w:id="264" w:name="_Toc67954613"/>
      <w:bookmarkEnd w:id="254"/>
      <w:bookmarkEnd w:id="255"/>
      <w:bookmarkEnd w:id="256"/>
      <w:bookmarkEnd w:id="257"/>
      <w:bookmarkEnd w:id="258"/>
      <w:bookmarkEnd w:id="259"/>
      <w:bookmarkEnd w:id="260"/>
      <w:bookmarkEnd w:id="261"/>
      <w:bookmarkEnd w:id="264"/>
      <w:bookmarkEnd w:id="262"/>
      <w:bookmarkEnd w:id="263"/>
    </w:p>
    <w:p w14:paraId="025C0B68" w14:textId="66562F28" w:rsidR="00AD44C4" w:rsidRPr="00E67839" w:rsidRDefault="00AD44C4" w:rsidP="00AB4C0E">
      <w:pPr>
        <w:pStyle w:val="Proposal"/>
        <w:numPr>
          <w:ilvl w:val="1"/>
          <w:numId w:val="4"/>
        </w:numPr>
        <w:rPr>
          <w:lang w:val="en-US"/>
        </w:rPr>
      </w:pPr>
      <w:bookmarkStart w:id="265" w:name="_Toc67954608"/>
      <w:bookmarkStart w:id="266" w:name="_Toc68054679"/>
      <w:bookmarkStart w:id="267" w:name="_Toc68055292"/>
      <w:bookmarkStart w:id="268" w:name="_Toc68204642"/>
      <w:bookmarkStart w:id="269" w:name="_Toc68204899"/>
      <w:bookmarkStart w:id="270" w:name="_Toc68205699"/>
      <w:bookmarkStart w:id="271" w:name="_Toc71326963"/>
      <w:bookmarkStart w:id="272" w:name="_Toc71402940"/>
      <w:bookmarkStart w:id="273" w:name="_Toc71569661"/>
      <w:bookmarkStart w:id="274" w:name="_Toc71570049"/>
      <w:r w:rsidRPr="00927434">
        <w:t>UE behaves like for a legacy UE in RRC_INACTIVE for other re</w:t>
      </w:r>
      <w:r w:rsidRPr="00A41E10">
        <w:t xml:space="preserve">maining operations (e.g. measurements); FFS for </w:t>
      </w:r>
      <w:r w:rsidR="00263B46" w:rsidRPr="00A41E10">
        <w:t xml:space="preserve">BWP operation (which is discussed on email discussion </w:t>
      </w:r>
      <w:r w:rsidR="00A41E10" w:rsidRPr="00A41E10">
        <w:t>[Post113bis-e][507]</w:t>
      </w:r>
      <w:r w:rsidR="00263B46">
        <w:t xml:space="preserve">), as well as, </w:t>
      </w:r>
      <w:r>
        <w:t xml:space="preserve">beam &amp; </w:t>
      </w:r>
      <w:r w:rsidR="00263B46">
        <w:t xml:space="preserve">SSB </w:t>
      </w:r>
      <w:r>
        <w:t>management (</w:t>
      </w:r>
      <w:r w:rsidR="00263B46">
        <w:t xml:space="preserve">which is under discussion in RAN1 and RAN2 should </w:t>
      </w:r>
      <w:r>
        <w:t xml:space="preserve">wait for </w:t>
      </w:r>
      <w:r w:rsidR="00263B46">
        <w:t xml:space="preserve">their </w:t>
      </w:r>
      <w:r>
        <w:t>inputs on th</w:t>
      </w:r>
      <w:r w:rsidR="00263B46">
        <w:t>em</w:t>
      </w:r>
      <w:r>
        <w:t>).</w:t>
      </w:r>
      <w:bookmarkEnd w:id="265"/>
      <w:bookmarkEnd w:id="266"/>
      <w:bookmarkEnd w:id="267"/>
      <w:bookmarkEnd w:id="268"/>
      <w:bookmarkEnd w:id="269"/>
      <w:bookmarkEnd w:id="270"/>
      <w:bookmarkEnd w:id="271"/>
      <w:bookmarkEnd w:id="272"/>
      <w:bookmarkEnd w:id="273"/>
      <w:bookmarkEnd w:id="274"/>
    </w:p>
    <w:p w14:paraId="70717B38" w14:textId="77777777" w:rsidR="00335794" w:rsidRDefault="00335794" w:rsidP="00AB4C0E">
      <w:pPr>
        <w:jc w:val="both"/>
      </w:pPr>
    </w:p>
    <w:p w14:paraId="07AE59CF" w14:textId="138CE846" w:rsidR="00335794" w:rsidRDefault="009F4441" w:rsidP="00AB4C0E">
      <w:pPr>
        <w:pStyle w:val="Heading2"/>
        <w:jc w:val="both"/>
        <w:rPr>
          <w:noProof w:val="0"/>
          <w:lang w:val="en-US"/>
        </w:rPr>
      </w:pPr>
      <w:r>
        <w:rPr>
          <w:noProof w:val="0"/>
          <w:lang w:val="en-US"/>
        </w:rPr>
        <w:t>RRC s</w:t>
      </w:r>
      <w:r w:rsidR="008A23F5">
        <w:rPr>
          <w:noProof w:val="0"/>
          <w:lang w:val="en-US"/>
        </w:rPr>
        <w:t>ignaling allowed</w:t>
      </w:r>
      <w:r w:rsidR="00335794" w:rsidRPr="00E86C96">
        <w:rPr>
          <w:noProof w:val="0"/>
          <w:lang w:val="en-US"/>
        </w:rPr>
        <w:t xml:space="preserve"> during SDT session</w:t>
      </w:r>
    </w:p>
    <w:p w14:paraId="69D8DA82" w14:textId="7A9E83F3" w:rsidR="00FB0A4F" w:rsidRDefault="007F5262" w:rsidP="00AB4C0E">
      <w:pPr>
        <w:jc w:val="both"/>
      </w:pPr>
      <w:r w:rsidRPr="007F5262">
        <w:fldChar w:fldCharType="begin"/>
      </w:r>
      <w:r w:rsidRPr="007F5262">
        <w:instrText xml:space="preserve"> REF _Ref67866487 \h  \* MERGEFORMAT </w:instrText>
      </w:r>
      <w:r w:rsidRPr="007F5262">
        <w:fldChar w:fldCharType="separate"/>
      </w:r>
      <w:r w:rsidR="008624B8" w:rsidRPr="009F1C5B">
        <w:t xml:space="preserve">Table </w:t>
      </w:r>
      <w:r w:rsidR="008624B8" w:rsidRPr="0094356D">
        <w:rPr>
          <w:noProof/>
        </w:rPr>
        <w:t>2</w:t>
      </w:r>
      <w:r w:rsidRPr="007F5262">
        <w:fldChar w:fldCharType="end"/>
      </w:r>
      <w:r w:rsidRPr="007F5262">
        <w:t xml:space="preserve"> </w:t>
      </w:r>
      <w:r>
        <w:t xml:space="preserve">summarizes the </w:t>
      </w:r>
      <w:r w:rsidR="0035406C">
        <w:t xml:space="preserve">RRC messages </w:t>
      </w:r>
      <w:r>
        <w:t xml:space="preserve">potentially </w:t>
      </w:r>
      <w:r w:rsidR="00FB0A4F">
        <w:t>allowed during an SDT session:</w:t>
      </w:r>
    </w:p>
    <w:p w14:paraId="16934B22" w14:textId="1DCC761E" w:rsidR="009F1C5B" w:rsidRPr="009F1C5B" w:rsidRDefault="009F1C5B" w:rsidP="000D5C85">
      <w:pPr>
        <w:pStyle w:val="Caption"/>
        <w:keepNext/>
        <w:spacing w:after="60"/>
        <w:jc w:val="center"/>
        <w:rPr>
          <w:i w:val="0"/>
          <w:iCs w:val="0"/>
          <w:color w:val="auto"/>
          <w:sz w:val="20"/>
          <w:szCs w:val="20"/>
        </w:rPr>
      </w:pPr>
      <w:bookmarkStart w:id="275" w:name="_Ref67866487"/>
      <w:r w:rsidRPr="009F1C5B">
        <w:rPr>
          <w:i w:val="0"/>
          <w:iCs w:val="0"/>
          <w:color w:val="auto"/>
          <w:sz w:val="20"/>
          <w:szCs w:val="20"/>
        </w:rPr>
        <w:t xml:space="preserve">Table </w:t>
      </w:r>
      <w:r w:rsidRPr="009F1C5B">
        <w:rPr>
          <w:i w:val="0"/>
          <w:iCs w:val="0"/>
          <w:color w:val="auto"/>
          <w:sz w:val="20"/>
          <w:szCs w:val="20"/>
        </w:rPr>
        <w:fldChar w:fldCharType="begin"/>
      </w:r>
      <w:r w:rsidRPr="009F1C5B">
        <w:rPr>
          <w:i w:val="0"/>
          <w:iCs w:val="0"/>
          <w:color w:val="auto"/>
          <w:sz w:val="20"/>
          <w:szCs w:val="20"/>
        </w:rPr>
        <w:instrText xml:space="preserve"> SEQ Table \* ARABIC </w:instrText>
      </w:r>
      <w:r w:rsidRPr="009F1C5B">
        <w:rPr>
          <w:i w:val="0"/>
          <w:iCs w:val="0"/>
          <w:color w:val="auto"/>
          <w:sz w:val="20"/>
          <w:szCs w:val="20"/>
        </w:rPr>
        <w:fldChar w:fldCharType="separate"/>
      </w:r>
      <w:r w:rsidR="008624B8">
        <w:rPr>
          <w:i w:val="0"/>
          <w:iCs w:val="0"/>
          <w:noProof/>
          <w:color w:val="auto"/>
          <w:sz w:val="20"/>
          <w:szCs w:val="20"/>
        </w:rPr>
        <w:t>2</w:t>
      </w:r>
      <w:r w:rsidRPr="009F1C5B">
        <w:rPr>
          <w:i w:val="0"/>
          <w:iCs w:val="0"/>
          <w:color w:val="auto"/>
          <w:sz w:val="20"/>
          <w:szCs w:val="20"/>
        </w:rPr>
        <w:fldChar w:fldCharType="end"/>
      </w:r>
      <w:bookmarkEnd w:id="275"/>
      <w:r w:rsidRPr="009F1C5B">
        <w:rPr>
          <w:i w:val="0"/>
          <w:iCs w:val="0"/>
          <w:color w:val="auto"/>
          <w:sz w:val="20"/>
          <w:szCs w:val="20"/>
        </w:rPr>
        <w:t xml:space="preserve">. </w:t>
      </w:r>
      <w:r>
        <w:rPr>
          <w:i w:val="0"/>
          <w:iCs w:val="0"/>
          <w:color w:val="auto"/>
          <w:sz w:val="20"/>
          <w:szCs w:val="20"/>
        </w:rPr>
        <w:t>RRC message allowed</w:t>
      </w:r>
      <w:r w:rsidR="007F5262">
        <w:rPr>
          <w:i w:val="0"/>
          <w:iCs w:val="0"/>
          <w:color w:val="auto"/>
          <w:sz w:val="20"/>
          <w:szCs w:val="20"/>
        </w:rPr>
        <w:t xml:space="preserve"> at any time or</w:t>
      </w:r>
      <w:r>
        <w:rPr>
          <w:i w:val="0"/>
          <w:iCs w:val="0"/>
          <w:color w:val="auto"/>
          <w:sz w:val="20"/>
          <w:szCs w:val="20"/>
        </w:rPr>
        <w:t xml:space="preserve"> </w:t>
      </w:r>
      <w:r w:rsidR="007F5262">
        <w:rPr>
          <w:i w:val="0"/>
          <w:iCs w:val="0"/>
          <w:color w:val="auto"/>
          <w:sz w:val="20"/>
          <w:szCs w:val="20"/>
        </w:rPr>
        <w:t xml:space="preserve">only </w:t>
      </w:r>
      <w:r w:rsidR="007F5262" w:rsidRPr="007F5262">
        <w:rPr>
          <w:i w:val="0"/>
          <w:iCs w:val="0"/>
          <w:color w:val="auto"/>
          <w:sz w:val="20"/>
          <w:szCs w:val="20"/>
        </w:rPr>
        <w:t>at initiation of SDT session</w:t>
      </w:r>
    </w:p>
    <w:tbl>
      <w:tblPr>
        <w:tblStyle w:val="TableGrid"/>
        <w:tblW w:w="0" w:type="auto"/>
        <w:tblLook w:val="04A0" w:firstRow="1" w:lastRow="0" w:firstColumn="1" w:lastColumn="0" w:noHBand="0" w:noVBand="1"/>
      </w:tblPr>
      <w:tblGrid>
        <w:gridCol w:w="2283"/>
        <w:gridCol w:w="3472"/>
        <w:gridCol w:w="1890"/>
        <w:gridCol w:w="1694"/>
      </w:tblGrid>
      <w:tr w:rsidR="007F7E49" w14:paraId="6B3E20D1" w14:textId="77777777" w:rsidTr="00F1527E">
        <w:tc>
          <w:tcPr>
            <w:tcW w:w="2283" w:type="dxa"/>
            <w:shd w:val="clear" w:color="auto" w:fill="BFBFBF" w:themeFill="background1" w:themeFillShade="BF"/>
            <w:vAlign w:val="center"/>
          </w:tcPr>
          <w:p w14:paraId="09F0A3FF" w14:textId="7C67227D" w:rsidR="007F7E49" w:rsidRPr="007F7E49" w:rsidRDefault="007F7E49" w:rsidP="00AB4C0E">
            <w:pPr>
              <w:spacing w:after="0"/>
              <w:jc w:val="both"/>
              <w:rPr>
                <w:b/>
                <w:bCs/>
              </w:rPr>
            </w:pPr>
            <w:r w:rsidRPr="007F7E49">
              <w:rPr>
                <w:b/>
                <w:bCs/>
              </w:rPr>
              <w:t>RRC message</w:t>
            </w:r>
          </w:p>
        </w:tc>
        <w:tc>
          <w:tcPr>
            <w:tcW w:w="3472" w:type="dxa"/>
            <w:shd w:val="clear" w:color="auto" w:fill="BFBFBF" w:themeFill="background1" w:themeFillShade="BF"/>
            <w:vAlign w:val="center"/>
          </w:tcPr>
          <w:p w14:paraId="6FD012A6" w14:textId="093DC804" w:rsidR="007F7E49" w:rsidRPr="007F7E49" w:rsidRDefault="007F7E49" w:rsidP="00AB4C0E">
            <w:pPr>
              <w:spacing w:after="0"/>
              <w:jc w:val="both"/>
              <w:rPr>
                <w:b/>
                <w:bCs/>
              </w:rPr>
            </w:pPr>
            <w:r w:rsidRPr="007F7E49">
              <w:rPr>
                <w:b/>
                <w:bCs/>
              </w:rPr>
              <w:t>Purpose</w:t>
            </w:r>
          </w:p>
        </w:tc>
        <w:tc>
          <w:tcPr>
            <w:tcW w:w="1890" w:type="dxa"/>
            <w:shd w:val="clear" w:color="auto" w:fill="BFBFBF" w:themeFill="background1" w:themeFillShade="BF"/>
            <w:vAlign w:val="center"/>
          </w:tcPr>
          <w:p w14:paraId="6E9868E3" w14:textId="20FB575C" w:rsidR="007F7E49" w:rsidRPr="007F7E49" w:rsidRDefault="007F7E49" w:rsidP="00AB4C0E">
            <w:pPr>
              <w:spacing w:after="0"/>
              <w:jc w:val="both"/>
              <w:rPr>
                <w:b/>
                <w:bCs/>
              </w:rPr>
            </w:pPr>
            <w:r w:rsidRPr="002362A7">
              <w:rPr>
                <w:b/>
                <w:bCs/>
                <w:u w:val="single"/>
              </w:rPr>
              <w:t>Only</w:t>
            </w:r>
            <w:r w:rsidRPr="007F7E49">
              <w:rPr>
                <w:b/>
                <w:bCs/>
              </w:rPr>
              <w:t xml:space="preserve"> </w:t>
            </w:r>
            <w:bookmarkStart w:id="276" w:name="_Hlk67866464"/>
            <w:r w:rsidRPr="007F7E49">
              <w:rPr>
                <w:b/>
                <w:bCs/>
              </w:rPr>
              <w:t>at initiation of SDT session</w:t>
            </w:r>
            <w:bookmarkEnd w:id="276"/>
          </w:p>
        </w:tc>
        <w:tc>
          <w:tcPr>
            <w:tcW w:w="1694" w:type="dxa"/>
            <w:shd w:val="clear" w:color="auto" w:fill="BFBFBF" w:themeFill="background1" w:themeFillShade="BF"/>
            <w:vAlign w:val="center"/>
          </w:tcPr>
          <w:p w14:paraId="1C68602B" w14:textId="04EBC170" w:rsidR="007F7E49" w:rsidRPr="007F7E49" w:rsidRDefault="007F7E49" w:rsidP="00AB4C0E">
            <w:pPr>
              <w:spacing w:after="0"/>
              <w:jc w:val="both"/>
              <w:rPr>
                <w:b/>
                <w:bCs/>
              </w:rPr>
            </w:pPr>
            <w:r w:rsidRPr="007F7E49">
              <w:rPr>
                <w:b/>
                <w:bCs/>
              </w:rPr>
              <w:t>At any time of the SDT session</w:t>
            </w:r>
          </w:p>
        </w:tc>
      </w:tr>
      <w:tr w:rsidR="007F7E49" w14:paraId="3E1ACDC9" w14:textId="77777777" w:rsidTr="00F1527E">
        <w:tc>
          <w:tcPr>
            <w:tcW w:w="2283" w:type="dxa"/>
          </w:tcPr>
          <w:p w14:paraId="497DF1E7" w14:textId="4DC39B0A" w:rsidR="007F7E49" w:rsidRPr="007F7E49" w:rsidRDefault="007F7E49" w:rsidP="00AB4C0E">
            <w:pPr>
              <w:spacing w:after="0"/>
              <w:jc w:val="both"/>
              <w:rPr>
                <w:i/>
                <w:iCs/>
              </w:rPr>
            </w:pPr>
            <w:r w:rsidRPr="007F7E49">
              <w:rPr>
                <w:i/>
                <w:iCs/>
              </w:rPr>
              <w:t xml:space="preserve">RRCResumeRequest </w:t>
            </w:r>
          </w:p>
        </w:tc>
        <w:tc>
          <w:tcPr>
            <w:tcW w:w="3472" w:type="dxa"/>
          </w:tcPr>
          <w:p w14:paraId="7FB60E0B" w14:textId="7893AE3C" w:rsidR="007F7E49" w:rsidRDefault="0079799D" w:rsidP="00AB4C0E">
            <w:pPr>
              <w:spacing w:after="0"/>
              <w:jc w:val="both"/>
            </w:pPr>
            <w:r>
              <w:t>To initiate an SDT session</w:t>
            </w:r>
          </w:p>
        </w:tc>
        <w:tc>
          <w:tcPr>
            <w:tcW w:w="1890" w:type="dxa"/>
          </w:tcPr>
          <w:p w14:paraId="3CC31925" w14:textId="6C751912" w:rsidR="007F7E49" w:rsidRDefault="0079799D" w:rsidP="00AB4C0E">
            <w:pPr>
              <w:spacing w:after="0"/>
              <w:jc w:val="both"/>
            </w:pPr>
            <w:r>
              <w:t>Yes</w:t>
            </w:r>
          </w:p>
        </w:tc>
        <w:tc>
          <w:tcPr>
            <w:tcW w:w="1694" w:type="dxa"/>
          </w:tcPr>
          <w:p w14:paraId="0645C81E" w14:textId="589A9140" w:rsidR="007F7E49" w:rsidRDefault="007F7E49" w:rsidP="00AB4C0E">
            <w:pPr>
              <w:spacing w:after="0"/>
              <w:jc w:val="both"/>
            </w:pPr>
          </w:p>
        </w:tc>
      </w:tr>
      <w:tr w:rsidR="007F7E49" w14:paraId="448FE115" w14:textId="77777777" w:rsidTr="00F1527E">
        <w:tc>
          <w:tcPr>
            <w:tcW w:w="2283" w:type="dxa"/>
          </w:tcPr>
          <w:p w14:paraId="25557C47" w14:textId="6A2FE2B7" w:rsidR="007F7E49" w:rsidRDefault="007F7E49" w:rsidP="00AB4C0E">
            <w:pPr>
              <w:spacing w:after="0"/>
              <w:jc w:val="both"/>
            </w:pPr>
            <w:r w:rsidRPr="00FB0A4F">
              <w:rPr>
                <w:i/>
                <w:iCs/>
              </w:rPr>
              <w:t>RRCRelease</w:t>
            </w:r>
          </w:p>
        </w:tc>
        <w:tc>
          <w:tcPr>
            <w:tcW w:w="3472" w:type="dxa"/>
          </w:tcPr>
          <w:p w14:paraId="5B8D649E" w14:textId="7F28A19D" w:rsidR="007F7E49" w:rsidRDefault="0079799D" w:rsidP="00AB4C0E">
            <w:pPr>
              <w:spacing w:after="0"/>
              <w:jc w:val="both"/>
            </w:pPr>
            <w:r>
              <w:t>To end an SDT session</w:t>
            </w:r>
          </w:p>
        </w:tc>
        <w:tc>
          <w:tcPr>
            <w:tcW w:w="1890" w:type="dxa"/>
          </w:tcPr>
          <w:p w14:paraId="7DA39A1E" w14:textId="77777777" w:rsidR="007F7E49" w:rsidRDefault="007F7E49" w:rsidP="00AB4C0E">
            <w:pPr>
              <w:spacing w:after="0"/>
              <w:jc w:val="both"/>
            </w:pPr>
          </w:p>
        </w:tc>
        <w:tc>
          <w:tcPr>
            <w:tcW w:w="1694" w:type="dxa"/>
          </w:tcPr>
          <w:p w14:paraId="5A59DD69" w14:textId="2C0070A2" w:rsidR="007F7E49" w:rsidRDefault="0079799D" w:rsidP="00AB4C0E">
            <w:pPr>
              <w:spacing w:after="0"/>
              <w:jc w:val="both"/>
            </w:pPr>
            <w:r>
              <w:t>Yes</w:t>
            </w:r>
          </w:p>
        </w:tc>
      </w:tr>
      <w:tr w:rsidR="007F7E49" w14:paraId="33984CC4" w14:textId="77777777" w:rsidTr="00F1527E">
        <w:tc>
          <w:tcPr>
            <w:tcW w:w="2283" w:type="dxa"/>
          </w:tcPr>
          <w:p w14:paraId="5EBAB799" w14:textId="1620383E" w:rsidR="007F7E49" w:rsidRDefault="007F7E49" w:rsidP="00AB4C0E">
            <w:pPr>
              <w:spacing w:after="0"/>
              <w:jc w:val="both"/>
            </w:pPr>
            <w:r w:rsidRPr="00FB0A4F">
              <w:rPr>
                <w:i/>
                <w:iCs/>
              </w:rPr>
              <w:t>RRCRe</w:t>
            </w:r>
            <w:r>
              <w:rPr>
                <w:i/>
                <w:iCs/>
              </w:rPr>
              <w:t>ject</w:t>
            </w:r>
          </w:p>
        </w:tc>
        <w:tc>
          <w:tcPr>
            <w:tcW w:w="3472" w:type="dxa"/>
          </w:tcPr>
          <w:p w14:paraId="3C2241AC" w14:textId="6D7890D7" w:rsidR="007F7E49" w:rsidRDefault="0079799D" w:rsidP="00AB4C0E">
            <w:pPr>
              <w:spacing w:after="0"/>
              <w:jc w:val="both"/>
            </w:pPr>
            <w:r>
              <w:t>Not to start an SDT session under congestion scenarios</w:t>
            </w:r>
          </w:p>
        </w:tc>
        <w:tc>
          <w:tcPr>
            <w:tcW w:w="1890" w:type="dxa"/>
          </w:tcPr>
          <w:p w14:paraId="2EC29454" w14:textId="4E1E0C3B" w:rsidR="007F7E49" w:rsidRDefault="007F7E49" w:rsidP="00AB4C0E">
            <w:pPr>
              <w:spacing w:after="0"/>
              <w:jc w:val="both"/>
            </w:pPr>
            <w:r>
              <w:t>Yes</w:t>
            </w:r>
          </w:p>
        </w:tc>
        <w:tc>
          <w:tcPr>
            <w:tcW w:w="1694" w:type="dxa"/>
          </w:tcPr>
          <w:p w14:paraId="093E3C34" w14:textId="0E45AF84" w:rsidR="007F7E49" w:rsidRDefault="007F7E49" w:rsidP="00AB4C0E">
            <w:pPr>
              <w:spacing w:after="0"/>
              <w:jc w:val="both"/>
            </w:pPr>
          </w:p>
        </w:tc>
      </w:tr>
      <w:tr w:rsidR="0079799D" w14:paraId="0A603C8F" w14:textId="77777777" w:rsidTr="00F1527E">
        <w:tc>
          <w:tcPr>
            <w:tcW w:w="2283" w:type="dxa"/>
          </w:tcPr>
          <w:p w14:paraId="3BF5777C" w14:textId="6F8FF928" w:rsidR="0079799D" w:rsidRPr="00FB0A4F" w:rsidRDefault="0079799D" w:rsidP="00AB4C0E">
            <w:pPr>
              <w:spacing w:after="0"/>
              <w:jc w:val="both"/>
              <w:rPr>
                <w:i/>
                <w:iCs/>
              </w:rPr>
            </w:pPr>
            <w:r>
              <w:rPr>
                <w:i/>
                <w:iCs/>
              </w:rPr>
              <w:t>RRCResume</w:t>
            </w:r>
          </w:p>
        </w:tc>
        <w:tc>
          <w:tcPr>
            <w:tcW w:w="3472" w:type="dxa"/>
          </w:tcPr>
          <w:p w14:paraId="52F5B294" w14:textId="4F384ACF" w:rsidR="0079799D" w:rsidRDefault="0079799D" w:rsidP="00AB4C0E">
            <w:pPr>
              <w:spacing w:after="0"/>
              <w:jc w:val="both"/>
            </w:pPr>
            <w:r>
              <w:t>To fallbac</w:t>
            </w:r>
            <w:r w:rsidR="002362A7">
              <w:t>k into legacy resume</w:t>
            </w:r>
          </w:p>
        </w:tc>
        <w:tc>
          <w:tcPr>
            <w:tcW w:w="1890" w:type="dxa"/>
          </w:tcPr>
          <w:p w14:paraId="36D0AC23" w14:textId="77777777" w:rsidR="0079799D" w:rsidRDefault="0079799D" w:rsidP="00AB4C0E">
            <w:pPr>
              <w:spacing w:after="0"/>
              <w:jc w:val="both"/>
            </w:pPr>
          </w:p>
        </w:tc>
        <w:tc>
          <w:tcPr>
            <w:tcW w:w="1694" w:type="dxa"/>
          </w:tcPr>
          <w:p w14:paraId="7E68826B" w14:textId="33C325F5" w:rsidR="0079799D" w:rsidRDefault="002362A7" w:rsidP="00AB4C0E">
            <w:pPr>
              <w:spacing w:after="0"/>
              <w:jc w:val="both"/>
            </w:pPr>
            <w:r>
              <w:t>Yes</w:t>
            </w:r>
          </w:p>
        </w:tc>
      </w:tr>
      <w:tr w:rsidR="002362A7" w14:paraId="74C39B42" w14:textId="77777777" w:rsidTr="00F1527E">
        <w:tc>
          <w:tcPr>
            <w:tcW w:w="2283" w:type="dxa"/>
          </w:tcPr>
          <w:p w14:paraId="7D190580" w14:textId="55A692A9" w:rsidR="002362A7" w:rsidRDefault="002362A7" w:rsidP="00AB4C0E">
            <w:pPr>
              <w:spacing w:after="0"/>
              <w:jc w:val="both"/>
              <w:rPr>
                <w:i/>
                <w:iCs/>
              </w:rPr>
            </w:pPr>
            <w:r>
              <w:rPr>
                <w:i/>
                <w:iCs/>
              </w:rPr>
              <w:t>RRCSetup</w:t>
            </w:r>
          </w:p>
        </w:tc>
        <w:tc>
          <w:tcPr>
            <w:tcW w:w="3472" w:type="dxa"/>
          </w:tcPr>
          <w:p w14:paraId="43F4FEBA" w14:textId="52145E06" w:rsidR="002362A7" w:rsidRDefault="002362A7" w:rsidP="00AB4C0E">
            <w:pPr>
              <w:spacing w:after="0"/>
              <w:jc w:val="both"/>
            </w:pPr>
            <w:r>
              <w:t>To fallback into legacy setup</w:t>
            </w:r>
          </w:p>
        </w:tc>
        <w:tc>
          <w:tcPr>
            <w:tcW w:w="1890" w:type="dxa"/>
          </w:tcPr>
          <w:p w14:paraId="28DD0FE5" w14:textId="56B00A2F" w:rsidR="002362A7" w:rsidRDefault="002362A7" w:rsidP="00AB4C0E">
            <w:pPr>
              <w:spacing w:after="0"/>
              <w:jc w:val="both"/>
            </w:pPr>
            <w:r>
              <w:t>Yes</w:t>
            </w:r>
          </w:p>
        </w:tc>
        <w:tc>
          <w:tcPr>
            <w:tcW w:w="1694" w:type="dxa"/>
          </w:tcPr>
          <w:p w14:paraId="43B7945D" w14:textId="77777777" w:rsidR="002362A7" w:rsidRDefault="002362A7" w:rsidP="00AB4C0E">
            <w:pPr>
              <w:spacing w:after="0"/>
              <w:jc w:val="both"/>
            </w:pPr>
          </w:p>
        </w:tc>
      </w:tr>
      <w:tr w:rsidR="002B1680" w14:paraId="2930DFCC" w14:textId="77777777" w:rsidTr="00F1527E">
        <w:tc>
          <w:tcPr>
            <w:tcW w:w="2283" w:type="dxa"/>
          </w:tcPr>
          <w:p w14:paraId="52045C6F" w14:textId="34D023A7" w:rsidR="002B1680" w:rsidRPr="002362A7" w:rsidRDefault="002B1680" w:rsidP="00AB4C0E">
            <w:pPr>
              <w:spacing w:after="0"/>
              <w:jc w:val="both"/>
              <w:rPr>
                <w:i/>
                <w:iCs/>
              </w:rPr>
            </w:pPr>
            <w:r w:rsidRPr="002B1680">
              <w:rPr>
                <w:i/>
                <w:iCs/>
              </w:rPr>
              <w:t>DLInformationTransfer</w:t>
            </w:r>
            <w:r>
              <w:rPr>
                <w:i/>
                <w:iCs/>
              </w:rPr>
              <w:t>,</w:t>
            </w:r>
            <w:r w:rsidRPr="002B1680">
              <w:rPr>
                <w:i/>
                <w:iCs/>
              </w:rPr>
              <w:t xml:space="preserve"> ULInformationTransfer</w:t>
            </w:r>
          </w:p>
        </w:tc>
        <w:tc>
          <w:tcPr>
            <w:tcW w:w="3472" w:type="dxa"/>
          </w:tcPr>
          <w:p w14:paraId="0C5AF248" w14:textId="4C68AE18" w:rsidR="002B1680" w:rsidRPr="002B1680" w:rsidRDefault="002B1680" w:rsidP="00AB4C0E">
            <w:pPr>
              <w:spacing w:after="0"/>
              <w:jc w:val="both"/>
            </w:pPr>
            <w:r w:rsidRPr="002B1680">
              <w:t xml:space="preserve">To transfer NAS </w:t>
            </w:r>
            <w:r w:rsidR="00E33F61">
              <w:t xml:space="preserve">PDU </w:t>
            </w:r>
            <w:r w:rsidR="009732F4">
              <w:t>(as SRB can be used during SDT ongoing session)</w:t>
            </w:r>
            <w:r w:rsidR="00A10E8D">
              <w:t xml:space="preserve"> e.g. for positioning</w:t>
            </w:r>
          </w:p>
        </w:tc>
        <w:tc>
          <w:tcPr>
            <w:tcW w:w="1890" w:type="dxa"/>
          </w:tcPr>
          <w:p w14:paraId="180D7379" w14:textId="77777777" w:rsidR="002B1680" w:rsidRDefault="002B1680" w:rsidP="00AB4C0E">
            <w:pPr>
              <w:spacing w:after="0"/>
              <w:jc w:val="both"/>
            </w:pPr>
          </w:p>
        </w:tc>
        <w:tc>
          <w:tcPr>
            <w:tcW w:w="1694" w:type="dxa"/>
          </w:tcPr>
          <w:p w14:paraId="5713AF17" w14:textId="4EA154E0" w:rsidR="002B1680" w:rsidRDefault="009732F4" w:rsidP="00AB4C0E">
            <w:pPr>
              <w:spacing w:after="0"/>
              <w:jc w:val="both"/>
            </w:pPr>
            <w:r>
              <w:t>Yes</w:t>
            </w:r>
          </w:p>
        </w:tc>
      </w:tr>
    </w:tbl>
    <w:p w14:paraId="3D9F8378" w14:textId="014DFFA8" w:rsidR="007F7E49" w:rsidRDefault="007F7E49" w:rsidP="00AB4C0E">
      <w:pPr>
        <w:spacing w:after="0"/>
        <w:jc w:val="both"/>
      </w:pPr>
    </w:p>
    <w:p w14:paraId="52E53152" w14:textId="5E5EE7B2" w:rsidR="003250AA" w:rsidRDefault="003250AA" w:rsidP="001206EB">
      <w:pPr>
        <w:jc w:val="both"/>
      </w:pPr>
      <w:r>
        <w:t>Note 1: initiation of SDT session refers to the 1</w:t>
      </w:r>
      <w:r w:rsidRPr="003E22F5">
        <w:rPr>
          <w:vertAlign w:val="superscript"/>
        </w:rPr>
        <w:t>st</w:t>
      </w:r>
      <w:r>
        <w:t xml:space="preserve"> </w:t>
      </w:r>
      <w:r w:rsidR="0064068E">
        <w:t xml:space="preserve">UL SDT </w:t>
      </w:r>
      <w:r>
        <w:t>and 2</w:t>
      </w:r>
      <w:r w:rsidRPr="003E22F5">
        <w:rPr>
          <w:vertAlign w:val="superscript"/>
        </w:rPr>
        <w:t>nd</w:t>
      </w:r>
      <w:r>
        <w:t xml:space="preserve"> </w:t>
      </w:r>
      <w:r w:rsidR="0064068E">
        <w:t>DL</w:t>
      </w:r>
      <w:r>
        <w:t xml:space="preserve"> SDT</w:t>
      </w:r>
      <w:r w:rsidR="0064068E">
        <w:t xml:space="preserve"> exchanges.</w:t>
      </w:r>
    </w:p>
    <w:p w14:paraId="21BF0239" w14:textId="5865A69C" w:rsidR="000036C2" w:rsidRPr="00927434" w:rsidRDefault="000036C2" w:rsidP="00AB4C0E">
      <w:pPr>
        <w:pStyle w:val="Proposal"/>
        <w:numPr>
          <w:ilvl w:val="0"/>
          <w:numId w:val="4"/>
        </w:numPr>
        <w:rPr>
          <w:lang w:val="en-US"/>
        </w:rPr>
      </w:pPr>
      <w:bookmarkStart w:id="277" w:name="_Toc67954614"/>
      <w:bookmarkStart w:id="278" w:name="_Toc68054682"/>
      <w:bookmarkStart w:id="279" w:name="_Toc68055295"/>
      <w:bookmarkStart w:id="280" w:name="_Toc68204645"/>
      <w:bookmarkStart w:id="281" w:name="_Toc68204902"/>
      <w:bookmarkStart w:id="282" w:name="_Toc68205702"/>
      <w:bookmarkStart w:id="283" w:name="_Toc71326964"/>
      <w:bookmarkStart w:id="284" w:name="_Toc67870091"/>
      <w:bookmarkStart w:id="285" w:name="_Toc67870177"/>
      <w:bookmarkStart w:id="286" w:name="_Toc71402941"/>
      <w:bookmarkStart w:id="287" w:name="_Toc71569662"/>
      <w:bookmarkStart w:id="288" w:name="_Toc71570050"/>
      <w:r>
        <w:rPr>
          <w:lang w:val="en-US"/>
        </w:rPr>
        <w:t xml:space="preserve">To confirm that the following RRC messages are allowed during an SDT session </w:t>
      </w:r>
      <w:r w:rsidR="003250AA">
        <w:rPr>
          <w:lang w:val="en-US"/>
        </w:rPr>
        <w:t>(</w:t>
      </w:r>
      <w:r w:rsidRPr="00CE3B1F">
        <w:rPr>
          <w:lang w:val="en-US"/>
        </w:rPr>
        <w:t xml:space="preserve">as shown in </w:t>
      </w:r>
      <w:r w:rsidRPr="007F5262">
        <w:fldChar w:fldCharType="begin"/>
      </w:r>
      <w:r w:rsidRPr="007F5262">
        <w:instrText xml:space="preserve"> REF _Ref67866487 \h  \* MERGEFORMAT </w:instrText>
      </w:r>
      <w:r w:rsidRPr="007F5262">
        <w:fldChar w:fldCharType="separate"/>
      </w:r>
      <w:r w:rsidR="008624B8" w:rsidRPr="009F1C5B">
        <w:t xml:space="preserve">Table </w:t>
      </w:r>
      <w:r w:rsidR="008624B8" w:rsidRPr="0094356D">
        <w:rPr>
          <w:noProof/>
        </w:rPr>
        <w:t>2</w:t>
      </w:r>
      <w:r w:rsidRPr="007F5262">
        <w:fldChar w:fldCharType="end"/>
      </w:r>
      <w:r w:rsidR="003250AA">
        <w:t>)</w:t>
      </w:r>
      <w:r>
        <w:t xml:space="preserve">: </w:t>
      </w:r>
      <w:r w:rsidR="00C61B1D">
        <w:t>only at the initiation phase,</w:t>
      </w:r>
      <w:r w:rsidR="00C61B1D" w:rsidRPr="00C61B1D">
        <w:rPr>
          <w:i/>
          <w:iCs/>
        </w:rPr>
        <w:t xml:space="preserve"> </w:t>
      </w:r>
      <w:r w:rsidR="00531F55" w:rsidRPr="00C61B1D">
        <w:rPr>
          <w:i/>
          <w:iCs/>
        </w:rPr>
        <w:t>RRCResumeRequest, RRC</w:t>
      </w:r>
      <w:r w:rsidR="00C61B1D" w:rsidRPr="00C61B1D">
        <w:rPr>
          <w:i/>
          <w:iCs/>
        </w:rPr>
        <w:t>Reject, and RRCSetup</w:t>
      </w:r>
      <w:r w:rsidR="00531F55">
        <w:t>; and, at any time of the SDT session</w:t>
      </w:r>
      <w:r w:rsidR="00C61B1D">
        <w:t xml:space="preserve">, </w:t>
      </w:r>
      <w:r w:rsidR="00C61B1D" w:rsidRPr="00C61B1D">
        <w:rPr>
          <w:i/>
          <w:iCs/>
        </w:rPr>
        <w:t xml:space="preserve">RRCRelease, RRCResume, DLInformationTransfer, </w:t>
      </w:r>
      <w:r w:rsidR="0098136C">
        <w:t xml:space="preserve">and </w:t>
      </w:r>
      <w:r w:rsidR="00C61B1D" w:rsidRPr="00C61B1D">
        <w:rPr>
          <w:i/>
          <w:iCs/>
        </w:rPr>
        <w:t>ULInformationTransfer</w:t>
      </w:r>
      <w:r w:rsidR="0098136C">
        <w:rPr>
          <w:i/>
          <w:iCs/>
        </w:rPr>
        <w:t>.</w:t>
      </w:r>
      <w:bookmarkEnd w:id="277"/>
      <w:bookmarkEnd w:id="278"/>
      <w:bookmarkEnd w:id="279"/>
      <w:bookmarkEnd w:id="280"/>
      <w:bookmarkEnd w:id="281"/>
      <w:bookmarkEnd w:id="282"/>
      <w:bookmarkEnd w:id="283"/>
      <w:r w:rsidR="00C61B1D" w:rsidRPr="00C61B1D">
        <w:rPr>
          <w:i/>
          <w:iCs/>
        </w:rPr>
        <w:t xml:space="preserve"> </w:t>
      </w:r>
      <w:bookmarkEnd w:id="284"/>
      <w:bookmarkEnd w:id="285"/>
      <w:r w:rsidR="008D7617" w:rsidRPr="0094356D">
        <w:t>FFS</w:t>
      </w:r>
      <w:r w:rsidR="008D7617">
        <w:t xml:space="preserve"> on new requirements from positioning WI for other RRC messages, if any.</w:t>
      </w:r>
      <w:bookmarkEnd w:id="286"/>
      <w:bookmarkEnd w:id="287"/>
      <w:bookmarkEnd w:id="288"/>
    </w:p>
    <w:p w14:paraId="1712F8B2" w14:textId="77777777" w:rsidR="0004361A" w:rsidRPr="00A56F91" w:rsidRDefault="0004361A" w:rsidP="00AB4C0E">
      <w:pPr>
        <w:jc w:val="both"/>
      </w:pPr>
    </w:p>
    <w:p w14:paraId="59A2A7A8" w14:textId="5006BB29" w:rsidR="00785DF7" w:rsidRPr="005D4478" w:rsidRDefault="00785DF7" w:rsidP="00AB4C0E">
      <w:pPr>
        <w:jc w:val="both"/>
      </w:pPr>
    </w:p>
    <w:p w14:paraId="2D46F9A6" w14:textId="77777777" w:rsidR="00785DF7" w:rsidRPr="005D4478" w:rsidRDefault="00785DF7" w:rsidP="00AB4C0E">
      <w:pPr>
        <w:jc w:val="both"/>
      </w:pPr>
    </w:p>
    <w:p w14:paraId="5AB4BABA" w14:textId="77777777" w:rsidR="00EB410E" w:rsidRPr="005D4478" w:rsidRDefault="00EB410E" w:rsidP="00AB4C0E">
      <w:pPr>
        <w:pStyle w:val="Heading1"/>
        <w:numPr>
          <w:ilvl w:val="0"/>
          <w:numId w:val="2"/>
        </w:numPr>
        <w:jc w:val="both"/>
        <w:rPr>
          <w:noProof w:val="0"/>
          <w:lang w:val="en-US"/>
        </w:rPr>
      </w:pPr>
      <w:r w:rsidRPr="005D4478">
        <w:rPr>
          <w:noProof w:val="0"/>
          <w:lang w:val="en-US"/>
        </w:rPr>
        <w:t>Conclusion</w:t>
      </w:r>
    </w:p>
    <w:p w14:paraId="626C5779" w14:textId="77777777" w:rsidR="00EB410E" w:rsidRPr="005D4478" w:rsidRDefault="00EB410E" w:rsidP="00AB4C0E">
      <w:pPr>
        <w:spacing w:after="60"/>
        <w:jc w:val="both"/>
        <w:rPr>
          <w:lang w:eastAsia="zh-CN"/>
        </w:rPr>
      </w:pPr>
      <w:r w:rsidRPr="005D4478">
        <w:rPr>
          <w:iCs/>
          <w:lang w:eastAsia="ja-JP"/>
        </w:rPr>
        <w:t>The observations captured are the following</w:t>
      </w:r>
      <w:r w:rsidRPr="005D4478">
        <w:rPr>
          <w:lang w:eastAsia="zh-CN"/>
        </w:rPr>
        <w:t>:</w:t>
      </w:r>
    </w:p>
    <w:p w14:paraId="62A37171" w14:textId="77777777" w:rsidR="00CF3BF5" w:rsidRDefault="00EB410E">
      <w:pPr>
        <w:pStyle w:val="TOC1"/>
        <w:rPr>
          <w:rFonts w:asciiTheme="minorHAnsi" w:eastAsiaTheme="minorEastAsia" w:hAnsiTheme="minorHAnsi" w:cstheme="minorBidi"/>
          <w:noProof/>
          <w:sz w:val="22"/>
        </w:rPr>
      </w:pPr>
      <w:r w:rsidRPr="005D4478">
        <w:rPr>
          <w:iCs/>
          <w:lang w:eastAsia="ja-JP"/>
        </w:rPr>
        <w:fldChar w:fldCharType="begin"/>
      </w:r>
      <w:r w:rsidRPr="005D4478">
        <w:rPr>
          <w:iCs/>
          <w:lang w:eastAsia="ja-JP"/>
        </w:rPr>
        <w:instrText xml:space="preserve"> TOC \n \p " " \t "observ.,1" </w:instrText>
      </w:r>
      <w:r w:rsidRPr="005D4478">
        <w:rPr>
          <w:iCs/>
          <w:lang w:eastAsia="ja-JP"/>
        </w:rPr>
        <w:fldChar w:fldCharType="separate"/>
      </w:r>
      <w:r w:rsidR="00CF3BF5" w:rsidRPr="00671B31">
        <w:rPr>
          <w:b/>
          <w:noProof/>
        </w:rPr>
        <w:t>Observation 1.</w:t>
      </w:r>
      <w:r w:rsidR="00CF3BF5">
        <w:rPr>
          <w:rFonts w:asciiTheme="minorHAnsi" w:eastAsiaTheme="minorEastAsia" w:hAnsiTheme="minorHAnsi" w:cstheme="minorBidi"/>
          <w:noProof/>
          <w:sz w:val="22"/>
        </w:rPr>
        <w:tab/>
      </w:r>
      <w:r w:rsidR="00CF3BF5">
        <w:rPr>
          <w:noProof/>
        </w:rPr>
        <w:t>CCCH option using the current Resume procedure breaks security requirements for the RBs of not using the same COUNT value for a given security key.</w:t>
      </w:r>
    </w:p>
    <w:p w14:paraId="3343EEEB" w14:textId="77777777" w:rsidR="00CF3BF5" w:rsidRDefault="00CF3BF5">
      <w:pPr>
        <w:pStyle w:val="TOC1"/>
        <w:rPr>
          <w:rFonts w:asciiTheme="minorHAnsi" w:eastAsiaTheme="minorEastAsia" w:hAnsiTheme="minorHAnsi" w:cstheme="minorBidi"/>
          <w:noProof/>
          <w:sz w:val="22"/>
        </w:rPr>
      </w:pPr>
      <w:r w:rsidRPr="00671B31">
        <w:rPr>
          <w:b/>
          <w:noProof/>
        </w:rPr>
        <w:t>Observation 2.</w:t>
      </w:r>
      <w:r>
        <w:rPr>
          <w:rFonts w:asciiTheme="minorHAnsi" w:eastAsiaTheme="minorEastAsia" w:hAnsiTheme="minorHAnsi" w:cstheme="minorBidi"/>
          <w:noProof/>
          <w:sz w:val="22"/>
        </w:rPr>
        <w:tab/>
      </w:r>
      <w:r>
        <w:rPr>
          <w:noProof/>
        </w:rPr>
        <w:t>The CCCH option where UE initiates another CCCH message to the network when data on non-SDT DRB is available has the following disadvantages:</w:t>
      </w:r>
    </w:p>
    <w:p w14:paraId="5031724E" w14:textId="77777777" w:rsidR="00CF3BF5" w:rsidRDefault="00CF3BF5">
      <w:pPr>
        <w:pStyle w:val="TOC1"/>
        <w:rPr>
          <w:rFonts w:asciiTheme="minorHAnsi" w:eastAsiaTheme="minorEastAsia" w:hAnsiTheme="minorHAnsi" w:cstheme="minorBidi"/>
          <w:noProof/>
          <w:sz w:val="22"/>
        </w:rPr>
      </w:pPr>
      <w:r>
        <w:rPr>
          <w:noProof/>
        </w:rPr>
        <w:t>(a)</w:t>
      </w:r>
      <w:r>
        <w:rPr>
          <w:rFonts w:asciiTheme="minorHAnsi" w:eastAsiaTheme="minorEastAsia" w:hAnsiTheme="minorHAnsi" w:cstheme="minorBidi"/>
          <w:noProof/>
          <w:sz w:val="22"/>
        </w:rPr>
        <w:tab/>
      </w:r>
      <w:r>
        <w:rPr>
          <w:noProof/>
        </w:rPr>
        <w:t>Breaks the security requirement captured in RRC spec that same COUNT and key should not be used</w:t>
      </w:r>
    </w:p>
    <w:p w14:paraId="13FAF860" w14:textId="77777777" w:rsidR="00CF3BF5" w:rsidRDefault="00CF3BF5">
      <w:pPr>
        <w:pStyle w:val="TOC1"/>
        <w:rPr>
          <w:rFonts w:asciiTheme="minorHAnsi" w:eastAsiaTheme="minorEastAsia" w:hAnsiTheme="minorHAnsi" w:cstheme="minorBidi"/>
          <w:noProof/>
          <w:sz w:val="22"/>
        </w:rPr>
      </w:pPr>
      <w:r>
        <w:rPr>
          <w:noProof/>
        </w:rPr>
        <w:lastRenderedPageBreak/>
        <w:t>(b)</w:t>
      </w:r>
      <w:r>
        <w:rPr>
          <w:rFonts w:asciiTheme="minorHAnsi" w:eastAsiaTheme="minorEastAsia" w:hAnsiTheme="minorHAnsi" w:cstheme="minorBidi"/>
          <w:noProof/>
          <w:sz w:val="22"/>
        </w:rPr>
        <w:tab/>
      </w:r>
      <w:r>
        <w:rPr>
          <w:noProof/>
        </w:rPr>
        <w:t>Wrong I-RNTI in the second ResumeRequest and unable to identify the UE context if the network relocated the UE context to serving gNB</w:t>
      </w:r>
    </w:p>
    <w:p w14:paraId="1E172CC8" w14:textId="77777777" w:rsidR="00CF3BF5" w:rsidRDefault="00CF3BF5">
      <w:pPr>
        <w:pStyle w:val="TOC1"/>
        <w:rPr>
          <w:rFonts w:asciiTheme="minorHAnsi" w:eastAsiaTheme="minorEastAsia" w:hAnsiTheme="minorHAnsi" w:cstheme="minorBidi"/>
          <w:noProof/>
          <w:sz w:val="22"/>
        </w:rPr>
      </w:pPr>
      <w:r>
        <w:rPr>
          <w:noProof/>
        </w:rPr>
        <w:t>(c)</w:t>
      </w:r>
      <w:r>
        <w:rPr>
          <w:rFonts w:asciiTheme="minorHAnsi" w:eastAsiaTheme="minorEastAsia" w:hAnsiTheme="minorHAnsi" w:cstheme="minorBidi"/>
          <w:noProof/>
          <w:sz w:val="22"/>
        </w:rPr>
        <w:tab/>
      </w:r>
      <w:r>
        <w:rPr>
          <w:noProof/>
        </w:rPr>
        <w:t>Additional signalling to the network, including RACH</w:t>
      </w:r>
    </w:p>
    <w:p w14:paraId="7A1DA714" w14:textId="77777777" w:rsidR="00CF3BF5" w:rsidRDefault="00CF3BF5">
      <w:pPr>
        <w:pStyle w:val="TOC1"/>
        <w:rPr>
          <w:rFonts w:asciiTheme="minorHAnsi" w:eastAsiaTheme="minorEastAsia" w:hAnsiTheme="minorHAnsi" w:cstheme="minorBidi"/>
          <w:noProof/>
          <w:sz w:val="22"/>
        </w:rPr>
      </w:pPr>
      <w:r>
        <w:rPr>
          <w:noProof/>
        </w:rPr>
        <w:t>(d)</w:t>
      </w:r>
      <w:r>
        <w:rPr>
          <w:rFonts w:asciiTheme="minorHAnsi" w:eastAsiaTheme="minorEastAsia" w:hAnsiTheme="minorHAnsi" w:cstheme="minorBidi"/>
          <w:noProof/>
          <w:sz w:val="22"/>
        </w:rPr>
        <w:tab/>
      </w:r>
      <w:r>
        <w:rPr>
          <w:noProof/>
        </w:rPr>
        <w:t>Reset L2 and potentially re-tx SDT data on non-SDT data arrival</w:t>
      </w:r>
    </w:p>
    <w:p w14:paraId="5E9FB3D5" w14:textId="77777777" w:rsidR="00CF3BF5" w:rsidRDefault="00CF3BF5">
      <w:pPr>
        <w:pStyle w:val="TOC1"/>
        <w:rPr>
          <w:rFonts w:asciiTheme="minorHAnsi" w:eastAsiaTheme="minorEastAsia" w:hAnsiTheme="minorHAnsi" w:cstheme="minorBidi"/>
          <w:noProof/>
          <w:sz w:val="22"/>
        </w:rPr>
      </w:pPr>
      <w:r>
        <w:rPr>
          <w:noProof/>
        </w:rPr>
        <w:t>(e)</w:t>
      </w:r>
      <w:r>
        <w:rPr>
          <w:rFonts w:asciiTheme="minorHAnsi" w:eastAsiaTheme="minorEastAsia" w:hAnsiTheme="minorHAnsi" w:cstheme="minorBidi"/>
          <w:noProof/>
          <w:sz w:val="22"/>
        </w:rPr>
        <w:tab/>
      </w:r>
      <w:r>
        <w:rPr>
          <w:noProof/>
        </w:rPr>
        <w:t>More complex solution from implementation and specification point of view</w:t>
      </w:r>
    </w:p>
    <w:p w14:paraId="2FC2DF1A" w14:textId="77777777" w:rsidR="00CF3BF5" w:rsidRDefault="00CF3BF5">
      <w:pPr>
        <w:pStyle w:val="TOC1"/>
        <w:rPr>
          <w:rFonts w:asciiTheme="minorHAnsi" w:eastAsiaTheme="minorEastAsia" w:hAnsiTheme="minorHAnsi" w:cstheme="minorBidi"/>
          <w:noProof/>
          <w:sz w:val="22"/>
        </w:rPr>
      </w:pPr>
      <w:r>
        <w:rPr>
          <w:noProof/>
        </w:rPr>
        <w:t>(f)</w:t>
      </w:r>
      <w:r>
        <w:rPr>
          <w:rFonts w:asciiTheme="minorHAnsi" w:eastAsiaTheme="minorEastAsia" w:hAnsiTheme="minorHAnsi" w:cstheme="minorBidi"/>
          <w:noProof/>
          <w:sz w:val="22"/>
        </w:rPr>
        <w:tab/>
      </w:r>
      <w:r>
        <w:rPr>
          <w:noProof/>
        </w:rPr>
        <w:t>Additional delay in sending data after non-SDT data arrival (from RACH, ResumeReq)</w:t>
      </w:r>
    </w:p>
    <w:p w14:paraId="61F5B16C" w14:textId="77777777" w:rsidR="00CF3BF5" w:rsidRDefault="00CF3BF5">
      <w:pPr>
        <w:pStyle w:val="TOC1"/>
        <w:rPr>
          <w:rFonts w:asciiTheme="minorHAnsi" w:eastAsiaTheme="minorEastAsia" w:hAnsiTheme="minorHAnsi" w:cstheme="minorBidi"/>
          <w:noProof/>
          <w:sz w:val="22"/>
        </w:rPr>
      </w:pPr>
      <w:r>
        <w:rPr>
          <w:noProof/>
        </w:rPr>
        <w:t>(g)</w:t>
      </w:r>
      <w:r>
        <w:rPr>
          <w:rFonts w:asciiTheme="minorHAnsi" w:eastAsiaTheme="minorEastAsia" w:hAnsiTheme="minorHAnsi" w:cstheme="minorBidi"/>
          <w:noProof/>
          <w:sz w:val="22"/>
        </w:rPr>
        <w:tab/>
      </w:r>
      <w:r>
        <w:rPr>
          <w:noProof/>
        </w:rPr>
        <w:t>UAC for a UE in RRC_INACTIVE is applied again to send non-SDT data</w:t>
      </w:r>
    </w:p>
    <w:p w14:paraId="29A4794B" w14:textId="77777777" w:rsidR="00CF3BF5" w:rsidRDefault="00CF3BF5">
      <w:pPr>
        <w:pStyle w:val="TOC1"/>
        <w:rPr>
          <w:rFonts w:asciiTheme="minorHAnsi" w:eastAsiaTheme="minorEastAsia" w:hAnsiTheme="minorHAnsi" w:cstheme="minorBidi"/>
          <w:noProof/>
          <w:sz w:val="22"/>
        </w:rPr>
      </w:pPr>
      <w:r>
        <w:rPr>
          <w:noProof/>
        </w:rPr>
        <w:t>(h)</w:t>
      </w:r>
      <w:r>
        <w:rPr>
          <w:rFonts w:asciiTheme="minorHAnsi" w:eastAsiaTheme="minorEastAsia" w:hAnsiTheme="minorHAnsi" w:cstheme="minorBidi"/>
          <w:noProof/>
          <w:sz w:val="22"/>
        </w:rPr>
        <w:tab/>
      </w:r>
      <w:r>
        <w:rPr>
          <w:noProof/>
        </w:rPr>
        <w:t>Is dependent on positive response to the LSes to SA3 and CT1</w:t>
      </w:r>
    </w:p>
    <w:p w14:paraId="25CDEBCB" w14:textId="77777777" w:rsidR="00CF3BF5" w:rsidRDefault="00CF3BF5">
      <w:pPr>
        <w:pStyle w:val="TOC1"/>
        <w:rPr>
          <w:rFonts w:asciiTheme="minorHAnsi" w:eastAsiaTheme="minorEastAsia" w:hAnsiTheme="minorHAnsi" w:cstheme="minorBidi"/>
          <w:noProof/>
          <w:sz w:val="22"/>
        </w:rPr>
      </w:pPr>
      <w:r w:rsidRPr="00671B31">
        <w:rPr>
          <w:b/>
          <w:noProof/>
        </w:rPr>
        <w:t>Observation 3.</w:t>
      </w:r>
      <w:r>
        <w:rPr>
          <w:rFonts w:asciiTheme="minorHAnsi" w:eastAsiaTheme="minorEastAsia" w:hAnsiTheme="minorHAnsi" w:cstheme="minorBidi"/>
          <w:noProof/>
          <w:sz w:val="22"/>
        </w:rPr>
        <w:tab/>
      </w:r>
      <w:r>
        <w:rPr>
          <w:noProof/>
        </w:rPr>
        <w:t>Delta signalling of legacy Suspend and SDT configuration can reduce signalling overhead compared to volume of data</w:t>
      </w:r>
    </w:p>
    <w:p w14:paraId="67DB9167" w14:textId="77777777" w:rsidR="00CF3BF5" w:rsidRDefault="00CF3BF5">
      <w:pPr>
        <w:pStyle w:val="TOC1"/>
        <w:rPr>
          <w:rFonts w:asciiTheme="minorHAnsi" w:eastAsiaTheme="minorEastAsia" w:hAnsiTheme="minorHAnsi" w:cstheme="minorBidi"/>
          <w:noProof/>
          <w:sz w:val="22"/>
        </w:rPr>
      </w:pPr>
      <w:r w:rsidRPr="00671B31">
        <w:rPr>
          <w:b/>
          <w:noProof/>
        </w:rPr>
        <w:t>Observation 4.</w:t>
      </w:r>
      <w:r>
        <w:rPr>
          <w:rFonts w:asciiTheme="minorHAnsi" w:eastAsiaTheme="minorEastAsia" w:hAnsiTheme="minorHAnsi" w:cstheme="minorBidi"/>
          <w:noProof/>
          <w:sz w:val="22"/>
        </w:rPr>
        <w:tab/>
      </w:r>
      <w:r>
        <w:rPr>
          <w:noProof/>
        </w:rPr>
        <w:t>Decision whether to continue RoHC has to be known at the UE before SDT while the network decision of whether to perform context relocation is taken only after network receives SDT.</w:t>
      </w:r>
    </w:p>
    <w:p w14:paraId="6D660145" w14:textId="77777777" w:rsidR="00CF3BF5" w:rsidRDefault="00CF3BF5">
      <w:pPr>
        <w:pStyle w:val="TOC1"/>
        <w:rPr>
          <w:rFonts w:asciiTheme="minorHAnsi" w:eastAsiaTheme="minorEastAsia" w:hAnsiTheme="minorHAnsi" w:cstheme="minorBidi"/>
          <w:noProof/>
          <w:sz w:val="22"/>
        </w:rPr>
      </w:pPr>
      <w:r w:rsidRPr="00671B31">
        <w:rPr>
          <w:b/>
          <w:noProof/>
        </w:rPr>
        <w:t>Observation 5.</w:t>
      </w:r>
      <w:r>
        <w:rPr>
          <w:rFonts w:asciiTheme="minorHAnsi" w:eastAsiaTheme="minorEastAsia" w:hAnsiTheme="minorHAnsi" w:cstheme="minorBidi"/>
          <w:noProof/>
          <w:sz w:val="22"/>
        </w:rPr>
        <w:tab/>
      </w:r>
      <w:r>
        <w:rPr>
          <w:noProof/>
        </w:rPr>
        <w:t>It is currently not possible to suppress PDCP status report only for SDT.</w:t>
      </w:r>
    </w:p>
    <w:p w14:paraId="7D4BA0A2" w14:textId="77777777" w:rsidR="00CF3BF5" w:rsidRDefault="00CF3BF5">
      <w:pPr>
        <w:pStyle w:val="TOC1"/>
        <w:rPr>
          <w:rFonts w:asciiTheme="minorHAnsi" w:eastAsiaTheme="minorEastAsia" w:hAnsiTheme="minorHAnsi" w:cstheme="minorBidi"/>
          <w:noProof/>
          <w:sz w:val="22"/>
        </w:rPr>
      </w:pPr>
      <w:r w:rsidRPr="00671B31">
        <w:rPr>
          <w:b/>
          <w:noProof/>
        </w:rPr>
        <w:t>Observation 6.</w:t>
      </w:r>
      <w:r>
        <w:rPr>
          <w:rFonts w:asciiTheme="minorHAnsi" w:eastAsiaTheme="minorEastAsia" w:hAnsiTheme="minorHAnsi" w:cstheme="minorBidi"/>
          <w:noProof/>
          <w:sz w:val="22"/>
        </w:rPr>
        <w:tab/>
      </w:r>
      <w:r>
        <w:rPr>
          <w:noProof/>
        </w:rPr>
        <w:t>From RAN2 point of view, broadcast signaling is preferable when updating SDT related configuration; however dedicated signaling can be reconsidered if RAN1 requires it for SDT operation.</w:t>
      </w:r>
    </w:p>
    <w:p w14:paraId="5239C8EE" w14:textId="39DEB78D" w:rsidR="00EB410E" w:rsidRPr="00E86C96" w:rsidRDefault="00EB410E" w:rsidP="00AB4C0E">
      <w:pPr>
        <w:spacing w:before="240" w:after="120"/>
        <w:jc w:val="both"/>
        <w:rPr>
          <w:lang w:eastAsia="zh-CN"/>
        </w:rPr>
      </w:pPr>
      <w:r w:rsidRPr="005D4478">
        <w:rPr>
          <w:iCs/>
          <w:lang w:eastAsia="ja-JP"/>
        </w:rPr>
        <w:fldChar w:fldCharType="end"/>
      </w:r>
      <w:r w:rsidRPr="00E86C96">
        <w:rPr>
          <w:iCs/>
          <w:lang w:eastAsia="ja-JP"/>
        </w:rPr>
        <w:t>The proposals captured are the following</w:t>
      </w:r>
      <w:r w:rsidRPr="00E86C96">
        <w:rPr>
          <w:lang w:eastAsia="zh-CN"/>
        </w:rPr>
        <w:t>:</w:t>
      </w:r>
    </w:p>
    <w:p w14:paraId="1B37348A" w14:textId="77777777" w:rsidR="00CF3BF5" w:rsidRDefault="00EB410E">
      <w:pPr>
        <w:pStyle w:val="TOC1"/>
        <w:rPr>
          <w:rFonts w:asciiTheme="minorHAnsi" w:eastAsiaTheme="minorEastAsia" w:hAnsiTheme="minorHAnsi" w:cstheme="minorBidi"/>
          <w:noProof/>
          <w:sz w:val="22"/>
        </w:rPr>
      </w:pPr>
      <w:r w:rsidRPr="00E86C96">
        <w:rPr>
          <w:lang w:eastAsia="zh-CN"/>
        </w:rPr>
        <w:fldChar w:fldCharType="begin"/>
      </w:r>
      <w:r w:rsidRPr="00E86C96">
        <w:rPr>
          <w:lang w:eastAsia="zh-CN"/>
        </w:rPr>
        <w:instrText xml:space="preserve"> TOC \n \t "Proposal,1" </w:instrText>
      </w:r>
      <w:r w:rsidRPr="00E86C96">
        <w:rPr>
          <w:lang w:eastAsia="zh-CN"/>
        </w:rPr>
        <w:fldChar w:fldCharType="separate"/>
      </w:r>
      <w:r w:rsidR="00CF3BF5" w:rsidRPr="007C05EA">
        <w:rPr>
          <w:b/>
          <w:noProof/>
        </w:rPr>
        <w:t>Proposal 1.</w:t>
      </w:r>
      <w:r w:rsidR="00CF3BF5">
        <w:rPr>
          <w:rFonts w:asciiTheme="minorHAnsi" w:eastAsiaTheme="minorEastAsia" w:hAnsiTheme="minorHAnsi" w:cstheme="minorBidi"/>
          <w:noProof/>
          <w:sz w:val="22"/>
        </w:rPr>
        <w:tab/>
      </w:r>
      <w:r w:rsidR="00CF3BF5">
        <w:rPr>
          <w:noProof/>
        </w:rPr>
        <w:t>RAN2 enables option (2) where UE in RRC_INACTIVE with an ongoing SDT session indicates the network when data on non-SDT DRB is available and leaves the decision on whether/when to fallback to legacy resume up to network.</w:t>
      </w:r>
    </w:p>
    <w:p w14:paraId="2FE75B1D" w14:textId="77777777" w:rsidR="00CF3BF5" w:rsidRDefault="00CF3BF5">
      <w:pPr>
        <w:pStyle w:val="TOC1"/>
        <w:rPr>
          <w:rFonts w:asciiTheme="minorHAnsi" w:eastAsiaTheme="minorEastAsia" w:hAnsiTheme="minorHAnsi" w:cstheme="minorBidi"/>
          <w:noProof/>
          <w:sz w:val="22"/>
        </w:rPr>
      </w:pPr>
      <w:r w:rsidRPr="007C05EA">
        <w:rPr>
          <w:b/>
          <w:noProof/>
        </w:rPr>
        <w:t>Proposal 2.</w:t>
      </w:r>
      <w:r>
        <w:rPr>
          <w:rFonts w:asciiTheme="minorHAnsi" w:eastAsiaTheme="minorEastAsia" w:hAnsiTheme="minorHAnsi" w:cstheme="minorBidi"/>
          <w:noProof/>
          <w:sz w:val="22"/>
        </w:rPr>
        <w:tab/>
      </w:r>
      <w:r>
        <w:rPr>
          <w:noProof/>
        </w:rPr>
        <w:t>Delta signaling is supported for the SDT related configuration. This delta signaling applies across different SDT sessions and when resuming the RRC connection (i.e. SDT related configuration is released when UE enters RRC_IDLE or when the network explicitly releases the SDT configuration).</w:t>
      </w:r>
    </w:p>
    <w:p w14:paraId="599F3E3A" w14:textId="77777777" w:rsidR="00CF3BF5" w:rsidRDefault="00CF3BF5">
      <w:pPr>
        <w:pStyle w:val="TOC1"/>
        <w:rPr>
          <w:rFonts w:asciiTheme="minorHAnsi" w:eastAsiaTheme="minorEastAsia" w:hAnsiTheme="minorHAnsi" w:cstheme="minorBidi"/>
          <w:noProof/>
          <w:sz w:val="22"/>
        </w:rPr>
      </w:pPr>
      <w:r w:rsidRPr="007C05EA">
        <w:rPr>
          <w:b/>
          <w:noProof/>
        </w:rPr>
        <w:t>Proposal 3.</w:t>
      </w:r>
      <w:r>
        <w:rPr>
          <w:rFonts w:asciiTheme="minorHAnsi" w:eastAsiaTheme="minorEastAsia" w:hAnsiTheme="minorHAnsi" w:cstheme="minorBidi"/>
          <w:noProof/>
          <w:sz w:val="22"/>
        </w:rPr>
        <w:tab/>
      </w:r>
      <w:r>
        <w:rPr>
          <w:noProof/>
        </w:rPr>
        <w:t>During the SDT procedure, UE only restores the configurations for SDT, suspend and radio bearers (i.e. other UE stored configurations are not restored during the SDT session).</w:t>
      </w:r>
    </w:p>
    <w:p w14:paraId="4D2316FA" w14:textId="77777777" w:rsidR="00CF3BF5" w:rsidRDefault="00CF3BF5">
      <w:pPr>
        <w:pStyle w:val="TOC1"/>
        <w:rPr>
          <w:rFonts w:asciiTheme="minorHAnsi" w:eastAsiaTheme="minorEastAsia" w:hAnsiTheme="minorHAnsi" w:cstheme="minorBidi"/>
          <w:noProof/>
          <w:sz w:val="22"/>
        </w:rPr>
      </w:pPr>
      <w:r w:rsidRPr="007C05EA">
        <w:rPr>
          <w:b/>
          <w:noProof/>
        </w:rPr>
        <w:t>Proposal 4.</w:t>
      </w:r>
      <w:r>
        <w:rPr>
          <w:rFonts w:asciiTheme="minorHAnsi" w:eastAsiaTheme="minorEastAsia" w:hAnsiTheme="minorHAnsi" w:cstheme="minorBidi"/>
          <w:noProof/>
          <w:sz w:val="22"/>
        </w:rPr>
        <w:tab/>
      </w:r>
      <w:r>
        <w:rPr>
          <w:noProof/>
        </w:rPr>
        <w:t xml:space="preserve">During the SDT procedure, UE does not act (e.g. release, restore or update) at least any of the following configurations which are stored in UE Inactive AS context (but are not relevant to SDT operation): a) </w:t>
      </w:r>
      <w:r w:rsidRPr="007C05EA">
        <w:rPr>
          <w:i/>
          <w:iCs/>
          <w:noProof/>
        </w:rPr>
        <w:t xml:space="preserve">delayBudgetReportingConfig, </w:t>
      </w:r>
      <w:r>
        <w:rPr>
          <w:noProof/>
        </w:rPr>
        <w:t xml:space="preserve">b) </w:t>
      </w:r>
      <w:r w:rsidRPr="007C05EA">
        <w:rPr>
          <w:i/>
          <w:iCs/>
          <w:noProof/>
        </w:rPr>
        <w:t xml:space="preserve">overheatingAssistanceConfig, </w:t>
      </w:r>
      <w:r>
        <w:rPr>
          <w:noProof/>
        </w:rPr>
        <w:t>c)</w:t>
      </w:r>
      <w:r w:rsidRPr="007C05EA">
        <w:rPr>
          <w:i/>
          <w:iCs/>
          <w:noProof/>
        </w:rPr>
        <w:t xml:space="preserve"> idc-AssistanceConfig, </w:t>
      </w:r>
      <w:r>
        <w:rPr>
          <w:noProof/>
        </w:rPr>
        <w:t xml:space="preserve">d) </w:t>
      </w:r>
      <w:r w:rsidRPr="007C05EA">
        <w:rPr>
          <w:i/>
          <w:iCs/>
          <w:noProof/>
        </w:rPr>
        <w:t>drx-PreferenceConfig</w:t>
      </w:r>
      <w:r>
        <w:rPr>
          <w:noProof/>
        </w:rPr>
        <w:t xml:space="preserve"> for all configured cell groups, e) </w:t>
      </w:r>
      <w:r w:rsidRPr="007C05EA">
        <w:rPr>
          <w:i/>
          <w:iCs/>
          <w:noProof/>
        </w:rPr>
        <w:t>mrdc-SecondaryCellGroup</w:t>
      </w:r>
      <w:r>
        <w:rPr>
          <w:noProof/>
        </w:rPr>
        <w:t>, and f)  Timers T346a, T346b, T346c, T346d, T346e, T346f.</w:t>
      </w:r>
    </w:p>
    <w:p w14:paraId="563561D7" w14:textId="77777777" w:rsidR="00CF3BF5" w:rsidRDefault="00CF3BF5">
      <w:pPr>
        <w:pStyle w:val="TOC1"/>
        <w:rPr>
          <w:rFonts w:asciiTheme="minorHAnsi" w:eastAsiaTheme="minorEastAsia" w:hAnsiTheme="minorHAnsi" w:cstheme="minorBidi"/>
          <w:noProof/>
          <w:sz w:val="22"/>
        </w:rPr>
      </w:pPr>
      <w:r w:rsidRPr="007C05EA">
        <w:rPr>
          <w:b/>
          <w:noProof/>
        </w:rPr>
        <w:t>Proposal 5.</w:t>
      </w:r>
      <w:r>
        <w:rPr>
          <w:rFonts w:asciiTheme="minorHAnsi" w:eastAsiaTheme="minorEastAsia" w:hAnsiTheme="minorHAnsi" w:cstheme="minorBidi"/>
          <w:noProof/>
          <w:sz w:val="22"/>
        </w:rPr>
        <w:tab/>
      </w:r>
      <w:r>
        <w:rPr>
          <w:noProof/>
        </w:rPr>
        <w:t xml:space="preserve">Network can control using SDT configuration (e.g. via in </w:t>
      </w:r>
      <w:r w:rsidRPr="007C05EA">
        <w:rPr>
          <w:i/>
          <w:iCs/>
          <w:noProof/>
        </w:rPr>
        <w:t>RRCRelease</w:t>
      </w:r>
      <w:r>
        <w:rPr>
          <w:noProof/>
        </w:rPr>
        <w:t xml:space="preserve"> message) whether UE should continue RoHC state or not.  This information could further restrict whether RoHC state can continue only in a given region (e.g. same cell where UE Inactive AS Context is stored or current configured RNA to UE).</w:t>
      </w:r>
    </w:p>
    <w:p w14:paraId="58F759F5" w14:textId="77777777" w:rsidR="00CF3BF5" w:rsidRDefault="00CF3BF5">
      <w:pPr>
        <w:pStyle w:val="TOC1"/>
        <w:rPr>
          <w:rFonts w:asciiTheme="minorHAnsi" w:eastAsiaTheme="minorEastAsia" w:hAnsiTheme="minorHAnsi" w:cstheme="minorBidi"/>
          <w:noProof/>
          <w:sz w:val="22"/>
        </w:rPr>
      </w:pPr>
      <w:r w:rsidRPr="007C05EA">
        <w:rPr>
          <w:b/>
          <w:noProof/>
        </w:rPr>
        <w:t>Proposal 6.</w:t>
      </w:r>
      <w:r>
        <w:rPr>
          <w:rFonts w:asciiTheme="minorHAnsi" w:eastAsiaTheme="minorEastAsia" w:hAnsiTheme="minorHAnsi" w:cstheme="minorBidi"/>
          <w:noProof/>
          <w:sz w:val="22"/>
        </w:rPr>
        <w:tab/>
      </w:r>
      <w:r w:rsidRPr="007C05EA">
        <w:rPr>
          <w:noProof/>
        </w:rPr>
        <w:t>PDCP status reports are not sent during PDCP re-establishment for every SDT session.</w:t>
      </w:r>
    </w:p>
    <w:p w14:paraId="2442F894" w14:textId="77777777" w:rsidR="00CF3BF5" w:rsidRDefault="00CF3BF5">
      <w:pPr>
        <w:pStyle w:val="TOC1"/>
        <w:rPr>
          <w:rFonts w:asciiTheme="minorHAnsi" w:eastAsiaTheme="minorEastAsia" w:hAnsiTheme="minorHAnsi" w:cstheme="minorBidi"/>
          <w:noProof/>
          <w:sz w:val="22"/>
        </w:rPr>
      </w:pPr>
      <w:r w:rsidRPr="007C05EA">
        <w:rPr>
          <w:b/>
          <w:noProof/>
        </w:rPr>
        <w:t>Proposal 7.</w:t>
      </w:r>
      <w:r>
        <w:rPr>
          <w:rFonts w:asciiTheme="minorHAnsi" w:eastAsiaTheme="minorEastAsia" w:hAnsiTheme="minorHAnsi" w:cstheme="minorBidi"/>
          <w:noProof/>
          <w:sz w:val="22"/>
        </w:rPr>
        <w:tab/>
      </w:r>
      <w:r w:rsidRPr="007C05EA">
        <w:rPr>
          <w:noProof/>
        </w:rPr>
        <w:t xml:space="preserve">The suppression of the PDCP status report during PDCP re-establishment for every SDT session is enabled implicitly in the specification when the UE initiates SDT procedure (i.e. </w:t>
      </w:r>
      <w:r>
        <w:rPr>
          <w:noProof/>
        </w:rPr>
        <w:t xml:space="preserve">without explicit indication sent by the network to allow </w:t>
      </w:r>
      <w:r w:rsidRPr="007C05EA">
        <w:rPr>
          <w:noProof/>
        </w:rPr>
        <w:t>suppression of the PDCP status report for SDT).</w:t>
      </w:r>
    </w:p>
    <w:p w14:paraId="384700CF" w14:textId="77777777" w:rsidR="00CF3BF5" w:rsidRDefault="00CF3BF5">
      <w:pPr>
        <w:pStyle w:val="TOC1"/>
        <w:rPr>
          <w:rFonts w:asciiTheme="minorHAnsi" w:eastAsiaTheme="minorEastAsia" w:hAnsiTheme="minorHAnsi" w:cstheme="minorBidi"/>
          <w:noProof/>
          <w:sz w:val="22"/>
        </w:rPr>
      </w:pPr>
      <w:r w:rsidRPr="007C05EA">
        <w:rPr>
          <w:b/>
          <w:noProof/>
        </w:rPr>
        <w:t>Proposal 8.</w:t>
      </w:r>
      <w:r>
        <w:rPr>
          <w:rFonts w:asciiTheme="minorHAnsi" w:eastAsiaTheme="minorEastAsia" w:hAnsiTheme="minorHAnsi" w:cstheme="minorBidi"/>
          <w:noProof/>
          <w:sz w:val="22"/>
        </w:rPr>
        <w:tab/>
      </w:r>
      <w:r>
        <w:rPr>
          <w:noProof/>
        </w:rPr>
        <w:t>From RAN2 point of view, it is preferable that a UE in RRC_INACTIVE only gets new configuration/parameters via broadcast signaling to update stored configurations used for SDT operation (such as, common search space and CORESET).</w:t>
      </w:r>
    </w:p>
    <w:p w14:paraId="16F6E423" w14:textId="77777777" w:rsidR="00CF3BF5" w:rsidRDefault="00CF3BF5">
      <w:pPr>
        <w:pStyle w:val="TOC1"/>
        <w:rPr>
          <w:rFonts w:asciiTheme="minorHAnsi" w:eastAsiaTheme="minorEastAsia" w:hAnsiTheme="minorHAnsi" w:cstheme="minorBidi"/>
          <w:noProof/>
          <w:sz w:val="22"/>
        </w:rPr>
      </w:pPr>
      <w:r w:rsidRPr="007C05EA">
        <w:rPr>
          <w:b/>
          <w:noProof/>
        </w:rPr>
        <w:t>Proposal 9.</w:t>
      </w:r>
      <w:r>
        <w:rPr>
          <w:rFonts w:asciiTheme="minorHAnsi" w:eastAsiaTheme="minorEastAsia" w:hAnsiTheme="minorHAnsi" w:cstheme="minorBidi"/>
          <w:noProof/>
          <w:sz w:val="22"/>
        </w:rPr>
        <w:tab/>
      </w:r>
      <w:r>
        <w:rPr>
          <w:noProof/>
        </w:rPr>
        <w:t>gNB cannot update any of the stored configuration for a UE in RRC_INACTIVE that is not re-stored during the SDT session (i.e., not related to SDT transfer).</w:t>
      </w:r>
    </w:p>
    <w:p w14:paraId="189ACB83" w14:textId="77777777" w:rsidR="00CF3BF5" w:rsidRDefault="00CF3BF5">
      <w:pPr>
        <w:pStyle w:val="TOC1"/>
        <w:rPr>
          <w:rFonts w:asciiTheme="minorHAnsi" w:eastAsiaTheme="minorEastAsia" w:hAnsiTheme="minorHAnsi" w:cstheme="minorBidi"/>
          <w:noProof/>
          <w:sz w:val="22"/>
        </w:rPr>
      </w:pPr>
      <w:r w:rsidRPr="007C05EA">
        <w:rPr>
          <w:b/>
          <w:noProof/>
        </w:rPr>
        <w:t>Proposal 10.</w:t>
      </w:r>
      <w:r>
        <w:rPr>
          <w:rFonts w:asciiTheme="minorHAnsi" w:eastAsiaTheme="minorEastAsia" w:hAnsiTheme="minorHAnsi" w:cstheme="minorBidi"/>
          <w:noProof/>
          <w:sz w:val="22"/>
        </w:rPr>
        <w:tab/>
      </w:r>
      <w:r w:rsidRPr="007C05EA">
        <w:rPr>
          <w:noProof/>
        </w:rPr>
        <w:t>To agree on the following behaviours for a UE in RRC_INACTIVE during an ongoing SDT session:</w:t>
      </w:r>
    </w:p>
    <w:p w14:paraId="057E2E4B" w14:textId="77777777" w:rsidR="00CF3BF5" w:rsidRDefault="00CF3BF5">
      <w:pPr>
        <w:pStyle w:val="TOC1"/>
        <w:rPr>
          <w:rFonts w:asciiTheme="minorHAnsi" w:eastAsiaTheme="minorEastAsia" w:hAnsiTheme="minorHAnsi" w:cstheme="minorBidi"/>
          <w:noProof/>
          <w:sz w:val="22"/>
        </w:rPr>
      </w:pPr>
      <w:r w:rsidRPr="007C05EA">
        <w:rPr>
          <w:b/>
          <w:noProof/>
        </w:rPr>
        <w:t>Proposal 10.1.</w:t>
      </w:r>
      <w:r>
        <w:rPr>
          <w:rFonts w:asciiTheme="minorHAnsi" w:eastAsiaTheme="minorEastAsia" w:hAnsiTheme="minorHAnsi" w:cstheme="minorBidi"/>
          <w:noProof/>
          <w:sz w:val="22"/>
        </w:rPr>
        <w:tab/>
      </w:r>
      <w:r w:rsidRPr="007C05EA">
        <w:rPr>
          <w:noProof/>
        </w:rPr>
        <w:t xml:space="preserve">UE </w:t>
      </w:r>
      <w:r>
        <w:rPr>
          <w:noProof/>
        </w:rPr>
        <w:t>relies on legacy operation for RRC_CONNECTED to monitor SI notifications in paging.</w:t>
      </w:r>
    </w:p>
    <w:p w14:paraId="54C2B495" w14:textId="77777777" w:rsidR="00CF3BF5" w:rsidRDefault="00CF3BF5">
      <w:pPr>
        <w:pStyle w:val="TOC1"/>
        <w:rPr>
          <w:rFonts w:asciiTheme="minorHAnsi" w:eastAsiaTheme="minorEastAsia" w:hAnsiTheme="minorHAnsi" w:cstheme="minorBidi"/>
          <w:noProof/>
          <w:sz w:val="22"/>
        </w:rPr>
      </w:pPr>
      <w:r w:rsidRPr="007C05EA">
        <w:rPr>
          <w:b/>
          <w:noProof/>
        </w:rPr>
        <w:lastRenderedPageBreak/>
        <w:t>Proposal 10.2.</w:t>
      </w:r>
      <w:r>
        <w:rPr>
          <w:rFonts w:asciiTheme="minorHAnsi" w:eastAsiaTheme="minorEastAsia" w:hAnsiTheme="minorHAnsi" w:cstheme="minorBidi"/>
          <w:noProof/>
          <w:sz w:val="22"/>
        </w:rPr>
        <w:tab/>
      </w:r>
      <w:r w:rsidRPr="007C05EA">
        <w:rPr>
          <w:noProof/>
        </w:rPr>
        <w:t>UE-specific paging is not monitored during an SDT session.</w:t>
      </w:r>
    </w:p>
    <w:p w14:paraId="4C96A0F4" w14:textId="77777777" w:rsidR="00CF3BF5" w:rsidRDefault="00CF3BF5">
      <w:pPr>
        <w:pStyle w:val="TOC1"/>
        <w:rPr>
          <w:rFonts w:asciiTheme="minorHAnsi" w:eastAsiaTheme="minorEastAsia" w:hAnsiTheme="minorHAnsi" w:cstheme="minorBidi"/>
          <w:noProof/>
          <w:sz w:val="22"/>
        </w:rPr>
      </w:pPr>
      <w:r w:rsidRPr="007C05EA">
        <w:rPr>
          <w:b/>
          <w:noProof/>
        </w:rPr>
        <w:t>Proposal 10.3.</w:t>
      </w:r>
      <w:r>
        <w:rPr>
          <w:rFonts w:asciiTheme="minorHAnsi" w:eastAsiaTheme="minorEastAsia" w:hAnsiTheme="minorHAnsi" w:cstheme="minorBidi"/>
          <w:noProof/>
          <w:sz w:val="22"/>
        </w:rPr>
        <w:tab/>
      </w:r>
      <w:r>
        <w:rPr>
          <w:noProof/>
        </w:rPr>
        <w:t>UE behaves like for a legacy UE in RRC_INACTIVE for other remaining operations (e.g. measurements); FFS for BWP operation (which is discussed on email discussion [Post113bis-e][507]), as well as, beam &amp; SSB management (which is under discussion in RAN1 and RAN2 should wait for their inputs on them).</w:t>
      </w:r>
    </w:p>
    <w:p w14:paraId="49A98EE6" w14:textId="77777777" w:rsidR="00CF3BF5" w:rsidRDefault="00CF3BF5">
      <w:pPr>
        <w:pStyle w:val="TOC1"/>
        <w:rPr>
          <w:rFonts w:asciiTheme="minorHAnsi" w:eastAsiaTheme="minorEastAsia" w:hAnsiTheme="minorHAnsi" w:cstheme="minorBidi"/>
          <w:noProof/>
          <w:sz w:val="22"/>
        </w:rPr>
      </w:pPr>
      <w:r w:rsidRPr="007C05EA">
        <w:rPr>
          <w:b/>
          <w:noProof/>
        </w:rPr>
        <w:t>Proposal 11.</w:t>
      </w:r>
      <w:r>
        <w:rPr>
          <w:rFonts w:asciiTheme="minorHAnsi" w:eastAsiaTheme="minorEastAsia" w:hAnsiTheme="minorHAnsi" w:cstheme="minorBidi"/>
          <w:noProof/>
          <w:sz w:val="22"/>
        </w:rPr>
        <w:tab/>
      </w:r>
      <w:r w:rsidRPr="007C05EA">
        <w:rPr>
          <w:noProof/>
        </w:rPr>
        <w:t xml:space="preserve">To confirm that the following RRC messages are allowed during an SDT session (as shown in </w:t>
      </w:r>
      <w:r>
        <w:rPr>
          <w:noProof/>
        </w:rPr>
        <w:t>Table 2): only at the initiation phase,</w:t>
      </w:r>
      <w:r w:rsidRPr="007C05EA">
        <w:rPr>
          <w:i/>
          <w:iCs/>
          <w:noProof/>
        </w:rPr>
        <w:t xml:space="preserve"> RRCResumeRequest, RRCReject, and RRCSetup</w:t>
      </w:r>
      <w:r>
        <w:rPr>
          <w:noProof/>
        </w:rPr>
        <w:t xml:space="preserve">; and, at any time of the SDT session, </w:t>
      </w:r>
      <w:r w:rsidRPr="007C05EA">
        <w:rPr>
          <w:i/>
          <w:iCs/>
          <w:noProof/>
        </w:rPr>
        <w:t xml:space="preserve">RRCRelease, RRCResume, DLInformationTransfer, </w:t>
      </w:r>
      <w:r>
        <w:rPr>
          <w:noProof/>
        </w:rPr>
        <w:t xml:space="preserve">and </w:t>
      </w:r>
      <w:r w:rsidRPr="007C05EA">
        <w:rPr>
          <w:i/>
          <w:iCs/>
          <w:noProof/>
        </w:rPr>
        <w:t xml:space="preserve">ULInformationTransfer. </w:t>
      </w:r>
      <w:r>
        <w:rPr>
          <w:noProof/>
        </w:rPr>
        <w:t>FFS on new requirements from positioning WI for other RRC messages, if any.</w:t>
      </w:r>
    </w:p>
    <w:p w14:paraId="0580D4BA" w14:textId="70EAFC79" w:rsidR="00EB410E" w:rsidRPr="00E86C96" w:rsidRDefault="00EB410E" w:rsidP="00AB4C0E">
      <w:pPr>
        <w:jc w:val="both"/>
        <w:rPr>
          <w:lang w:eastAsia="zh-CN"/>
        </w:rPr>
      </w:pPr>
      <w:r w:rsidRPr="00E86C96">
        <w:rPr>
          <w:lang w:eastAsia="zh-CN"/>
        </w:rPr>
        <w:fldChar w:fldCharType="end"/>
      </w:r>
    </w:p>
    <w:p w14:paraId="4831B0DD" w14:textId="77777777" w:rsidR="00EB410E" w:rsidRPr="00E86C96" w:rsidRDefault="00EB410E" w:rsidP="00AB4C0E">
      <w:pPr>
        <w:pStyle w:val="Heading1"/>
        <w:numPr>
          <w:ilvl w:val="0"/>
          <w:numId w:val="2"/>
        </w:numPr>
        <w:jc w:val="both"/>
        <w:rPr>
          <w:noProof w:val="0"/>
          <w:lang w:val="en-US"/>
        </w:rPr>
      </w:pPr>
      <w:bookmarkStart w:id="289" w:name="_Ref434066290"/>
      <w:r w:rsidRPr="00E86C96">
        <w:rPr>
          <w:noProof w:val="0"/>
          <w:lang w:val="en-US"/>
        </w:rPr>
        <w:t>Reference</w:t>
      </w:r>
      <w:bookmarkEnd w:id="289"/>
    </w:p>
    <w:p w14:paraId="06C4E87F" w14:textId="092BA1E7" w:rsidR="000329A9" w:rsidRPr="00FB5802" w:rsidRDefault="000329A9" w:rsidP="000329A9">
      <w:pPr>
        <w:pStyle w:val="Doc-title"/>
        <w:numPr>
          <w:ilvl w:val="0"/>
          <w:numId w:val="3"/>
        </w:numPr>
        <w:spacing w:after="60"/>
        <w:jc w:val="both"/>
        <w:rPr>
          <w:rFonts w:ascii="Times New Roman" w:hAnsi="Times New Roman" w:cs="Times New Roman"/>
          <w:noProof w:val="0"/>
          <w:sz w:val="20"/>
          <w:szCs w:val="20"/>
          <w:lang w:val="en-US"/>
        </w:rPr>
      </w:pPr>
      <w:bookmarkStart w:id="290" w:name="_Ref71325969"/>
      <w:bookmarkStart w:id="291" w:name="_Ref68204362"/>
      <w:bookmarkStart w:id="292" w:name="_Ref478150265"/>
      <w:bookmarkEnd w:id="1"/>
      <w:r w:rsidRPr="00FB5802">
        <w:rPr>
          <w:rFonts w:ascii="Times New Roman" w:hAnsi="Times New Roman" w:cs="Times New Roman"/>
          <w:noProof w:val="0"/>
          <w:sz w:val="20"/>
          <w:szCs w:val="20"/>
          <w:lang w:val="en-US"/>
        </w:rPr>
        <w:t>C1-212850, Discussion small data transmission possible NAS impact, Intel Corporation, May 2021.</w:t>
      </w:r>
      <w:bookmarkEnd w:id="290"/>
      <w:r w:rsidRPr="00FB5802">
        <w:rPr>
          <w:rFonts w:ascii="Times New Roman" w:hAnsi="Times New Roman" w:cs="Times New Roman"/>
          <w:noProof w:val="0"/>
          <w:sz w:val="20"/>
          <w:szCs w:val="20"/>
          <w:lang w:val="en-US"/>
        </w:rPr>
        <w:t xml:space="preserve"> </w:t>
      </w:r>
    </w:p>
    <w:p w14:paraId="561167BE" w14:textId="77777777" w:rsidR="000329A9" w:rsidRPr="00FB5802" w:rsidRDefault="000329A9" w:rsidP="000329A9">
      <w:pPr>
        <w:pStyle w:val="Doc-title"/>
        <w:numPr>
          <w:ilvl w:val="0"/>
          <w:numId w:val="3"/>
        </w:numPr>
        <w:spacing w:before="0" w:after="60"/>
        <w:jc w:val="both"/>
        <w:rPr>
          <w:rFonts w:ascii="Times New Roman" w:hAnsi="Times New Roman" w:cs="Times New Roman"/>
          <w:noProof w:val="0"/>
          <w:sz w:val="20"/>
          <w:szCs w:val="20"/>
          <w:lang w:val="en-US"/>
        </w:rPr>
      </w:pPr>
      <w:bookmarkStart w:id="293" w:name="_Ref71325971"/>
      <w:r w:rsidRPr="00FB5802">
        <w:rPr>
          <w:rFonts w:ascii="Times New Roman" w:hAnsi="Times New Roman" w:cs="Times New Roman"/>
          <w:noProof w:val="0"/>
          <w:sz w:val="20"/>
          <w:szCs w:val="20"/>
          <w:lang w:val="en-US"/>
        </w:rPr>
        <w:t>C1-212851, Reply LS on Small data transmission, Intel Corporation, May 2021.</w:t>
      </w:r>
      <w:bookmarkEnd w:id="293"/>
    </w:p>
    <w:p w14:paraId="46CB3060" w14:textId="22C25C6E" w:rsidR="00682ECA" w:rsidRPr="00FB5802" w:rsidRDefault="00D00805" w:rsidP="000329A9">
      <w:pPr>
        <w:pStyle w:val="Doc-title"/>
        <w:numPr>
          <w:ilvl w:val="0"/>
          <w:numId w:val="3"/>
        </w:numPr>
        <w:spacing w:before="0" w:after="60"/>
        <w:jc w:val="both"/>
        <w:rPr>
          <w:rFonts w:ascii="Times New Roman" w:hAnsi="Times New Roman" w:cs="Times New Roman"/>
          <w:noProof w:val="0"/>
          <w:sz w:val="20"/>
          <w:szCs w:val="20"/>
          <w:lang w:val="en-US"/>
        </w:rPr>
      </w:pPr>
      <w:bookmarkStart w:id="294" w:name="_Ref71325985"/>
      <w:r w:rsidRPr="00FB5802">
        <w:rPr>
          <w:rFonts w:ascii="Times New Roman" w:hAnsi="Times New Roman" w:cs="Times New Roman"/>
          <w:noProof w:val="0"/>
          <w:sz w:val="20"/>
          <w:szCs w:val="20"/>
          <w:lang w:val="en-US"/>
        </w:rPr>
        <w:t>S3-211549</w:t>
      </w:r>
      <w:r w:rsidR="000329A9" w:rsidRPr="0094356D">
        <w:rPr>
          <w:rFonts w:ascii="Times New Roman" w:hAnsi="Times New Roman" w:cs="Times New Roman"/>
          <w:noProof w:val="0"/>
          <w:sz w:val="20"/>
          <w:szCs w:val="20"/>
          <w:lang w:val="en-US"/>
        </w:rPr>
        <w:t xml:space="preserve">, </w:t>
      </w:r>
      <w:r w:rsidR="00682ECA" w:rsidRPr="00FB5802">
        <w:rPr>
          <w:rFonts w:ascii="Times New Roman" w:hAnsi="Times New Roman" w:cs="Times New Roman"/>
          <w:noProof w:val="0"/>
          <w:sz w:val="20"/>
          <w:szCs w:val="20"/>
          <w:lang w:val="en-US"/>
        </w:rPr>
        <w:t>Discussion on Security Issues with SDT</w:t>
      </w:r>
      <w:r w:rsidR="000329A9" w:rsidRPr="0094356D">
        <w:rPr>
          <w:rFonts w:ascii="Times New Roman" w:hAnsi="Times New Roman" w:cs="Times New Roman"/>
          <w:noProof w:val="0"/>
          <w:sz w:val="20"/>
          <w:szCs w:val="20"/>
          <w:lang w:val="en-US"/>
        </w:rPr>
        <w:t>, Intel Corporation, May 2021</w:t>
      </w:r>
      <w:r w:rsidR="00682ECA" w:rsidRPr="00FB5802">
        <w:rPr>
          <w:rFonts w:ascii="Times New Roman" w:hAnsi="Times New Roman" w:cs="Times New Roman"/>
          <w:noProof w:val="0"/>
          <w:sz w:val="20"/>
          <w:szCs w:val="20"/>
          <w:lang w:val="en-US"/>
        </w:rPr>
        <w:t>.</w:t>
      </w:r>
    </w:p>
    <w:p w14:paraId="2DDD19B2" w14:textId="0DEEF838" w:rsidR="000329A9" w:rsidRPr="0094356D" w:rsidRDefault="00682ECA" w:rsidP="000329A9">
      <w:pPr>
        <w:pStyle w:val="Doc-title"/>
        <w:numPr>
          <w:ilvl w:val="0"/>
          <w:numId w:val="3"/>
        </w:numPr>
        <w:spacing w:before="0" w:after="60"/>
        <w:jc w:val="both"/>
        <w:rPr>
          <w:rFonts w:ascii="Times New Roman" w:hAnsi="Times New Roman" w:cs="Times New Roman"/>
          <w:noProof w:val="0"/>
          <w:sz w:val="20"/>
          <w:szCs w:val="20"/>
          <w:lang w:val="en-US"/>
        </w:rPr>
      </w:pPr>
      <w:bookmarkStart w:id="295" w:name="_Ref71554793"/>
      <w:r w:rsidRPr="00FB5802">
        <w:rPr>
          <w:rFonts w:ascii="Times New Roman" w:hAnsi="Times New Roman" w:cs="Times New Roman"/>
          <w:noProof w:val="0"/>
          <w:sz w:val="20"/>
          <w:szCs w:val="20"/>
          <w:lang w:val="en-US"/>
        </w:rPr>
        <w:t>S3- 211545</w:t>
      </w:r>
      <w:r w:rsidR="00BB6094" w:rsidRPr="00FB5802">
        <w:rPr>
          <w:rFonts w:ascii="Times New Roman" w:hAnsi="Times New Roman" w:cs="Times New Roman"/>
          <w:noProof w:val="0"/>
          <w:sz w:val="20"/>
          <w:szCs w:val="20"/>
          <w:lang w:val="en-US"/>
        </w:rPr>
        <w:t>, Reply LS on Small data transmission, drafted LS, Intel Corporation, May 2021</w:t>
      </w:r>
      <w:r w:rsidR="000329A9" w:rsidRPr="0094356D">
        <w:rPr>
          <w:rFonts w:ascii="Times New Roman" w:hAnsi="Times New Roman" w:cs="Times New Roman"/>
          <w:noProof w:val="0"/>
          <w:sz w:val="20"/>
          <w:szCs w:val="20"/>
          <w:lang w:val="en-US"/>
        </w:rPr>
        <w:t>.</w:t>
      </w:r>
      <w:bookmarkEnd w:id="294"/>
      <w:bookmarkEnd w:id="295"/>
    </w:p>
    <w:p w14:paraId="5ED89884" w14:textId="77777777" w:rsidR="0045141A" w:rsidRPr="00FB5802" w:rsidRDefault="00F236F2" w:rsidP="000329A9">
      <w:pPr>
        <w:pStyle w:val="Doc-title"/>
        <w:numPr>
          <w:ilvl w:val="0"/>
          <w:numId w:val="3"/>
        </w:numPr>
        <w:spacing w:before="0" w:after="60"/>
        <w:jc w:val="both"/>
        <w:rPr>
          <w:rFonts w:ascii="Times New Roman" w:hAnsi="Times New Roman" w:cs="Times New Roman"/>
          <w:noProof w:val="0"/>
          <w:sz w:val="20"/>
          <w:szCs w:val="20"/>
          <w:lang w:val="en-US"/>
        </w:rPr>
      </w:pPr>
      <w:bookmarkStart w:id="296" w:name="_Ref71326067"/>
      <w:r w:rsidRPr="00FB5802">
        <w:rPr>
          <w:rFonts w:ascii="Times New Roman" w:hAnsi="Times New Roman" w:cs="Times New Roman"/>
          <w:noProof w:val="0"/>
          <w:sz w:val="20"/>
          <w:szCs w:val="20"/>
          <w:lang w:val="en-US"/>
        </w:rPr>
        <w:t>R2-2102840, User plane aspects for SDT, Intel Corporation, April 2021</w:t>
      </w:r>
      <w:r w:rsidR="0045141A" w:rsidRPr="00FB5802">
        <w:rPr>
          <w:rFonts w:ascii="Times New Roman" w:hAnsi="Times New Roman" w:cs="Times New Roman"/>
          <w:noProof w:val="0"/>
          <w:sz w:val="20"/>
          <w:szCs w:val="20"/>
          <w:lang w:val="en-US"/>
        </w:rPr>
        <w:t>.</w:t>
      </w:r>
    </w:p>
    <w:p w14:paraId="7CCC6933" w14:textId="6D63B3B5" w:rsidR="000329A9" w:rsidRPr="00FB5802" w:rsidRDefault="0045141A" w:rsidP="000329A9">
      <w:pPr>
        <w:pStyle w:val="Doc-title"/>
        <w:numPr>
          <w:ilvl w:val="0"/>
          <w:numId w:val="3"/>
        </w:numPr>
        <w:spacing w:before="0" w:after="60"/>
        <w:jc w:val="both"/>
        <w:rPr>
          <w:rFonts w:ascii="Times New Roman" w:hAnsi="Times New Roman" w:cs="Times New Roman"/>
          <w:noProof w:val="0"/>
          <w:sz w:val="20"/>
          <w:szCs w:val="20"/>
          <w:lang w:val="en-US"/>
        </w:rPr>
      </w:pPr>
      <w:bookmarkStart w:id="297" w:name="_Ref71324560"/>
      <w:bookmarkStart w:id="298" w:name="_Ref71326141"/>
      <w:r w:rsidRPr="00FB5802">
        <w:rPr>
          <w:rFonts w:ascii="Times New Roman" w:hAnsi="Times New Roman" w:cs="Times New Roman"/>
          <w:noProof w:val="0"/>
          <w:sz w:val="20"/>
          <w:szCs w:val="20"/>
          <w:lang w:val="en-US"/>
        </w:rPr>
        <w:t>R2-210488</w:t>
      </w:r>
      <w:r w:rsidR="00863146" w:rsidRPr="00FB5802">
        <w:rPr>
          <w:rFonts w:ascii="Times New Roman" w:hAnsi="Times New Roman" w:cs="Times New Roman"/>
          <w:noProof w:val="0"/>
          <w:sz w:val="20"/>
          <w:szCs w:val="20"/>
          <w:lang w:val="en-US"/>
        </w:rPr>
        <w:t>1</w:t>
      </w:r>
      <w:r w:rsidRPr="00FB5802">
        <w:rPr>
          <w:rFonts w:ascii="Times New Roman" w:hAnsi="Times New Roman" w:cs="Times New Roman"/>
          <w:noProof w:val="0"/>
          <w:sz w:val="20"/>
          <w:szCs w:val="20"/>
          <w:lang w:val="en-US"/>
        </w:rPr>
        <w:t xml:space="preserve">, </w:t>
      </w:r>
      <w:r w:rsidR="00863146" w:rsidRPr="00FB5802">
        <w:rPr>
          <w:rFonts w:ascii="Times New Roman" w:hAnsi="Times New Roman" w:cs="Times New Roman"/>
          <w:noProof w:val="0"/>
          <w:sz w:val="20"/>
          <w:szCs w:val="20"/>
          <w:lang w:val="en-US"/>
        </w:rPr>
        <w:t>Failure and successful handling for an SDT session</w:t>
      </w:r>
      <w:r w:rsidRPr="00FB5802">
        <w:rPr>
          <w:rFonts w:ascii="Times New Roman" w:hAnsi="Times New Roman" w:cs="Times New Roman"/>
          <w:noProof w:val="0"/>
          <w:sz w:val="20"/>
          <w:szCs w:val="20"/>
          <w:lang w:val="en-US"/>
        </w:rPr>
        <w:t>, Intel Corporation, May 2021</w:t>
      </w:r>
      <w:bookmarkEnd w:id="297"/>
      <w:r w:rsidR="000329A9" w:rsidRPr="00FB5802">
        <w:rPr>
          <w:rFonts w:ascii="Times New Roman" w:hAnsi="Times New Roman" w:cs="Times New Roman"/>
          <w:noProof w:val="0"/>
          <w:sz w:val="20"/>
          <w:szCs w:val="20"/>
          <w:lang w:val="en-US"/>
        </w:rPr>
        <w:t>.</w:t>
      </w:r>
      <w:bookmarkEnd w:id="296"/>
      <w:bookmarkEnd w:id="298"/>
    </w:p>
    <w:bookmarkEnd w:id="291"/>
    <w:bookmarkEnd w:id="292"/>
    <w:p w14:paraId="79E4382D" w14:textId="77777777" w:rsidR="00EB410E" w:rsidRPr="00E86C96" w:rsidRDefault="00EB410E" w:rsidP="003B1AE2">
      <w:pPr>
        <w:jc w:val="both"/>
        <w:rPr>
          <w:lang w:eastAsia="en-GB"/>
        </w:rPr>
      </w:pPr>
    </w:p>
    <w:sectPr w:rsidR="00EB410E" w:rsidRPr="00E86C96" w:rsidSect="00EB410E">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C392CA" w14:textId="77777777" w:rsidR="00F4028A" w:rsidRDefault="00F4028A" w:rsidP="002F3E93">
      <w:pPr>
        <w:spacing w:after="0"/>
      </w:pPr>
      <w:r>
        <w:separator/>
      </w:r>
    </w:p>
  </w:endnote>
  <w:endnote w:type="continuationSeparator" w:id="0">
    <w:p w14:paraId="3C7D83B5" w14:textId="77777777" w:rsidR="00F4028A" w:rsidRDefault="00F4028A" w:rsidP="002F3E93">
      <w:pPr>
        <w:spacing w:after="0"/>
      </w:pPr>
      <w:r>
        <w:continuationSeparator/>
      </w:r>
    </w:p>
  </w:endnote>
  <w:endnote w:type="continuationNotice" w:id="1">
    <w:p w14:paraId="4C6EEE10" w14:textId="77777777" w:rsidR="00F4028A" w:rsidRDefault="00F4028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Bold">
    <w:altName w:val="Times New Roman"/>
    <w:panose1 w:val="02020803070505020304"/>
    <w:charset w:val="00"/>
    <w:family w:val="auto"/>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EA2E2F" w14:textId="77777777" w:rsidR="00F4028A" w:rsidRDefault="00F4028A" w:rsidP="002F3E93">
      <w:pPr>
        <w:spacing w:after="0"/>
      </w:pPr>
      <w:r>
        <w:separator/>
      </w:r>
    </w:p>
  </w:footnote>
  <w:footnote w:type="continuationSeparator" w:id="0">
    <w:p w14:paraId="16F0E463" w14:textId="77777777" w:rsidR="00F4028A" w:rsidRDefault="00F4028A" w:rsidP="002F3E93">
      <w:pPr>
        <w:spacing w:after="0"/>
      </w:pPr>
      <w:r>
        <w:continuationSeparator/>
      </w:r>
    </w:p>
  </w:footnote>
  <w:footnote w:type="continuationNotice" w:id="1">
    <w:p w14:paraId="037837E1" w14:textId="77777777" w:rsidR="00F4028A" w:rsidRDefault="00F4028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1B60CA"/>
    <w:multiLevelType w:val="hybridMultilevel"/>
    <w:tmpl w:val="BF1C2B74"/>
    <w:lvl w:ilvl="0" w:tplc="94563F94">
      <w:start w:val="1"/>
      <w:numFmt w:val="lowerLetter"/>
      <w:lvlText w:val="Option %1)"/>
      <w:lvlJc w:val="left"/>
      <w:pPr>
        <w:ind w:left="720" w:hanging="360"/>
      </w:pPr>
      <w:rPr>
        <w:rFonts w:ascii="Times New Roman Bold" w:hAnsi="Times New Roman Bold" w:hint="default"/>
        <w:b/>
        <w:i w:val="0"/>
        <w:sz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316AEE"/>
    <w:multiLevelType w:val="hybridMultilevel"/>
    <w:tmpl w:val="1012CB56"/>
    <w:lvl w:ilvl="0" w:tplc="766685A2">
      <w:start w:val="1"/>
      <w:numFmt w:val="decimal"/>
      <w:lvlText w:val="Option %1)"/>
      <w:lvlJc w:val="left"/>
      <w:pPr>
        <w:ind w:left="720" w:hanging="360"/>
      </w:pPr>
      <w:rPr>
        <w:rFonts w:ascii="Times New Roman Bold" w:hAnsi="Times New Roman Bold" w:hint="default"/>
        <w:b/>
        <w:i w:val="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D5150C"/>
    <w:multiLevelType w:val="hybridMultilevel"/>
    <w:tmpl w:val="B770E92A"/>
    <w:lvl w:ilvl="0" w:tplc="32763680">
      <w:start w:val="1"/>
      <w:numFmt w:val="bullet"/>
      <w:lvlText w:val="-"/>
      <w:lvlJc w:val="left"/>
      <w:pPr>
        <w:ind w:left="720" w:hanging="360"/>
      </w:pPr>
      <w:rPr>
        <w:rFonts w:ascii="Courier New" w:hAnsi="Courier New"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9C0A18"/>
    <w:multiLevelType w:val="hybridMultilevel"/>
    <w:tmpl w:val="D86C37C8"/>
    <w:lvl w:ilvl="0" w:tplc="04090005">
      <w:start w:val="1"/>
      <w:numFmt w:val="bullet"/>
      <w:lvlText w:val=""/>
      <w:lvlJc w:val="left"/>
      <w:pPr>
        <w:ind w:left="720" w:hanging="360"/>
      </w:pPr>
      <w:rPr>
        <w:rFonts w:ascii="Wingdings" w:hAnsi="Wingdings" w:hint="default"/>
      </w:rPr>
    </w:lvl>
    <w:lvl w:ilvl="1" w:tplc="08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5C427C"/>
    <w:multiLevelType w:val="hybridMultilevel"/>
    <w:tmpl w:val="1D662A5A"/>
    <w:lvl w:ilvl="0" w:tplc="DE32C0BA">
      <w:start w:val="1"/>
      <w:numFmt w:val="upperLetter"/>
      <w:lvlText w:val="Option %1)"/>
      <w:lvlJc w:val="left"/>
      <w:pPr>
        <w:ind w:left="360" w:hanging="360"/>
      </w:pPr>
      <w:rPr>
        <w:rFonts w:ascii="Times New Roman Bold" w:hAnsi="Times New Roman Bold" w:hint="default"/>
        <w:b/>
        <w:i w:val="0"/>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1132C5B"/>
    <w:multiLevelType w:val="hybridMultilevel"/>
    <w:tmpl w:val="9FF055DC"/>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C6221C"/>
    <w:multiLevelType w:val="hybridMultilevel"/>
    <w:tmpl w:val="84F08C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1241A7"/>
    <w:multiLevelType w:val="hybridMultilevel"/>
    <w:tmpl w:val="BC00F4F6"/>
    <w:lvl w:ilvl="0" w:tplc="AF38A31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52502F6"/>
    <w:multiLevelType w:val="hybridMultilevel"/>
    <w:tmpl w:val="506CB7D8"/>
    <w:lvl w:ilvl="0" w:tplc="9300C9CC">
      <w:start w:val="1"/>
      <w:numFmt w:val="lowerLetter"/>
      <w:lvlText w:val="%1)"/>
      <w:lvlJc w:val="left"/>
      <w:pPr>
        <w:ind w:left="720" w:hanging="360"/>
      </w:pPr>
      <w:rPr>
        <w:rFonts w:ascii="Times New Roman Bold" w:hAnsi="Times New Roman Bold"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5647301"/>
    <w:multiLevelType w:val="multilevel"/>
    <w:tmpl w:val="553AED7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3D4301C5"/>
    <w:multiLevelType w:val="hybridMultilevel"/>
    <w:tmpl w:val="BF1C2B74"/>
    <w:lvl w:ilvl="0" w:tplc="94563F94">
      <w:start w:val="1"/>
      <w:numFmt w:val="lowerLetter"/>
      <w:lvlText w:val="Option %1)"/>
      <w:lvlJc w:val="left"/>
      <w:pPr>
        <w:ind w:left="720" w:hanging="360"/>
      </w:pPr>
      <w:rPr>
        <w:rFonts w:ascii="Times New Roman Bold" w:hAnsi="Times New Roman Bold" w:hint="default"/>
        <w:b/>
        <w:i w:val="0"/>
        <w:sz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55470F"/>
    <w:multiLevelType w:val="hybridMultilevel"/>
    <w:tmpl w:val="B78E44C0"/>
    <w:lvl w:ilvl="0" w:tplc="CAB28F10">
      <w:start w:val="1"/>
      <w:numFmt w:val="decimal"/>
      <w:pStyle w:val="NO"/>
      <w:lvlText w:val="Observation %1:"/>
      <w:lvlJc w:val="left"/>
      <w:pPr>
        <w:ind w:left="720" w:hanging="360"/>
      </w:pPr>
      <w:rPr>
        <w:rFonts w:ascii="Calibri" w:hAnsi="Calibri"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37C2471"/>
    <w:multiLevelType w:val="hybridMultilevel"/>
    <w:tmpl w:val="7B303E5E"/>
    <w:lvl w:ilvl="0" w:tplc="0EE6E5E8">
      <w:start w:val="1"/>
      <w:numFmt w:val="lowerLetter"/>
      <w:lvlText w:val="%1)"/>
      <w:lvlJc w:val="left"/>
      <w:pPr>
        <w:ind w:left="720" w:hanging="360"/>
      </w:pPr>
      <w:rPr>
        <w:rFonts w:ascii="Times New Roman Bold" w:hAnsi="Times New Roman Bold" w:hint="default"/>
        <w:b/>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9A3391E"/>
    <w:multiLevelType w:val="hybridMultilevel"/>
    <w:tmpl w:val="4E522B8C"/>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3540493E">
      <w:start w:val="1"/>
      <w:numFmt w:val="decimal"/>
      <w:lvlText w:val="%3."/>
      <w:lvlJc w:val="left"/>
      <w:pPr>
        <w:ind w:left="2700" w:hanging="720"/>
      </w:pPr>
      <w:rPr>
        <w:rFonts w:hint="default"/>
      </w:rPr>
    </w:lvl>
    <w:lvl w:ilvl="3" w:tplc="26446572">
      <w:start w:val="1"/>
      <w:numFmt w:val="lowerLetter"/>
      <w:lvlText w:val="%4."/>
      <w:lvlJc w:val="left"/>
      <w:pPr>
        <w:ind w:left="3240" w:hanging="720"/>
      </w:pPr>
      <w:rPr>
        <w:rFonts w:hint="default"/>
      </w:rPr>
    </w:lvl>
    <w:lvl w:ilvl="4" w:tplc="FCE46A04">
      <w:start w:val="1"/>
      <w:numFmt w:val="upperLetter"/>
      <w:lvlText w:val="%5."/>
      <w:lvlJc w:val="left"/>
      <w:pPr>
        <w:ind w:left="3600" w:hanging="360"/>
      </w:pPr>
      <w:rPr>
        <w:rFonts w:hint="default"/>
      </w:rPr>
    </w:lvl>
    <w:lvl w:ilvl="5" w:tplc="EC787664">
      <w:start w:val="1"/>
      <w:numFmt w:val="decimal"/>
      <w:lvlText w:val="%6)"/>
      <w:lvlJc w:val="left"/>
      <w:pPr>
        <w:ind w:left="4500" w:hanging="360"/>
      </w:pPr>
      <w:rPr>
        <w:rFonts w:hint="default"/>
      </w:rPr>
    </w:lvl>
    <w:lvl w:ilvl="6" w:tplc="C8B43B16">
      <w:start w:val="1"/>
      <w:numFmt w:val="lowerLetter"/>
      <w:lvlText w:val="%7)"/>
      <w:lvlJc w:val="left"/>
      <w:pPr>
        <w:ind w:left="5400" w:hanging="720"/>
      </w:pPr>
      <w:rPr>
        <w:rFonts w:hint="default"/>
      </w:rPr>
    </w:lvl>
    <w:lvl w:ilvl="7" w:tplc="16646758">
      <w:start w:val="2"/>
      <w:numFmt w:val="bullet"/>
      <w:lvlText w:val="•"/>
      <w:lvlJc w:val="left"/>
      <w:pPr>
        <w:ind w:left="6120" w:hanging="720"/>
      </w:pPr>
      <w:rPr>
        <w:rFonts w:ascii="Times New Roman" w:eastAsia="SimSun" w:hAnsi="Times New Roman" w:cs="Times New Roman" w:hint="default"/>
      </w:rPr>
    </w:lvl>
    <w:lvl w:ilvl="8" w:tplc="0409001B" w:tentative="1">
      <w:start w:val="1"/>
      <w:numFmt w:val="lowerRoman"/>
      <w:lvlText w:val="%9."/>
      <w:lvlJc w:val="right"/>
      <w:pPr>
        <w:ind w:left="6480" w:hanging="180"/>
      </w:pPr>
    </w:lvl>
  </w:abstractNum>
  <w:abstractNum w:abstractNumId="15" w15:restartNumberingAfterBreak="0">
    <w:nsid w:val="4BB36010"/>
    <w:multiLevelType w:val="hybridMultilevel"/>
    <w:tmpl w:val="BF329780"/>
    <w:lvl w:ilvl="0" w:tplc="6BA283AC">
      <w:start w:val="1"/>
      <w:numFmt w:val="decimal"/>
      <w:lvlText w:val="Case %1."/>
      <w:lvlJc w:val="left"/>
      <w:pPr>
        <w:ind w:left="720" w:hanging="360"/>
      </w:pPr>
      <w:rPr>
        <w:rFonts w:hint="default"/>
        <w:b/>
        <w:i w:val="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CFE7F94"/>
    <w:multiLevelType w:val="hybridMultilevel"/>
    <w:tmpl w:val="CDB66A68"/>
    <w:lvl w:ilvl="0" w:tplc="F4365D7C">
      <w:start w:val="2"/>
      <w:numFmt w:val="bullet"/>
      <w:lvlText w:val="-"/>
      <w:lvlJc w:val="left"/>
      <w:pPr>
        <w:ind w:left="720" w:hanging="360"/>
      </w:pPr>
      <w:rPr>
        <w:rFonts w:ascii="Arial" w:eastAsia="Calibri" w:hAnsi="Arial" w:cs="Arial" w:hint="default"/>
      </w:rPr>
    </w:lvl>
    <w:lvl w:ilvl="1" w:tplc="8D7C4774">
      <w:start w:val="4"/>
      <w:numFmt w:val="bullet"/>
      <w:lvlText w:val=""/>
      <w:lvlJc w:val="left"/>
      <w:pPr>
        <w:ind w:left="1800" w:hanging="720"/>
      </w:pPr>
      <w:rPr>
        <w:rFonts w:ascii="Symbol" w:eastAsia="SimSun" w:hAnsi="Symbol"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D1389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7FD3E10"/>
    <w:multiLevelType w:val="hybridMultilevel"/>
    <w:tmpl w:val="6944B8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A715986"/>
    <w:multiLevelType w:val="hybridMultilevel"/>
    <w:tmpl w:val="1F0A0BB4"/>
    <w:lvl w:ilvl="0" w:tplc="65086D94">
      <w:start w:val="1"/>
      <w:numFmt w:val="decimal"/>
      <w:pStyle w:val="NP"/>
      <w:lvlText w:val="Proposal %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0" w15:restartNumberingAfterBreak="0">
    <w:nsid w:val="60FC77A7"/>
    <w:multiLevelType w:val="hybridMultilevel"/>
    <w:tmpl w:val="041AC2FE"/>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A4A6DA8"/>
    <w:multiLevelType w:val="hybridMultilevel"/>
    <w:tmpl w:val="25627AFE"/>
    <w:lvl w:ilvl="0" w:tplc="B0927D2A">
      <w:start w:val="1"/>
      <w:numFmt w:val="upperLetter"/>
      <w:lvlText w:val="Scenario %1)"/>
      <w:lvlJc w:val="left"/>
      <w:pPr>
        <w:ind w:left="720" w:hanging="360"/>
      </w:pPr>
      <w:rPr>
        <w:rFonts w:ascii="Times New Roman Bold" w:hAnsi="Times New Roman Bold"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D3B3AFB"/>
    <w:multiLevelType w:val="hybridMultilevel"/>
    <w:tmpl w:val="3FB20304"/>
    <w:lvl w:ilvl="0" w:tplc="6F489288">
      <w:start w:val="1"/>
      <w:numFmt w:val="decimal"/>
      <w:lvlText w:val="Scenario %1)"/>
      <w:lvlJc w:val="left"/>
      <w:pPr>
        <w:ind w:left="720" w:hanging="360"/>
      </w:pPr>
      <w:rPr>
        <w:rFonts w:ascii="Times New Roman Bold" w:hAnsi="Times New Roman Bold" w:hint="default"/>
        <w:b/>
        <w:i w:val="0"/>
        <w:sz w:val="20"/>
      </w:rPr>
    </w:lvl>
    <w:lvl w:ilvl="1" w:tplc="881C3BCA">
      <w:start w:val="1"/>
      <w:numFmt w:val="lowerLetter"/>
      <w:lvlText w:val="Option %2)"/>
      <w:lvlJc w:val="left"/>
      <w:pPr>
        <w:ind w:left="1440" w:hanging="360"/>
      </w:pPr>
      <w:rPr>
        <w:rFonts w:hint="default"/>
        <w:b/>
        <w:i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59823A1"/>
    <w:multiLevelType w:val="hybridMultilevel"/>
    <w:tmpl w:val="BAC49062"/>
    <w:lvl w:ilvl="0" w:tplc="32763680">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cs="Courier New" w:hint="default"/>
      </w:rPr>
    </w:lvl>
    <w:lvl w:ilvl="2" w:tplc="A6EC3C46">
      <w:numFmt w:val="bullet"/>
      <w:lvlText w:val=""/>
      <w:lvlJc w:val="left"/>
      <w:pPr>
        <w:ind w:left="2520" w:hanging="720"/>
      </w:pPr>
      <w:rPr>
        <w:rFonts w:ascii="Symbol" w:eastAsia="SimSun" w:hAnsi="Symbol"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91B56CB"/>
    <w:multiLevelType w:val="hybridMultilevel"/>
    <w:tmpl w:val="EE8880AA"/>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3"/>
  </w:num>
  <w:num w:numId="4">
    <w:abstractNumId w:val="8"/>
  </w:num>
  <w:num w:numId="5">
    <w:abstractNumId w:val="14"/>
  </w:num>
  <w:num w:numId="6">
    <w:abstractNumId w:val="12"/>
  </w:num>
  <w:num w:numId="7">
    <w:abstractNumId w:val="19"/>
  </w:num>
  <w:num w:numId="8">
    <w:abstractNumId w:val="11"/>
  </w:num>
  <w:num w:numId="9">
    <w:abstractNumId w:val="0"/>
  </w:num>
  <w:num w:numId="10">
    <w:abstractNumId w:val="5"/>
  </w:num>
  <w:num w:numId="11">
    <w:abstractNumId w:val="1"/>
  </w:num>
  <w:num w:numId="12">
    <w:abstractNumId w:val="4"/>
  </w:num>
  <w:num w:numId="13">
    <w:abstractNumId w:val="2"/>
  </w:num>
  <w:num w:numId="14">
    <w:abstractNumId w:val="3"/>
  </w:num>
  <w:num w:numId="15">
    <w:abstractNumId w:val="21"/>
  </w:num>
  <w:num w:numId="16">
    <w:abstractNumId w:val="15"/>
  </w:num>
  <w:num w:numId="17">
    <w:abstractNumId w:val="20"/>
  </w:num>
  <w:num w:numId="18">
    <w:abstractNumId w:val="9"/>
  </w:num>
  <w:num w:numId="19">
    <w:abstractNumId w:val="17"/>
  </w:num>
  <w:num w:numId="20">
    <w:abstractNumId w:val="22"/>
  </w:num>
  <w:num w:numId="21">
    <w:abstractNumId w:val="7"/>
  </w:num>
  <w:num w:numId="22">
    <w:abstractNumId w:val="16"/>
  </w:num>
  <w:num w:numId="23">
    <w:abstractNumId w:val="13"/>
  </w:num>
  <w:num w:numId="24">
    <w:abstractNumId w:val="25"/>
  </w:num>
  <w:num w:numId="25">
    <w:abstractNumId w:val="24"/>
  </w:num>
  <w:num w:numId="26">
    <w:abstractNumId w:val="6"/>
  </w:num>
  <w:num w:numId="27">
    <w:abstractNumId w:val="18"/>
  </w:num>
  <w:num w:numId="28">
    <w:abstractNumId w:val="1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trackRevisions/>
  <w:defaultTabStop w:val="720"/>
  <w:characterSpacingControl w:val="doNotCompress"/>
  <w:hdrShapeDefaults>
    <o:shapedefaults v:ext="edit" spidmax="1024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00E7"/>
    <w:rsid w:val="000005E1"/>
    <w:rsid w:val="000008D5"/>
    <w:rsid w:val="00002FC2"/>
    <w:rsid w:val="00003272"/>
    <w:rsid w:val="000036C2"/>
    <w:rsid w:val="000039BD"/>
    <w:rsid w:val="00004042"/>
    <w:rsid w:val="0000533A"/>
    <w:rsid w:val="000057C2"/>
    <w:rsid w:val="0000697B"/>
    <w:rsid w:val="00007430"/>
    <w:rsid w:val="0001095B"/>
    <w:rsid w:val="00010A38"/>
    <w:rsid w:val="00010DD4"/>
    <w:rsid w:val="000110B0"/>
    <w:rsid w:val="000113A4"/>
    <w:rsid w:val="000114C0"/>
    <w:rsid w:val="00013720"/>
    <w:rsid w:val="00013D67"/>
    <w:rsid w:val="00014648"/>
    <w:rsid w:val="00017A3E"/>
    <w:rsid w:val="00020E08"/>
    <w:rsid w:val="0002123C"/>
    <w:rsid w:val="00025A1D"/>
    <w:rsid w:val="00026DAC"/>
    <w:rsid w:val="00027C17"/>
    <w:rsid w:val="00030E21"/>
    <w:rsid w:val="00031035"/>
    <w:rsid w:val="00031DF0"/>
    <w:rsid w:val="0003224F"/>
    <w:rsid w:val="000329A9"/>
    <w:rsid w:val="00034525"/>
    <w:rsid w:val="00034976"/>
    <w:rsid w:val="00034A53"/>
    <w:rsid w:val="00035291"/>
    <w:rsid w:val="00037D27"/>
    <w:rsid w:val="00040602"/>
    <w:rsid w:val="000407A7"/>
    <w:rsid w:val="0004097F"/>
    <w:rsid w:val="00040F15"/>
    <w:rsid w:val="000416D1"/>
    <w:rsid w:val="000435F2"/>
    <w:rsid w:val="0004361A"/>
    <w:rsid w:val="0004424D"/>
    <w:rsid w:val="00044336"/>
    <w:rsid w:val="00044F99"/>
    <w:rsid w:val="00045EAE"/>
    <w:rsid w:val="00046664"/>
    <w:rsid w:val="00046A51"/>
    <w:rsid w:val="00046E0E"/>
    <w:rsid w:val="000506AD"/>
    <w:rsid w:val="000514F9"/>
    <w:rsid w:val="00051AD7"/>
    <w:rsid w:val="000522FE"/>
    <w:rsid w:val="00053D65"/>
    <w:rsid w:val="0005549F"/>
    <w:rsid w:val="000563D5"/>
    <w:rsid w:val="00056515"/>
    <w:rsid w:val="00060FE2"/>
    <w:rsid w:val="0006354D"/>
    <w:rsid w:val="000654F5"/>
    <w:rsid w:val="000664EF"/>
    <w:rsid w:val="00066C7A"/>
    <w:rsid w:val="000673FC"/>
    <w:rsid w:val="00067654"/>
    <w:rsid w:val="00067803"/>
    <w:rsid w:val="00067C23"/>
    <w:rsid w:val="00070B7B"/>
    <w:rsid w:val="00071663"/>
    <w:rsid w:val="000748BA"/>
    <w:rsid w:val="00080CCC"/>
    <w:rsid w:val="000817E2"/>
    <w:rsid w:val="0008367F"/>
    <w:rsid w:val="00083DAE"/>
    <w:rsid w:val="0008417B"/>
    <w:rsid w:val="00087A26"/>
    <w:rsid w:val="00090628"/>
    <w:rsid w:val="0009313D"/>
    <w:rsid w:val="00093EA8"/>
    <w:rsid w:val="0009401B"/>
    <w:rsid w:val="00094FC0"/>
    <w:rsid w:val="00096C38"/>
    <w:rsid w:val="00097BDF"/>
    <w:rsid w:val="000A123D"/>
    <w:rsid w:val="000A140B"/>
    <w:rsid w:val="000A20E0"/>
    <w:rsid w:val="000A289E"/>
    <w:rsid w:val="000A3B38"/>
    <w:rsid w:val="000A3DCF"/>
    <w:rsid w:val="000A6655"/>
    <w:rsid w:val="000B09C8"/>
    <w:rsid w:val="000B0A99"/>
    <w:rsid w:val="000B11BE"/>
    <w:rsid w:val="000B14DC"/>
    <w:rsid w:val="000B252B"/>
    <w:rsid w:val="000B524F"/>
    <w:rsid w:val="000B5426"/>
    <w:rsid w:val="000B5CD1"/>
    <w:rsid w:val="000B6CC3"/>
    <w:rsid w:val="000B71FF"/>
    <w:rsid w:val="000C09F4"/>
    <w:rsid w:val="000C0A9A"/>
    <w:rsid w:val="000C2413"/>
    <w:rsid w:val="000C2AEB"/>
    <w:rsid w:val="000C2B11"/>
    <w:rsid w:val="000C3E62"/>
    <w:rsid w:val="000C41C6"/>
    <w:rsid w:val="000C4BE7"/>
    <w:rsid w:val="000C5773"/>
    <w:rsid w:val="000C60E7"/>
    <w:rsid w:val="000C66FD"/>
    <w:rsid w:val="000C6811"/>
    <w:rsid w:val="000C7CE2"/>
    <w:rsid w:val="000D26E5"/>
    <w:rsid w:val="000D3B76"/>
    <w:rsid w:val="000D4458"/>
    <w:rsid w:val="000D4E28"/>
    <w:rsid w:val="000D5912"/>
    <w:rsid w:val="000D5C85"/>
    <w:rsid w:val="000D5D17"/>
    <w:rsid w:val="000D5F9F"/>
    <w:rsid w:val="000D6ED9"/>
    <w:rsid w:val="000E0BDF"/>
    <w:rsid w:val="000E0FE2"/>
    <w:rsid w:val="000E2635"/>
    <w:rsid w:val="000E51B4"/>
    <w:rsid w:val="000E51B6"/>
    <w:rsid w:val="000E524B"/>
    <w:rsid w:val="000E5C92"/>
    <w:rsid w:val="000E6032"/>
    <w:rsid w:val="000E7941"/>
    <w:rsid w:val="000F13B3"/>
    <w:rsid w:val="000F1B76"/>
    <w:rsid w:val="000F2BD4"/>
    <w:rsid w:val="000F2DEC"/>
    <w:rsid w:val="000F3BDA"/>
    <w:rsid w:val="000F4524"/>
    <w:rsid w:val="000F4A95"/>
    <w:rsid w:val="000F5A03"/>
    <w:rsid w:val="000F67CB"/>
    <w:rsid w:val="000F6D9B"/>
    <w:rsid w:val="001015E5"/>
    <w:rsid w:val="001026F9"/>
    <w:rsid w:val="00102A05"/>
    <w:rsid w:val="0010389A"/>
    <w:rsid w:val="001044BC"/>
    <w:rsid w:val="001047DE"/>
    <w:rsid w:val="00104A67"/>
    <w:rsid w:val="00104F71"/>
    <w:rsid w:val="0010526C"/>
    <w:rsid w:val="00105297"/>
    <w:rsid w:val="001060D6"/>
    <w:rsid w:val="001069E2"/>
    <w:rsid w:val="00106C9B"/>
    <w:rsid w:val="00107751"/>
    <w:rsid w:val="00107A6D"/>
    <w:rsid w:val="00110608"/>
    <w:rsid w:val="00110F2F"/>
    <w:rsid w:val="00111B69"/>
    <w:rsid w:val="00112725"/>
    <w:rsid w:val="00112797"/>
    <w:rsid w:val="0011595D"/>
    <w:rsid w:val="00117945"/>
    <w:rsid w:val="00117E18"/>
    <w:rsid w:val="001201DB"/>
    <w:rsid w:val="001206EB"/>
    <w:rsid w:val="00120C43"/>
    <w:rsid w:val="0012262C"/>
    <w:rsid w:val="00123808"/>
    <w:rsid w:val="00123ACF"/>
    <w:rsid w:val="00123D83"/>
    <w:rsid w:val="00124610"/>
    <w:rsid w:val="00125577"/>
    <w:rsid w:val="00125CE0"/>
    <w:rsid w:val="00126E42"/>
    <w:rsid w:val="00127531"/>
    <w:rsid w:val="001279F7"/>
    <w:rsid w:val="0013014D"/>
    <w:rsid w:val="0013110C"/>
    <w:rsid w:val="0013239F"/>
    <w:rsid w:val="001328D8"/>
    <w:rsid w:val="001338BC"/>
    <w:rsid w:val="00133D6A"/>
    <w:rsid w:val="001362EE"/>
    <w:rsid w:val="00137890"/>
    <w:rsid w:val="00137F89"/>
    <w:rsid w:val="001407A3"/>
    <w:rsid w:val="00141647"/>
    <w:rsid w:val="00141669"/>
    <w:rsid w:val="00141C9A"/>
    <w:rsid w:val="001439F5"/>
    <w:rsid w:val="001441BB"/>
    <w:rsid w:val="0014515E"/>
    <w:rsid w:val="00151382"/>
    <w:rsid w:val="00151644"/>
    <w:rsid w:val="00152621"/>
    <w:rsid w:val="0015388C"/>
    <w:rsid w:val="00155403"/>
    <w:rsid w:val="00155B58"/>
    <w:rsid w:val="00156CF3"/>
    <w:rsid w:val="00156E64"/>
    <w:rsid w:val="001573DF"/>
    <w:rsid w:val="00160A00"/>
    <w:rsid w:val="001642C1"/>
    <w:rsid w:val="00164934"/>
    <w:rsid w:val="00165D86"/>
    <w:rsid w:val="001679DD"/>
    <w:rsid w:val="00171C0D"/>
    <w:rsid w:val="00172617"/>
    <w:rsid w:val="00172879"/>
    <w:rsid w:val="00173589"/>
    <w:rsid w:val="001738DC"/>
    <w:rsid w:val="0017411A"/>
    <w:rsid w:val="0017429A"/>
    <w:rsid w:val="00174815"/>
    <w:rsid w:val="00175265"/>
    <w:rsid w:val="001752B8"/>
    <w:rsid w:val="00175418"/>
    <w:rsid w:val="001768EB"/>
    <w:rsid w:val="00180723"/>
    <w:rsid w:val="00180B62"/>
    <w:rsid w:val="00182307"/>
    <w:rsid w:val="001845EE"/>
    <w:rsid w:val="00186407"/>
    <w:rsid w:val="001870B1"/>
    <w:rsid w:val="00190932"/>
    <w:rsid w:val="0019148F"/>
    <w:rsid w:val="00192B9D"/>
    <w:rsid w:val="001930B9"/>
    <w:rsid w:val="00193FB3"/>
    <w:rsid w:val="0019705D"/>
    <w:rsid w:val="001A0C87"/>
    <w:rsid w:val="001A2DD3"/>
    <w:rsid w:val="001A3D38"/>
    <w:rsid w:val="001A43D1"/>
    <w:rsid w:val="001A6A4C"/>
    <w:rsid w:val="001A6BE8"/>
    <w:rsid w:val="001A70DE"/>
    <w:rsid w:val="001A7453"/>
    <w:rsid w:val="001B0BF7"/>
    <w:rsid w:val="001B1965"/>
    <w:rsid w:val="001B2051"/>
    <w:rsid w:val="001B29A2"/>
    <w:rsid w:val="001B3BAB"/>
    <w:rsid w:val="001B4677"/>
    <w:rsid w:val="001B5020"/>
    <w:rsid w:val="001B56D1"/>
    <w:rsid w:val="001B5CE5"/>
    <w:rsid w:val="001B6285"/>
    <w:rsid w:val="001B69F5"/>
    <w:rsid w:val="001B6EC0"/>
    <w:rsid w:val="001B7272"/>
    <w:rsid w:val="001C067F"/>
    <w:rsid w:val="001C1052"/>
    <w:rsid w:val="001C4C1D"/>
    <w:rsid w:val="001C4F32"/>
    <w:rsid w:val="001C72F0"/>
    <w:rsid w:val="001D0656"/>
    <w:rsid w:val="001D0EA6"/>
    <w:rsid w:val="001D136B"/>
    <w:rsid w:val="001D20DB"/>
    <w:rsid w:val="001D23BF"/>
    <w:rsid w:val="001D271F"/>
    <w:rsid w:val="001D3659"/>
    <w:rsid w:val="001D38E6"/>
    <w:rsid w:val="001D3F9F"/>
    <w:rsid w:val="001D7225"/>
    <w:rsid w:val="001E045C"/>
    <w:rsid w:val="001E0DAD"/>
    <w:rsid w:val="001E0FF8"/>
    <w:rsid w:val="001E1242"/>
    <w:rsid w:val="001E30D7"/>
    <w:rsid w:val="001E3AF7"/>
    <w:rsid w:val="001E6B07"/>
    <w:rsid w:val="001E7734"/>
    <w:rsid w:val="001F05CD"/>
    <w:rsid w:val="001F1F3F"/>
    <w:rsid w:val="001F22E9"/>
    <w:rsid w:val="001F24DF"/>
    <w:rsid w:val="001F289E"/>
    <w:rsid w:val="001F4A7E"/>
    <w:rsid w:val="001F4E11"/>
    <w:rsid w:val="001F5207"/>
    <w:rsid w:val="001F60C3"/>
    <w:rsid w:val="001F6604"/>
    <w:rsid w:val="001F674F"/>
    <w:rsid w:val="001F7376"/>
    <w:rsid w:val="001F7405"/>
    <w:rsid w:val="001F7FDB"/>
    <w:rsid w:val="00201453"/>
    <w:rsid w:val="00202307"/>
    <w:rsid w:val="00206159"/>
    <w:rsid w:val="0020625D"/>
    <w:rsid w:val="00210EAF"/>
    <w:rsid w:val="002126FB"/>
    <w:rsid w:val="00213819"/>
    <w:rsid w:val="00214D44"/>
    <w:rsid w:val="00215974"/>
    <w:rsid w:val="00215F08"/>
    <w:rsid w:val="002165CC"/>
    <w:rsid w:val="00216C6E"/>
    <w:rsid w:val="00217066"/>
    <w:rsid w:val="00224C06"/>
    <w:rsid w:val="002250F7"/>
    <w:rsid w:val="00225C53"/>
    <w:rsid w:val="0022644D"/>
    <w:rsid w:val="00231A65"/>
    <w:rsid w:val="002322BD"/>
    <w:rsid w:val="002332FB"/>
    <w:rsid w:val="00233BBC"/>
    <w:rsid w:val="00234285"/>
    <w:rsid w:val="00234363"/>
    <w:rsid w:val="002362A7"/>
    <w:rsid w:val="0023693C"/>
    <w:rsid w:val="00236951"/>
    <w:rsid w:val="00236F96"/>
    <w:rsid w:val="0023729B"/>
    <w:rsid w:val="00241A6C"/>
    <w:rsid w:val="00242F28"/>
    <w:rsid w:val="0024377F"/>
    <w:rsid w:val="002445C0"/>
    <w:rsid w:val="002447AA"/>
    <w:rsid w:val="0024490A"/>
    <w:rsid w:val="00244CE5"/>
    <w:rsid w:val="00244FD3"/>
    <w:rsid w:val="0024538D"/>
    <w:rsid w:val="002456F8"/>
    <w:rsid w:val="00246A97"/>
    <w:rsid w:val="00247F64"/>
    <w:rsid w:val="0025142A"/>
    <w:rsid w:val="00251778"/>
    <w:rsid w:val="002538D1"/>
    <w:rsid w:val="00253CD4"/>
    <w:rsid w:val="00253FD2"/>
    <w:rsid w:val="0025433F"/>
    <w:rsid w:val="002575B3"/>
    <w:rsid w:val="002600DE"/>
    <w:rsid w:val="0026050C"/>
    <w:rsid w:val="00260979"/>
    <w:rsid w:val="00261178"/>
    <w:rsid w:val="002625B2"/>
    <w:rsid w:val="00263B46"/>
    <w:rsid w:val="00263F69"/>
    <w:rsid w:val="00265089"/>
    <w:rsid w:val="0026686C"/>
    <w:rsid w:val="00266C7C"/>
    <w:rsid w:val="00267C89"/>
    <w:rsid w:val="00271938"/>
    <w:rsid w:val="00273B8D"/>
    <w:rsid w:val="002740AD"/>
    <w:rsid w:val="00274611"/>
    <w:rsid w:val="00274B8A"/>
    <w:rsid w:val="00275762"/>
    <w:rsid w:val="00275D16"/>
    <w:rsid w:val="0027661D"/>
    <w:rsid w:val="002772F4"/>
    <w:rsid w:val="0027786D"/>
    <w:rsid w:val="0028226C"/>
    <w:rsid w:val="00282C65"/>
    <w:rsid w:val="00282D81"/>
    <w:rsid w:val="002832B2"/>
    <w:rsid w:val="00283C13"/>
    <w:rsid w:val="0028578D"/>
    <w:rsid w:val="00285EA4"/>
    <w:rsid w:val="002870B6"/>
    <w:rsid w:val="00290316"/>
    <w:rsid w:val="00290E85"/>
    <w:rsid w:val="002913E6"/>
    <w:rsid w:val="00293242"/>
    <w:rsid w:val="00293E61"/>
    <w:rsid w:val="00297009"/>
    <w:rsid w:val="0029749A"/>
    <w:rsid w:val="002A07B0"/>
    <w:rsid w:val="002A1543"/>
    <w:rsid w:val="002A4A8F"/>
    <w:rsid w:val="002A5191"/>
    <w:rsid w:val="002A52C4"/>
    <w:rsid w:val="002A5369"/>
    <w:rsid w:val="002A5393"/>
    <w:rsid w:val="002A55BC"/>
    <w:rsid w:val="002A585E"/>
    <w:rsid w:val="002A5900"/>
    <w:rsid w:val="002A6270"/>
    <w:rsid w:val="002A6F60"/>
    <w:rsid w:val="002A7BF4"/>
    <w:rsid w:val="002B03EC"/>
    <w:rsid w:val="002B0A1F"/>
    <w:rsid w:val="002B1680"/>
    <w:rsid w:val="002B25DE"/>
    <w:rsid w:val="002B28BD"/>
    <w:rsid w:val="002B2C33"/>
    <w:rsid w:val="002B302C"/>
    <w:rsid w:val="002B35F4"/>
    <w:rsid w:val="002B4028"/>
    <w:rsid w:val="002B4EF9"/>
    <w:rsid w:val="002B5747"/>
    <w:rsid w:val="002B6A4C"/>
    <w:rsid w:val="002B703B"/>
    <w:rsid w:val="002B733D"/>
    <w:rsid w:val="002C1096"/>
    <w:rsid w:val="002C1420"/>
    <w:rsid w:val="002C2625"/>
    <w:rsid w:val="002C26AC"/>
    <w:rsid w:val="002C32E9"/>
    <w:rsid w:val="002C39E3"/>
    <w:rsid w:val="002C3C4F"/>
    <w:rsid w:val="002C3FDE"/>
    <w:rsid w:val="002C5048"/>
    <w:rsid w:val="002C642D"/>
    <w:rsid w:val="002C6733"/>
    <w:rsid w:val="002C7E2C"/>
    <w:rsid w:val="002D149F"/>
    <w:rsid w:val="002D2B10"/>
    <w:rsid w:val="002D368B"/>
    <w:rsid w:val="002D53AD"/>
    <w:rsid w:val="002D5465"/>
    <w:rsid w:val="002D73E2"/>
    <w:rsid w:val="002E0830"/>
    <w:rsid w:val="002E1596"/>
    <w:rsid w:val="002E1A03"/>
    <w:rsid w:val="002E3CFB"/>
    <w:rsid w:val="002E4119"/>
    <w:rsid w:val="002E436C"/>
    <w:rsid w:val="002E4727"/>
    <w:rsid w:val="002E4C1F"/>
    <w:rsid w:val="002E511F"/>
    <w:rsid w:val="002E53CC"/>
    <w:rsid w:val="002E58B6"/>
    <w:rsid w:val="002E5C2D"/>
    <w:rsid w:val="002E6205"/>
    <w:rsid w:val="002E68BC"/>
    <w:rsid w:val="002E74E4"/>
    <w:rsid w:val="002E78AA"/>
    <w:rsid w:val="002F04B4"/>
    <w:rsid w:val="002F1C7B"/>
    <w:rsid w:val="002F3E93"/>
    <w:rsid w:val="002F46E9"/>
    <w:rsid w:val="002F4EA0"/>
    <w:rsid w:val="002F5551"/>
    <w:rsid w:val="002F6380"/>
    <w:rsid w:val="002F656D"/>
    <w:rsid w:val="002F72A9"/>
    <w:rsid w:val="002F7597"/>
    <w:rsid w:val="002F792D"/>
    <w:rsid w:val="002F7A40"/>
    <w:rsid w:val="003009B1"/>
    <w:rsid w:val="00300A2B"/>
    <w:rsid w:val="003011E6"/>
    <w:rsid w:val="003028B7"/>
    <w:rsid w:val="00303F49"/>
    <w:rsid w:val="0030411F"/>
    <w:rsid w:val="00304295"/>
    <w:rsid w:val="0030508B"/>
    <w:rsid w:val="00306758"/>
    <w:rsid w:val="00306FEC"/>
    <w:rsid w:val="00311CA6"/>
    <w:rsid w:val="00311D6E"/>
    <w:rsid w:val="00312922"/>
    <w:rsid w:val="003139C2"/>
    <w:rsid w:val="003139FD"/>
    <w:rsid w:val="0031425C"/>
    <w:rsid w:val="00317993"/>
    <w:rsid w:val="003211D2"/>
    <w:rsid w:val="00322B67"/>
    <w:rsid w:val="003234DB"/>
    <w:rsid w:val="00323A5E"/>
    <w:rsid w:val="00323AEC"/>
    <w:rsid w:val="0032455E"/>
    <w:rsid w:val="003250AA"/>
    <w:rsid w:val="00330655"/>
    <w:rsid w:val="00331F74"/>
    <w:rsid w:val="00332898"/>
    <w:rsid w:val="003337EA"/>
    <w:rsid w:val="00333F68"/>
    <w:rsid w:val="00334278"/>
    <w:rsid w:val="00334728"/>
    <w:rsid w:val="003350CC"/>
    <w:rsid w:val="00335794"/>
    <w:rsid w:val="00335BDD"/>
    <w:rsid w:val="003374B9"/>
    <w:rsid w:val="00337D89"/>
    <w:rsid w:val="00340300"/>
    <w:rsid w:val="00341335"/>
    <w:rsid w:val="00341572"/>
    <w:rsid w:val="00341C74"/>
    <w:rsid w:val="0034559B"/>
    <w:rsid w:val="00346139"/>
    <w:rsid w:val="0035076B"/>
    <w:rsid w:val="00351074"/>
    <w:rsid w:val="00351662"/>
    <w:rsid w:val="00351828"/>
    <w:rsid w:val="003523BC"/>
    <w:rsid w:val="00352993"/>
    <w:rsid w:val="0035319F"/>
    <w:rsid w:val="00353666"/>
    <w:rsid w:val="0035406C"/>
    <w:rsid w:val="00356108"/>
    <w:rsid w:val="00356A2B"/>
    <w:rsid w:val="00360584"/>
    <w:rsid w:val="0036261C"/>
    <w:rsid w:val="00363C4D"/>
    <w:rsid w:val="003656B2"/>
    <w:rsid w:val="00367DB9"/>
    <w:rsid w:val="003713FF"/>
    <w:rsid w:val="0037146D"/>
    <w:rsid w:val="00371C00"/>
    <w:rsid w:val="00371F67"/>
    <w:rsid w:val="003729EA"/>
    <w:rsid w:val="003735BB"/>
    <w:rsid w:val="003736B5"/>
    <w:rsid w:val="00373779"/>
    <w:rsid w:val="0037379C"/>
    <w:rsid w:val="00373E25"/>
    <w:rsid w:val="0037453B"/>
    <w:rsid w:val="003746BA"/>
    <w:rsid w:val="0037470C"/>
    <w:rsid w:val="00374BFE"/>
    <w:rsid w:val="00376280"/>
    <w:rsid w:val="00376B92"/>
    <w:rsid w:val="00376F14"/>
    <w:rsid w:val="00377582"/>
    <w:rsid w:val="003778F8"/>
    <w:rsid w:val="003801E5"/>
    <w:rsid w:val="00380F17"/>
    <w:rsid w:val="00381CA3"/>
    <w:rsid w:val="00382549"/>
    <w:rsid w:val="00383A6B"/>
    <w:rsid w:val="00384374"/>
    <w:rsid w:val="00385E3F"/>
    <w:rsid w:val="0038613C"/>
    <w:rsid w:val="0038636B"/>
    <w:rsid w:val="003900BA"/>
    <w:rsid w:val="00390DCE"/>
    <w:rsid w:val="00391F88"/>
    <w:rsid w:val="0039360A"/>
    <w:rsid w:val="00393F1E"/>
    <w:rsid w:val="00394827"/>
    <w:rsid w:val="00395E4E"/>
    <w:rsid w:val="003A0B3C"/>
    <w:rsid w:val="003A1520"/>
    <w:rsid w:val="003A1E58"/>
    <w:rsid w:val="003A398B"/>
    <w:rsid w:val="003A3B00"/>
    <w:rsid w:val="003A3C78"/>
    <w:rsid w:val="003A3E8D"/>
    <w:rsid w:val="003A43F1"/>
    <w:rsid w:val="003A5A8D"/>
    <w:rsid w:val="003A66FC"/>
    <w:rsid w:val="003A6AE5"/>
    <w:rsid w:val="003A6C19"/>
    <w:rsid w:val="003A7627"/>
    <w:rsid w:val="003B079E"/>
    <w:rsid w:val="003B1AE2"/>
    <w:rsid w:val="003B24F7"/>
    <w:rsid w:val="003B29F0"/>
    <w:rsid w:val="003B324C"/>
    <w:rsid w:val="003B4457"/>
    <w:rsid w:val="003B4566"/>
    <w:rsid w:val="003B490C"/>
    <w:rsid w:val="003B51CF"/>
    <w:rsid w:val="003B53E9"/>
    <w:rsid w:val="003B6751"/>
    <w:rsid w:val="003B6852"/>
    <w:rsid w:val="003B7500"/>
    <w:rsid w:val="003C0188"/>
    <w:rsid w:val="003C0195"/>
    <w:rsid w:val="003C0AED"/>
    <w:rsid w:val="003C1B10"/>
    <w:rsid w:val="003C2019"/>
    <w:rsid w:val="003C22CA"/>
    <w:rsid w:val="003C34D0"/>
    <w:rsid w:val="003C468B"/>
    <w:rsid w:val="003D0DF7"/>
    <w:rsid w:val="003D181B"/>
    <w:rsid w:val="003D2598"/>
    <w:rsid w:val="003D2BDB"/>
    <w:rsid w:val="003D3A33"/>
    <w:rsid w:val="003D40C6"/>
    <w:rsid w:val="003D41CD"/>
    <w:rsid w:val="003D4382"/>
    <w:rsid w:val="003D4641"/>
    <w:rsid w:val="003D4869"/>
    <w:rsid w:val="003D4EF8"/>
    <w:rsid w:val="003D51BF"/>
    <w:rsid w:val="003D53A8"/>
    <w:rsid w:val="003D60D8"/>
    <w:rsid w:val="003D6543"/>
    <w:rsid w:val="003D6564"/>
    <w:rsid w:val="003D6599"/>
    <w:rsid w:val="003D6E80"/>
    <w:rsid w:val="003E15AF"/>
    <w:rsid w:val="003E1D45"/>
    <w:rsid w:val="003E1F80"/>
    <w:rsid w:val="003E22F5"/>
    <w:rsid w:val="003E2B6D"/>
    <w:rsid w:val="003E2C86"/>
    <w:rsid w:val="003E4B26"/>
    <w:rsid w:val="003E4EBB"/>
    <w:rsid w:val="003E537D"/>
    <w:rsid w:val="003E5C9F"/>
    <w:rsid w:val="003E5E26"/>
    <w:rsid w:val="003E69DD"/>
    <w:rsid w:val="003E72AA"/>
    <w:rsid w:val="003E7E08"/>
    <w:rsid w:val="003F2780"/>
    <w:rsid w:val="003F27FB"/>
    <w:rsid w:val="003F410C"/>
    <w:rsid w:val="003F4B89"/>
    <w:rsid w:val="003F4BD2"/>
    <w:rsid w:val="003F6A5E"/>
    <w:rsid w:val="003F6BA8"/>
    <w:rsid w:val="0040072F"/>
    <w:rsid w:val="00400B73"/>
    <w:rsid w:val="00402773"/>
    <w:rsid w:val="00402E65"/>
    <w:rsid w:val="00402EE9"/>
    <w:rsid w:val="004042EC"/>
    <w:rsid w:val="00404AEC"/>
    <w:rsid w:val="004072ED"/>
    <w:rsid w:val="004077A5"/>
    <w:rsid w:val="00410CC5"/>
    <w:rsid w:val="0041353C"/>
    <w:rsid w:val="004141D1"/>
    <w:rsid w:val="0041458B"/>
    <w:rsid w:val="00415D3A"/>
    <w:rsid w:val="00417B43"/>
    <w:rsid w:val="00417BA6"/>
    <w:rsid w:val="00417D01"/>
    <w:rsid w:val="0042215A"/>
    <w:rsid w:val="00422909"/>
    <w:rsid w:val="0042562A"/>
    <w:rsid w:val="00425E2D"/>
    <w:rsid w:val="00426042"/>
    <w:rsid w:val="00427C8B"/>
    <w:rsid w:val="00431670"/>
    <w:rsid w:val="00431A2C"/>
    <w:rsid w:val="004332FB"/>
    <w:rsid w:val="00433669"/>
    <w:rsid w:val="00433744"/>
    <w:rsid w:val="0043643C"/>
    <w:rsid w:val="00440415"/>
    <w:rsid w:val="0044070E"/>
    <w:rsid w:val="00440D54"/>
    <w:rsid w:val="00441A6C"/>
    <w:rsid w:val="00442711"/>
    <w:rsid w:val="00442721"/>
    <w:rsid w:val="00442D98"/>
    <w:rsid w:val="00442FB8"/>
    <w:rsid w:val="004433EB"/>
    <w:rsid w:val="004446ED"/>
    <w:rsid w:val="00451029"/>
    <w:rsid w:val="0045141A"/>
    <w:rsid w:val="004520CA"/>
    <w:rsid w:val="0045269F"/>
    <w:rsid w:val="0045333B"/>
    <w:rsid w:val="004540FC"/>
    <w:rsid w:val="00454EC2"/>
    <w:rsid w:val="004573EA"/>
    <w:rsid w:val="00457772"/>
    <w:rsid w:val="004611E1"/>
    <w:rsid w:val="00461F0B"/>
    <w:rsid w:val="004638ED"/>
    <w:rsid w:val="00464704"/>
    <w:rsid w:val="00466831"/>
    <w:rsid w:val="00466D1C"/>
    <w:rsid w:val="004676EC"/>
    <w:rsid w:val="004702EB"/>
    <w:rsid w:val="00470B22"/>
    <w:rsid w:val="00472933"/>
    <w:rsid w:val="00473652"/>
    <w:rsid w:val="00473AB2"/>
    <w:rsid w:val="004753FC"/>
    <w:rsid w:val="004754B0"/>
    <w:rsid w:val="00475B0F"/>
    <w:rsid w:val="00477936"/>
    <w:rsid w:val="004802C9"/>
    <w:rsid w:val="004805E7"/>
    <w:rsid w:val="00480A17"/>
    <w:rsid w:val="004816B2"/>
    <w:rsid w:val="0048327F"/>
    <w:rsid w:val="00483471"/>
    <w:rsid w:val="0048406E"/>
    <w:rsid w:val="00485721"/>
    <w:rsid w:val="00486A55"/>
    <w:rsid w:val="00487972"/>
    <w:rsid w:val="00491161"/>
    <w:rsid w:val="00492C9E"/>
    <w:rsid w:val="0049361C"/>
    <w:rsid w:val="00495548"/>
    <w:rsid w:val="00495559"/>
    <w:rsid w:val="00496233"/>
    <w:rsid w:val="00496B61"/>
    <w:rsid w:val="00497037"/>
    <w:rsid w:val="004A0395"/>
    <w:rsid w:val="004A0D9B"/>
    <w:rsid w:val="004A1539"/>
    <w:rsid w:val="004A178F"/>
    <w:rsid w:val="004A41F7"/>
    <w:rsid w:val="004A5D38"/>
    <w:rsid w:val="004A67B2"/>
    <w:rsid w:val="004A72FA"/>
    <w:rsid w:val="004A760E"/>
    <w:rsid w:val="004B02F0"/>
    <w:rsid w:val="004B1615"/>
    <w:rsid w:val="004B1FFF"/>
    <w:rsid w:val="004B2E37"/>
    <w:rsid w:val="004B3972"/>
    <w:rsid w:val="004B3D26"/>
    <w:rsid w:val="004B437A"/>
    <w:rsid w:val="004B5E9F"/>
    <w:rsid w:val="004B6F8B"/>
    <w:rsid w:val="004B7CB1"/>
    <w:rsid w:val="004C009F"/>
    <w:rsid w:val="004C1BE7"/>
    <w:rsid w:val="004C3618"/>
    <w:rsid w:val="004C55F5"/>
    <w:rsid w:val="004C6014"/>
    <w:rsid w:val="004C60BA"/>
    <w:rsid w:val="004C7645"/>
    <w:rsid w:val="004C7B35"/>
    <w:rsid w:val="004D033B"/>
    <w:rsid w:val="004D0B9A"/>
    <w:rsid w:val="004D1120"/>
    <w:rsid w:val="004D2155"/>
    <w:rsid w:val="004D3202"/>
    <w:rsid w:val="004D344A"/>
    <w:rsid w:val="004D6CEC"/>
    <w:rsid w:val="004D707B"/>
    <w:rsid w:val="004E0FCB"/>
    <w:rsid w:val="004E10E4"/>
    <w:rsid w:val="004E1C5C"/>
    <w:rsid w:val="004E1C83"/>
    <w:rsid w:val="004E272C"/>
    <w:rsid w:val="004E2B75"/>
    <w:rsid w:val="004E38A0"/>
    <w:rsid w:val="004E3BA2"/>
    <w:rsid w:val="004E4414"/>
    <w:rsid w:val="004E4478"/>
    <w:rsid w:val="004E5746"/>
    <w:rsid w:val="004E6CA5"/>
    <w:rsid w:val="004E762A"/>
    <w:rsid w:val="004E79DC"/>
    <w:rsid w:val="004F08EF"/>
    <w:rsid w:val="004F0EF9"/>
    <w:rsid w:val="004F1C79"/>
    <w:rsid w:val="004F1F19"/>
    <w:rsid w:val="004F22D6"/>
    <w:rsid w:val="004F4B0E"/>
    <w:rsid w:val="004F574E"/>
    <w:rsid w:val="004F64E3"/>
    <w:rsid w:val="004F692D"/>
    <w:rsid w:val="004F71FE"/>
    <w:rsid w:val="004F73A7"/>
    <w:rsid w:val="005001A6"/>
    <w:rsid w:val="00500C6E"/>
    <w:rsid w:val="00501333"/>
    <w:rsid w:val="00501979"/>
    <w:rsid w:val="005021D0"/>
    <w:rsid w:val="005027CE"/>
    <w:rsid w:val="00502B6B"/>
    <w:rsid w:val="00504575"/>
    <w:rsid w:val="005045D2"/>
    <w:rsid w:val="00504F8B"/>
    <w:rsid w:val="005052EF"/>
    <w:rsid w:val="00507800"/>
    <w:rsid w:val="00511B35"/>
    <w:rsid w:val="00512B23"/>
    <w:rsid w:val="00513FBB"/>
    <w:rsid w:val="0051416A"/>
    <w:rsid w:val="0051486A"/>
    <w:rsid w:val="00514D99"/>
    <w:rsid w:val="00515807"/>
    <w:rsid w:val="0051596D"/>
    <w:rsid w:val="0052029A"/>
    <w:rsid w:val="005206C8"/>
    <w:rsid w:val="0052078D"/>
    <w:rsid w:val="0052319B"/>
    <w:rsid w:val="005237B6"/>
    <w:rsid w:val="0052394D"/>
    <w:rsid w:val="00523B5F"/>
    <w:rsid w:val="00524A3A"/>
    <w:rsid w:val="0052520A"/>
    <w:rsid w:val="00525300"/>
    <w:rsid w:val="005260A0"/>
    <w:rsid w:val="00527012"/>
    <w:rsid w:val="005302EA"/>
    <w:rsid w:val="00530522"/>
    <w:rsid w:val="00531F55"/>
    <w:rsid w:val="0053266C"/>
    <w:rsid w:val="005342EF"/>
    <w:rsid w:val="005349FB"/>
    <w:rsid w:val="00535395"/>
    <w:rsid w:val="0053546B"/>
    <w:rsid w:val="0053741A"/>
    <w:rsid w:val="00540AFE"/>
    <w:rsid w:val="00540CA7"/>
    <w:rsid w:val="00543F51"/>
    <w:rsid w:val="005442DF"/>
    <w:rsid w:val="00545BC6"/>
    <w:rsid w:val="005478AF"/>
    <w:rsid w:val="00547A0E"/>
    <w:rsid w:val="00550D6C"/>
    <w:rsid w:val="00551016"/>
    <w:rsid w:val="00551254"/>
    <w:rsid w:val="005522EA"/>
    <w:rsid w:val="0055268F"/>
    <w:rsid w:val="005537EC"/>
    <w:rsid w:val="00554DB1"/>
    <w:rsid w:val="00554F82"/>
    <w:rsid w:val="00556244"/>
    <w:rsid w:val="0056071B"/>
    <w:rsid w:val="00560B5A"/>
    <w:rsid w:val="005613D3"/>
    <w:rsid w:val="0056162F"/>
    <w:rsid w:val="00563D54"/>
    <w:rsid w:val="00564907"/>
    <w:rsid w:val="005659D0"/>
    <w:rsid w:val="00566561"/>
    <w:rsid w:val="00567F46"/>
    <w:rsid w:val="00570496"/>
    <w:rsid w:val="00571EE3"/>
    <w:rsid w:val="00572043"/>
    <w:rsid w:val="00572CA0"/>
    <w:rsid w:val="005735A7"/>
    <w:rsid w:val="00573F20"/>
    <w:rsid w:val="00574E9C"/>
    <w:rsid w:val="00576836"/>
    <w:rsid w:val="0057736B"/>
    <w:rsid w:val="005775CE"/>
    <w:rsid w:val="00580133"/>
    <w:rsid w:val="00580780"/>
    <w:rsid w:val="005807E9"/>
    <w:rsid w:val="005841FB"/>
    <w:rsid w:val="00584C8B"/>
    <w:rsid w:val="005865AB"/>
    <w:rsid w:val="00586858"/>
    <w:rsid w:val="00587603"/>
    <w:rsid w:val="00587CEE"/>
    <w:rsid w:val="00590534"/>
    <w:rsid w:val="005908ED"/>
    <w:rsid w:val="00592F11"/>
    <w:rsid w:val="0059337D"/>
    <w:rsid w:val="00594611"/>
    <w:rsid w:val="00595340"/>
    <w:rsid w:val="005A0A8B"/>
    <w:rsid w:val="005A0BD9"/>
    <w:rsid w:val="005A17FA"/>
    <w:rsid w:val="005A2010"/>
    <w:rsid w:val="005A4606"/>
    <w:rsid w:val="005A465D"/>
    <w:rsid w:val="005A47CE"/>
    <w:rsid w:val="005A5CF9"/>
    <w:rsid w:val="005B139C"/>
    <w:rsid w:val="005B15E4"/>
    <w:rsid w:val="005B381B"/>
    <w:rsid w:val="005B4757"/>
    <w:rsid w:val="005B503D"/>
    <w:rsid w:val="005C195E"/>
    <w:rsid w:val="005C35D7"/>
    <w:rsid w:val="005C39D6"/>
    <w:rsid w:val="005C4240"/>
    <w:rsid w:val="005C4E43"/>
    <w:rsid w:val="005C630F"/>
    <w:rsid w:val="005C7303"/>
    <w:rsid w:val="005C7404"/>
    <w:rsid w:val="005C786C"/>
    <w:rsid w:val="005C7C73"/>
    <w:rsid w:val="005C7E93"/>
    <w:rsid w:val="005D11BF"/>
    <w:rsid w:val="005D313A"/>
    <w:rsid w:val="005D4478"/>
    <w:rsid w:val="005D6244"/>
    <w:rsid w:val="005D62D2"/>
    <w:rsid w:val="005D6D71"/>
    <w:rsid w:val="005D70B5"/>
    <w:rsid w:val="005E1E81"/>
    <w:rsid w:val="005E3D15"/>
    <w:rsid w:val="005E5E8D"/>
    <w:rsid w:val="005E64F1"/>
    <w:rsid w:val="005E6C5D"/>
    <w:rsid w:val="005E7133"/>
    <w:rsid w:val="005F08B0"/>
    <w:rsid w:val="005F265D"/>
    <w:rsid w:val="005F2ACA"/>
    <w:rsid w:val="005F380C"/>
    <w:rsid w:val="005F3EB1"/>
    <w:rsid w:val="005F497B"/>
    <w:rsid w:val="005F524A"/>
    <w:rsid w:val="005F5C1A"/>
    <w:rsid w:val="00600C11"/>
    <w:rsid w:val="006012FD"/>
    <w:rsid w:val="00601399"/>
    <w:rsid w:val="00601622"/>
    <w:rsid w:val="0060304A"/>
    <w:rsid w:val="0060325A"/>
    <w:rsid w:val="00605DBA"/>
    <w:rsid w:val="006060E6"/>
    <w:rsid w:val="00606130"/>
    <w:rsid w:val="00606E68"/>
    <w:rsid w:val="00610362"/>
    <w:rsid w:val="0061216B"/>
    <w:rsid w:val="006121B3"/>
    <w:rsid w:val="0061463E"/>
    <w:rsid w:val="00614A03"/>
    <w:rsid w:val="00614B39"/>
    <w:rsid w:val="00615FA7"/>
    <w:rsid w:val="00616B44"/>
    <w:rsid w:val="00616E6E"/>
    <w:rsid w:val="00617D65"/>
    <w:rsid w:val="00617FFB"/>
    <w:rsid w:val="006208B3"/>
    <w:rsid w:val="00620D67"/>
    <w:rsid w:val="006219DD"/>
    <w:rsid w:val="0062243F"/>
    <w:rsid w:val="006265A8"/>
    <w:rsid w:val="006272C6"/>
    <w:rsid w:val="00630C85"/>
    <w:rsid w:val="006313CD"/>
    <w:rsid w:val="00632754"/>
    <w:rsid w:val="006377EF"/>
    <w:rsid w:val="006378BC"/>
    <w:rsid w:val="0064068E"/>
    <w:rsid w:val="006407FE"/>
    <w:rsid w:val="00640E0F"/>
    <w:rsid w:val="00641292"/>
    <w:rsid w:val="00642883"/>
    <w:rsid w:val="006434C7"/>
    <w:rsid w:val="00643BD5"/>
    <w:rsid w:val="006441FA"/>
    <w:rsid w:val="00644546"/>
    <w:rsid w:val="00646C48"/>
    <w:rsid w:val="00650A77"/>
    <w:rsid w:val="00650E6F"/>
    <w:rsid w:val="00651020"/>
    <w:rsid w:val="006526C5"/>
    <w:rsid w:val="00652F37"/>
    <w:rsid w:val="00653E16"/>
    <w:rsid w:val="00654E08"/>
    <w:rsid w:val="0065510F"/>
    <w:rsid w:val="006573D0"/>
    <w:rsid w:val="00662BB7"/>
    <w:rsid w:val="006630F8"/>
    <w:rsid w:val="00663185"/>
    <w:rsid w:val="00663C43"/>
    <w:rsid w:val="00663D2B"/>
    <w:rsid w:val="006655D7"/>
    <w:rsid w:val="00667244"/>
    <w:rsid w:val="00670442"/>
    <w:rsid w:val="006718FB"/>
    <w:rsid w:val="00671936"/>
    <w:rsid w:val="006727CA"/>
    <w:rsid w:val="006736AF"/>
    <w:rsid w:val="00673C31"/>
    <w:rsid w:val="00673ECE"/>
    <w:rsid w:val="006742C1"/>
    <w:rsid w:val="00674538"/>
    <w:rsid w:val="006750ED"/>
    <w:rsid w:val="006804D8"/>
    <w:rsid w:val="00680A08"/>
    <w:rsid w:val="00682B5C"/>
    <w:rsid w:val="00682ECA"/>
    <w:rsid w:val="006832D5"/>
    <w:rsid w:val="006851A2"/>
    <w:rsid w:val="006851E3"/>
    <w:rsid w:val="00685548"/>
    <w:rsid w:val="00685ECA"/>
    <w:rsid w:val="00686524"/>
    <w:rsid w:val="00694CE4"/>
    <w:rsid w:val="006956BA"/>
    <w:rsid w:val="00696A74"/>
    <w:rsid w:val="006A0C56"/>
    <w:rsid w:val="006A194D"/>
    <w:rsid w:val="006A2057"/>
    <w:rsid w:val="006A2ED6"/>
    <w:rsid w:val="006A318F"/>
    <w:rsid w:val="006A5476"/>
    <w:rsid w:val="006A5D28"/>
    <w:rsid w:val="006A70DB"/>
    <w:rsid w:val="006B10C3"/>
    <w:rsid w:val="006B184C"/>
    <w:rsid w:val="006B1933"/>
    <w:rsid w:val="006B2B39"/>
    <w:rsid w:val="006B31EB"/>
    <w:rsid w:val="006B3A0E"/>
    <w:rsid w:val="006B3EAA"/>
    <w:rsid w:val="006B64E9"/>
    <w:rsid w:val="006B68E0"/>
    <w:rsid w:val="006B6976"/>
    <w:rsid w:val="006C0DA4"/>
    <w:rsid w:val="006C0FE7"/>
    <w:rsid w:val="006C285D"/>
    <w:rsid w:val="006C28F7"/>
    <w:rsid w:val="006C2F6B"/>
    <w:rsid w:val="006C329E"/>
    <w:rsid w:val="006C34D8"/>
    <w:rsid w:val="006C3902"/>
    <w:rsid w:val="006C3EF7"/>
    <w:rsid w:val="006C4BAC"/>
    <w:rsid w:val="006C6D8B"/>
    <w:rsid w:val="006C7487"/>
    <w:rsid w:val="006D1393"/>
    <w:rsid w:val="006D15F9"/>
    <w:rsid w:val="006D2015"/>
    <w:rsid w:val="006D3D20"/>
    <w:rsid w:val="006D4CCA"/>
    <w:rsid w:val="006D53DE"/>
    <w:rsid w:val="006D566F"/>
    <w:rsid w:val="006E0427"/>
    <w:rsid w:val="006E14C8"/>
    <w:rsid w:val="006E1549"/>
    <w:rsid w:val="006E1A47"/>
    <w:rsid w:val="006E6267"/>
    <w:rsid w:val="006E62EE"/>
    <w:rsid w:val="006F16EC"/>
    <w:rsid w:val="006F1896"/>
    <w:rsid w:val="006F3307"/>
    <w:rsid w:val="006F415D"/>
    <w:rsid w:val="006F4D4D"/>
    <w:rsid w:val="006F6420"/>
    <w:rsid w:val="006F666D"/>
    <w:rsid w:val="006F7582"/>
    <w:rsid w:val="00701469"/>
    <w:rsid w:val="00701E52"/>
    <w:rsid w:val="00701E95"/>
    <w:rsid w:val="00702045"/>
    <w:rsid w:val="007020C8"/>
    <w:rsid w:val="00702959"/>
    <w:rsid w:val="00703922"/>
    <w:rsid w:val="00703E18"/>
    <w:rsid w:val="00704A7C"/>
    <w:rsid w:val="00705115"/>
    <w:rsid w:val="007064F6"/>
    <w:rsid w:val="007073E9"/>
    <w:rsid w:val="00710757"/>
    <w:rsid w:val="00710A36"/>
    <w:rsid w:val="0071103B"/>
    <w:rsid w:val="0071225B"/>
    <w:rsid w:val="00712971"/>
    <w:rsid w:val="00712BAF"/>
    <w:rsid w:val="007138A7"/>
    <w:rsid w:val="0071422A"/>
    <w:rsid w:val="0071468A"/>
    <w:rsid w:val="0071610D"/>
    <w:rsid w:val="00716530"/>
    <w:rsid w:val="00716FDE"/>
    <w:rsid w:val="00717FD7"/>
    <w:rsid w:val="00722191"/>
    <w:rsid w:val="00723F24"/>
    <w:rsid w:val="007247A2"/>
    <w:rsid w:val="00724AED"/>
    <w:rsid w:val="007252D4"/>
    <w:rsid w:val="007254AB"/>
    <w:rsid w:val="0072637A"/>
    <w:rsid w:val="00727928"/>
    <w:rsid w:val="00731CE0"/>
    <w:rsid w:val="007322FB"/>
    <w:rsid w:val="007337C6"/>
    <w:rsid w:val="007342AA"/>
    <w:rsid w:val="00734CC5"/>
    <w:rsid w:val="0073696F"/>
    <w:rsid w:val="007369F1"/>
    <w:rsid w:val="00736A21"/>
    <w:rsid w:val="00736F76"/>
    <w:rsid w:val="00740616"/>
    <w:rsid w:val="00740962"/>
    <w:rsid w:val="007416F6"/>
    <w:rsid w:val="00741DE8"/>
    <w:rsid w:val="007423B5"/>
    <w:rsid w:val="007423C2"/>
    <w:rsid w:val="007426D4"/>
    <w:rsid w:val="00742E72"/>
    <w:rsid w:val="00744836"/>
    <w:rsid w:val="00745C5E"/>
    <w:rsid w:val="0075162F"/>
    <w:rsid w:val="007518F3"/>
    <w:rsid w:val="00752128"/>
    <w:rsid w:val="007528B9"/>
    <w:rsid w:val="0075324D"/>
    <w:rsid w:val="00754D01"/>
    <w:rsid w:val="007554F3"/>
    <w:rsid w:val="00755743"/>
    <w:rsid w:val="007560A5"/>
    <w:rsid w:val="00756250"/>
    <w:rsid w:val="00756499"/>
    <w:rsid w:val="00757267"/>
    <w:rsid w:val="007605E4"/>
    <w:rsid w:val="0076073D"/>
    <w:rsid w:val="00760E24"/>
    <w:rsid w:val="00765708"/>
    <w:rsid w:val="00767BC7"/>
    <w:rsid w:val="00767CFC"/>
    <w:rsid w:val="007706C9"/>
    <w:rsid w:val="0077188E"/>
    <w:rsid w:val="00772B59"/>
    <w:rsid w:val="00773A6C"/>
    <w:rsid w:val="00773AAC"/>
    <w:rsid w:val="00774AAE"/>
    <w:rsid w:val="00776501"/>
    <w:rsid w:val="00776AB3"/>
    <w:rsid w:val="00782CD3"/>
    <w:rsid w:val="00783914"/>
    <w:rsid w:val="00784191"/>
    <w:rsid w:val="00784429"/>
    <w:rsid w:val="00785DF7"/>
    <w:rsid w:val="00786AD7"/>
    <w:rsid w:val="0078776D"/>
    <w:rsid w:val="00790826"/>
    <w:rsid w:val="00792947"/>
    <w:rsid w:val="007930CE"/>
    <w:rsid w:val="0079333C"/>
    <w:rsid w:val="00794320"/>
    <w:rsid w:val="00795FBC"/>
    <w:rsid w:val="00796FB1"/>
    <w:rsid w:val="0079799D"/>
    <w:rsid w:val="007A0C0A"/>
    <w:rsid w:val="007A1C3B"/>
    <w:rsid w:val="007A3463"/>
    <w:rsid w:val="007A3F27"/>
    <w:rsid w:val="007A4925"/>
    <w:rsid w:val="007A505A"/>
    <w:rsid w:val="007A5201"/>
    <w:rsid w:val="007A5FCA"/>
    <w:rsid w:val="007A6D20"/>
    <w:rsid w:val="007A73D8"/>
    <w:rsid w:val="007A75B9"/>
    <w:rsid w:val="007A7EB2"/>
    <w:rsid w:val="007B0583"/>
    <w:rsid w:val="007B0728"/>
    <w:rsid w:val="007B16FC"/>
    <w:rsid w:val="007B2025"/>
    <w:rsid w:val="007B26B0"/>
    <w:rsid w:val="007B43B6"/>
    <w:rsid w:val="007B6B1C"/>
    <w:rsid w:val="007B6E25"/>
    <w:rsid w:val="007B6EDA"/>
    <w:rsid w:val="007B7939"/>
    <w:rsid w:val="007C180A"/>
    <w:rsid w:val="007C1CB0"/>
    <w:rsid w:val="007C20AA"/>
    <w:rsid w:val="007C2820"/>
    <w:rsid w:val="007C2CDC"/>
    <w:rsid w:val="007C2DE7"/>
    <w:rsid w:val="007C35EF"/>
    <w:rsid w:val="007C48F2"/>
    <w:rsid w:val="007C52B6"/>
    <w:rsid w:val="007C557C"/>
    <w:rsid w:val="007C5A9C"/>
    <w:rsid w:val="007C6038"/>
    <w:rsid w:val="007C717B"/>
    <w:rsid w:val="007C7394"/>
    <w:rsid w:val="007C74DC"/>
    <w:rsid w:val="007D10D9"/>
    <w:rsid w:val="007D23C1"/>
    <w:rsid w:val="007D4177"/>
    <w:rsid w:val="007D4356"/>
    <w:rsid w:val="007D5217"/>
    <w:rsid w:val="007D5A9C"/>
    <w:rsid w:val="007D6D11"/>
    <w:rsid w:val="007D76D0"/>
    <w:rsid w:val="007E08BF"/>
    <w:rsid w:val="007E090B"/>
    <w:rsid w:val="007E169E"/>
    <w:rsid w:val="007E1A78"/>
    <w:rsid w:val="007E206D"/>
    <w:rsid w:val="007E2737"/>
    <w:rsid w:val="007E5146"/>
    <w:rsid w:val="007E781D"/>
    <w:rsid w:val="007E7A99"/>
    <w:rsid w:val="007F1360"/>
    <w:rsid w:val="007F46E0"/>
    <w:rsid w:val="007F48DE"/>
    <w:rsid w:val="007F4BB1"/>
    <w:rsid w:val="007F4E67"/>
    <w:rsid w:val="007F5053"/>
    <w:rsid w:val="007F5262"/>
    <w:rsid w:val="007F5545"/>
    <w:rsid w:val="007F585F"/>
    <w:rsid w:val="007F6C8F"/>
    <w:rsid w:val="007F70E8"/>
    <w:rsid w:val="007F750E"/>
    <w:rsid w:val="007F7E49"/>
    <w:rsid w:val="008000E7"/>
    <w:rsid w:val="00801203"/>
    <w:rsid w:val="0080189B"/>
    <w:rsid w:val="00803F0E"/>
    <w:rsid w:val="0080457D"/>
    <w:rsid w:val="0080760A"/>
    <w:rsid w:val="00807B22"/>
    <w:rsid w:val="00807F2D"/>
    <w:rsid w:val="00811B58"/>
    <w:rsid w:val="00811D55"/>
    <w:rsid w:val="00813D71"/>
    <w:rsid w:val="00814108"/>
    <w:rsid w:val="00814E1B"/>
    <w:rsid w:val="00815786"/>
    <w:rsid w:val="00817BE8"/>
    <w:rsid w:val="00817F07"/>
    <w:rsid w:val="00817F63"/>
    <w:rsid w:val="00821C6D"/>
    <w:rsid w:val="008222F0"/>
    <w:rsid w:val="00822DBB"/>
    <w:rsid w:val="0082327E"/>
    <w:rsid w:val="00823FEE"/>
    <w:rsid w:val="00824299"/>
    <w:rsid w:val="008243A4"/>
    <w:rsid w:val="00825309"/>
    <w:rsid w:val="00826C02"/>
    <w:rsid w:val="00827863"/>
    <w:rsid w:val="008303DD"/>
    <w:rsid w:val="00830DEC"/>
    <w:rsid w:val="00831E70"/>
    <w:rsid w:val="00832A6F"/>
    <w:rsid w:val="00832F70"/>
    <w:rsid w:val="008336C7"/>
    <w:rsid w:val="008347AE"/>
    <w:rsid w:val="00835917"/>
    <w:rsid w:val="008359E9"/>
    <w:rsid w:val="00836390"/>
    <w:rsid w:val="00837399"/>
    <w:rsid w:val="0083793F"/>
    <w:rsid w:val="00837EF2"/>
    <w:rsid w:val="00840436"/>
    <w:rsid w:val="00840597"/>
    <w:rsid w:val="00840FC6"/>
    <w:rsid w:val="00841BC8"/>
    <w:rsid w:val="0084358F"/>
    <w:rsid w:val="00844A6C"/>
    <w:rsid w:val="00844C95"/>
    <w:rsid w:val="00845C8D"/>
    <w:rsid w:val="00846395"/>
    <w:rsid w:val="0084677E"/>
    <w:rsid w:val="00847093"/>
    <w:rsid w:val="0084740F"/>
    <w:rsid w:val="008479D0"/>
    <w:rsid w:val="00850E40"/>
    <w:rsid w:val="00852485"/>
    <w:rsid w:val="00852A9F"/>
    <w:rsid w:val="00852E7E"/>
    <w:rsid w:val="00853271"/>
    <w:rsid w:val="008536A5"/>
    <w:rsid w:val="008546C9"/>
    <w:rsid w:val="00854D97"/>
    <w:rsid w:val="00854F7A"/>
    <w:rsid w:val="00855107"/>
    <w:rsid w:val="00856497"/>
    <w:rsid w:val="00856892"/>
    <w:rsid w:val="00857D59"/>
    <w:rsid w:val="00857DC6"/>
    <w:rsid w:val="008604F9"/>
    <w:rsid w:val="008613ED"/>
    <w:rsid w:val="008624B8"/>
    <w:rsid w:val="0086274C"/>
    <w:rsid w:val="00863127"/>
    <w:rsid w:val="00863146"/>
    <w:rsid w:val="008635B9"/>
    <w:rsid w:val="00863964"/>
    <w:rsid w:val="00865819"/>
    <w:rsid w:val="008658CA"/>
    <w:rsid w:val="00865ACC"/>
    <w:rsid w:val="0086675C"/>
    <w:rsid w:val="008727BF"/>
    <w:rsid w:val="008727CE"/>
    <w:rsid w:val="008737B0"/>
    <w:rsid w:val="00874646"/>
    <w:rsid w:val="00874A58"/>
    <w:rsid w:val="00874CBC"/>
    <w:rsid w:val="00874CC9"/>
    <w:rsid w:val="00875225"/>
    <w:rsid w:val="00875C35"/>
    <w:rsid w:val="008768EF"/>
    <w:rsid w:val="00877C7B"/>
    <w:rsid w:val="00877E39"/>
    <w:rsid w:val="0088028B"/>
    <w:rsid w:val="0088139B"/>
    <w:rsid w:val="00881561"/>
    <w:rsid w:val="00881B37"/>
    <w:rsid w:val="00882E20"/>
    <w:rsid w:val="00884C9E"/>
    <w:rsid w:val="008857D7"/>
    <w:rsid w:val="00886474"/>
    <w:rsid w:val="00890B82"/>
    <w:rsid w:val="0089184E"/>
    <w:rsid w:val="008928FC"/>
    <w:rsid w:val="0089348D"/>
    <w:rsid w:val="00893F2C"/>
    <w:rsid w:val="008959A4"/>
    <w:rsid w:val="008A1C1E"/>
    <w:rsid w:val="008A1E35"/>
    <w:rsid w:val="008A23F5"/>
    <w:rsid w:val="008A2C68"/>
    <w:rsid w:val="008A374C"/>
    <w:rsid w:val="008A3D42"/>
    <w:rsid w:val="008A4942"/>
    <w:rsid w:val="008A515D"/>
    <w:rsid w:val="008A5C65"/>
    <w:rsid w:val="008A6995"/>
    <w:rsid w:val="008B0D75"/>
    <w:rsid w:val="008B1070"/>
    <w:rsid w:val="008B2C79"/>
    <w:rsid w:val="008B3010"/>
    <w:rsid w:val="008B3BC4"/>
    <w:rsid w:val="008B42D3"/>
    <w:rsid w:val="008B55B1"/>
    <w:rsid w:val="008B56A6"/>
    <w:rsid w:val="008B6160"/>
    <w:rsid w:val="008B6A8F"/>
    <w:rsid w:val="008B7119"/>
    <w:rsid w:val="008C1943"/>
    <w:rsid w:val="008C2520"/>
    <w:rsid w:val="008C3595"/>
    <w:rsid w:val="008C4D18"/>
    <w:rsid w:val="008C5125"/>
    <w:rsid w:val="008C588E"/>
    <w:rsid w:val="008C65E1"/>
    <w:rsid w:val="008C66A8"/>
    <w:rsid w:val="008D0E14"/>
    <w:rsid w:val="008D19DE"/>
    <w:rsid w:val="008D1F0A"/>
    <w:rsid w:val="008D2FC2"/>
    <w:rsid w:val="008D3148"/>
    <w:rsid w:val="008D3277"/>
    <w:rsid w:val="008D3E70"/>
    <w:rsid w:val="008D56F9"/>
    <w:rsid w:val="008D5FCE"/>
    <w:rsid w:val="008D6091"/>
    <w:rsid w:val="008D7566"/>
    <w:rsid w:val="008D7617"/>
    <w:rsid w:val="008D7EC5"/>
    <w:rsid w:val="008E35FD"/>
    <w:rsid w:val="008E5980"/>
    <w:rsid w:val="008E6339"/>
    <w:rsid w:val="008E63BB"/>
    <w:rsid w:val="008E7438"/>
    <w:rsid w:val="008F0910"/>
    <w:rsid w:val="008F10E3"/>
    <w:rsid w:val="008F1827"/>
    <w:rsid w:val="008F2CF8"/>
    <w:rsid w:val="008F3A69"/>
    <w:rsid w:val="008F3AA6"/>
    <w:rsid w:val="008F4854"/>
    <w:rsid w:val="008F6668"/>
    <w:rsid w:val="00900515"/>
    <w:rsid w:val="00900824"/>
    <w:rsid w:val="00900AD2"/>
    <w:rsid w:val="00900D90"/>
    <w:rsid w:val="00900E94"/>
    <w:rsid w:val="009015C4"/>
    <w:rsid w:val="00901985"/>
    <w:rsid w:val="00901F08"/>
    <w:rsid w:val="00905434"/>
    <w:rsid w:val="00906B31"/>
    <w:rsid w:val="0090768B"/>
    <w:rsid w:val="0091233D"/>
    <w:rsid w:val="009138B6"/>
    <w:rsid w:val="00913E6F"/>
    <w:rsid w:val="009152D2"/>
    <w:rsid w:val="009154E1"/>
    <w:rsid w:val="009176F3"/>
    <w:rsid w:val="009212D2"/>
    <w:rsid w:val="00921A55"/>
    <w:rsid w:val="00921A8D"/>
    <w:rsid w:val="009241C7"/>
    <w:rsid w:val="0092528D"/>
    <w:rsid w:val="00925EF6"/>
    <w:rsid w:val="00926274"/>
    <w:rsid w:val="00926D7D"/>
    <w:rsid w:val="009272D6"/>
    <w:rsid w:val="00927434"/>
    <w:rsid w:val="00927EBC"/>
    <w:rsid w:val="00931538"/>
    <w:rsid w:val="00932757"/>
    <w:rsid w:val="00933136"/>
    <w:rsid w:val="009341C9"/>
    <w:rsid w:val="00935704"/>
    <w:rsid w:val="00935F35"/>
    <w:rsid w:val="00936BB5"/>
    <w:rsid w:val="009376B7"/>
    <w:rsid w:val="00937D54"/>
    <w:rsid w:val="009400B6"/>
    <w:rsid w:val="0094356D"/>
    <w:rsid w:val="0094362A"/>
    <w:rsid w:val="00944199"/>
    <w:rsid w:val="009443F9"/>
    <w:rsid w:val="00946A6A"/>
    <w:rsid w:val="0094780D"/>
    <w:rsid w:val="009501F8"/>
    <w:rsid w:val="009507CE"/>
    <w:rsid w:val="00950CA4"/>
    <w:rsid w:val="009510DA"/>
    <w:rsid w:val="00951806"/>
    <w:rsid w:val="00951B77"/>
    <w:rsid w:val="00952684"/>
    <w:rsid w:val="009533E9"/>
    <w:rsid w:val="00953620"/>
    <w:rsid w:val="00954270"/>
    <w:rsid w:val="00955A62"/>
    <w:rsid w:val="00956417"/>
    <w:rsid w:val="009574B1"/>
    <w:rsid w:val="00957C98"/>
    <w:rsid w:val="00957DB1"/>
    <w:rsid w:val="009604D2"/>
    <w:rsid w:val="009605D1"/>
    <w:rsid w:val="009619F6"/>
    <w:rsid w:val="00962333"/>
    <w:rsid w:val="009640EE"/>
    <w:rsid w:val="0096530C"/>
    <w:rsid w:val="0096586E"/>
    <w:rsid w:val="009658AB"/>
    <w:rsid w:val="00966AC3"/>
    <w:rsid w:val="00967483"/>
    <w:rsid w:val="00967746"/>
    <w:rsid w:val="0097005E"/>
    <w:rsid w:val="00972FCE"/>
    <w:rsid w:val="009732F4"/>
    <w:rsid w:val="009733CC"/>
    <w:rsid w:val="00973F70"/>
    <w:rsid w:val="009753B9"/>
    <w:rsid w:val="00976B8B"/>
    <w:rsid w:val="0098105E"/>
    <w:rsid w:val="0098136C"/>
    <w:rsid w:val="00981732"/>
    <w:rsid w:val="0098480D"/>
    <w:rsid w:val="00984F96"/>
    <w:rsid w:val="00986A80"/>
    <w:rsid w:val="00990618"/>
    <w:rsid w:val="00990FB6"/>
    <w:rsid w:val="0099114F"/>
    <w:rsid w:val="00992DD5"/>
    <w:rsid w:val="0099389F"/>
    <w:rsid w:val="00994609"/>
    <w:rsid w:val="00994F99"/>
    <w:rsid w:val="00995072"/>
    <w:rsid w:val="00995376"/>
    <w:rsid w:val="00995BC2"/>
    <w:rsid w:val="00995C29"/>
    <w:rsid w:val="00996E25"/>
    <w:rsid w:val="00997941"/>
    <w:rsid w:val="009A0605"/>
    <w:rsid w:val="009A0659"/>
    <w:rsid w:val="009A18A2"/>
    <w:rsid w:val="009A2066"/>
    <w:rsid w:val="009A36D2"/>
    <w:rsid w:val="009A3E7D"/>
    <w:rsid w:val="009A42E0"/>
    <w:rsid w:val="009A7F43"/>
    <w:rsid w:val="009B032E"/>
    <w:rsid w:val="009B03A5"/>
    <w:rsid w:val="009B2DFC"/>
    <w:rsid w:val="009B423D"/>
    <w:rsid w:val="009B5BFC"/>
    <w:rsid w:val="009B6782"/>
    <w:rsid w:val="009B6B9E"/>
    <w:rsid w:val="009C0027"/>
    <w:rsid w:val="009C1AA6"/>
    <w:rsid w:val="009C25CE"/>
    <w:rsid w:val="009C31EA"/>
    <w:rsid w:val="009C4A8A"/>
    <w:rsid w:val="009C6FB4"/>
    <w:rsid w:val="009C77BE"/>
    <w:rsid w:val="009D0B37"/>
    <w:rsid w:val="009D107A"/>
    <w:rsid w:val="009D116C"/>
    <w:rsid w:val="009D3DA5"/>
    <w:rsid w:val="009D43EF"/>
    <w:rsid w:val="009D570F"/>
    <w:rsid w:val="009E0695"/>
    <w:rsid w:val="009E0E6E"/>
    <w:rsid w:val="009E1ED6"/>
    <w:rsid w:val="009E2208"/>
    <w:rsid w:val="009E2354"/>
    <w:rsid w:val="009E26F2"/>
    <w:rsid w:val="009E2DC4"/>
    <w:rsid w:val="009E5626"/>
    <w:rsid w:val="009E62E8"/>
    <w:rsid w:val="009F1474"/>
    <w:rsid w:val="009F1526"/>
    <w:rsid w:val="009F1C5B"/>
    <w:rsid w:val="009F328C"/>
    <w:rsid w:val="009F34DE"/>
    <w:rsid w:val="009F4441"/>
    <w:rsid w:val="009F451F"/>
    <w:rsid w:val="009F58B4"/>
    <w:rsid w:val="009F6086"/>
    <w:rsid w:val="009F6994"/>
    <w:rsid w:val="009F7981"/>
    <w:rsid w:val="009F7D10"/>
    <w:rsid w:val="00A00261"/>
    <w:rsid w:val="00A01A3A"/>
    <w:rsid w:val="00A01D64"/>
    <w:rsid w:val="00A01EDD"/>
    <w:rsid w:val="00A0205A"/>
    <w:rsid w:val="00A103EF"/>
    <w:rsid w:val="00A10E8D"/>
    <w:rsid w:val="00A11CB6"/>
    <w:rsid w:val="00A133E1"/>
    <w:rsid w:val="00A14659"/>
    <w:rsid w:val="00A14726"/>
    <w:rsid w:val="00A14FD2"/>
    <w:rsid w:val="00A1516D"/>
    <w:rsid w:val="00A2089B"/>
    <w:rsid w:val="00A211C1"/>
    <w:rsid w:val="00A21B17"/>
    <w:rsid w:val="00A22B75"/>
    <w:rsid w:val="00A23B76"/>
    <w:rsid w:val="00A2468C"/>
    <w:rsid w:val="00A2480C"/>
    <w:rsid w:val="00A255B3"/>
    <w:rsid w:val="00A25626"/>
    <w:rsid w:val="00A26801"/>
    <w:rsid w:val="00A272F1"/>
    <w:rsid w:val="00A27352"/>
    <w:rsid w:val="00A273F8"/>
    <w:rsid w:val="00A300C4"/>
    <w:rsid w:val="00A31244"/>
    <w:rsid w:val="00A31734"/>
    <w:rsid w:val="00A331BA"/>
    <w:rsid w:val="00A33BB5"/>
    <w:rsid w:val="00A34822"/>
    <w:rsid w:val="00A349FF"/>
    <w:rsid w:val="00A35456"/>
    <w:rsid w:val="00A37446"/>
    <w:rsid w:val="00A40D62"/>
    <w:rsid w:val="00A412DE"/>
    <w:rsid w:val="00A414E1"/>
    <w:rsid w:val="00A416FD"/>
    <w:rsid w:val="00A41E10"/>
    <w:rsid w:val="00A434D9"/>
    <w:rsid w:val="00A43FD7"/>
    <w:rsid w:val="00A4565C"/>
    <w:rsid w:val="00A458AA"/>
    <w:rsid w:val="00A4593B"/>
    <w:rsid w:val="00A46F81"/>
    <w:rsid w:val="00A503BC"/>
    <w:rsid w:val="00A543F0"/>
    <w:rsid w:val="00A548E6"/>
    <w:rsid w:val="00A55067"/>
    <w:rsid w:val="00A55841"/>
    <w:rsid w:val="00A5589B"/>
    <w:rsid w:val="00A55AF9"/>
    <w:rsid w:val="00A55E27"/>
    <w:rsid w:val="00A56F91"/>
    <w:rsid w:val="00A57525"/>
    <w:rsid w:val="00A628EA"/>
    <w:rsid w:val="00A649F6"/>
    <w:rsid w:val="00A64EF4"/>
    <w:rsid w:val="00A70D08"/>
    <w:rsid w:val="00A711DB"/>
    <w:rsid w:val="00A73F4E"/>
    <w:rsid w:val="00A75512"/>
    <w:rsid w:val="00A755EB"/>
    <w:rsid w:val="00A7602F"/>
    <w:rsid w:val="00A76235"/>
    <w:rsid w:val="00A7655E"/>
    <w:rsid w:val="00A76B2D"/>
    <w:rsid w:val="00A77793"/>
    <w:rsid w:val="00A77C1A"/>
    <w:rsid w:val="00A8050E"/>
    <w:rsid w:val="00A80743"/>
    <w:rsid w:val="00A80F9A"/>
    <w:rsid w:val="00A8112A"/>
    <w:rsid w:val="00A81961"/>
    <w:rsid w:val="00A839CE"/>
    <w:rsid w:val="00A845C7"/>
    <w:rsid w:val="00A84F49"/>
    <w:rsid w:val="00A8676D"/>
    <w:rsid w:val="00A86E61"/>
    <w:rsid w:val="00A8780A"/>
    <w:rsid w:val="00A92378"/>
    <w:rsid w:val="00A92B78"/>
    <w:rsid w:val="00A93F16"/>
    <w:rsid w:val="00A93FE8"/>
    <w:rsid w:val="00A948D4"/>
    <w:rsid w:val="00A94980"/>
    <w:rsid w:val="00A95410"/>
    <w:rsid w:val="00A95F94"/>
    <w:rsid w:val="00AA14C4"/>
    <w:rsid w:val="00AA1570"/>
    <w:rsid w:val="00AA2BBA"/>
    <w:rsid w:val="00AA3ADC"/>
    <w:rsid w:val="00AA5035"/>
    <w:rsid w:val="00AA68E8"/>
    <w:rsid w:val="00AA75B8"/>
    <w:rsid w:val="00AB0560"/>
    <w:rsid w:val="00AB26CC"/>
    <w:rsid w:val="00AB2ED8"/>
    <w:rsid w:val="00AB38A4"/>
    <w:rsid w:val="00AB3A47"/>
    <w:rsid w:val="00AB45B0"/>
    <w:rsid w:val="00AB4704"/>
    <w:rsid w:val="00AB4C0E"/>
    <w:rsid w:val="00AB59FA"/>
    <w:rsid w:val="00AB66A2"/>
    <w:rsid w:val="00AB6C58"/>
    <w:rsid w:val="00AB75FF"/>
    <w:rsid w:val="00AC010A"/>
    <w:rsid w:val="00AC41AE"/>
    <w:rsid w:val="00AC7F6E"/>
    <w:rsid w:val="00AD0208"/>
    <w:rsid w:val="00AD0C9F"/>
    <w:rsid w:val="00AD1155"/>
    <w:rsid w:val="00AD1382"/>
    <w:rsid w:val="00AD1D4A"/>
    <w:rsid w:val="00AD203C"/>
    <w:rsid w:val="00AD3DC9"/>
    <w:rsid w:val="00AD44C4"/>
    <w:rsid w:val="00AD5953"/>
    <w:rsid w:val="00AD6713"/>
    <w:rsid w:val="00AD7B79"/>
    <w:rsid w:val="00AE026E"/>
    <w:rsid w:val="00AE03E2"/>
    <w:rsid w:val="00AE3A8A"/>
    <w:rsid w:val="00AE4271"/>
    <w:rsid w:val="00AE49D2"/>
    <w:rsid w:val="00AE6E01"/>
    <w:rsid w:val="00AE789A"/>
    <w:rsid w:val="00AE7F52"/>
    <w:rsid w:val="00AF0267"/>
    <w:rsid w:val="00AF0B30"/>
    <w:rsid w:val="00AF1FE1"/>
    <w:rsid w:val="00AF281A"/>
    <w:rsid w:val="00AF5A79"/>
    <w:rsid w:val="00AF76F7"/>
    <w:rsid w:val="00AF7786"/>
    <w:rsid w:val="00AF7879"/>
    <w:rsid w:val="00B01E12"/>
    <w:rsid w:val="00B0200C"/>
    <w:rsid w:val="00B02BB0"/>
    <w:rsid w:val="00B032DF"/>
    <w:rsid w:val="00B04760"/>
    <w:rsid w:val="00B0584C"/>
    <w:rsid w:val="00B062DF"/>
    <w:rsid w:val="00B065E3"/>
    <w:rsid w:val="00B06D08"/>
    <w:rsid w:val="00B10BD5"/>
    <w:rsid w:val="00B11B24"/>
    <w:rsid w:val="00B13329"/>
    <w:rsid w:val="00B13529"/>
    <w:rsid w:val="00B14435"/>
    <w:rsid w:val="00B1483E"/>
    <w:rsid w:val="00B1686E"/>
    <w:rsid w:val="00B17051"/>
    <w:rsid w:val="00B1756E"/>
    <w:rsid w:val="00B17B0B"/>
    <w:rsid w:val="00B20E0F"/>
    <w:rsid w:val="00B21AF4"/>
    <w:rsid w:val="00B22AC1"/>
    <w:rsid w:val="00B22ACE"/>
    <w:rsid w:val="00B23807"/>
    <w:rsid w:val="00B23D45"/>
    <w:rsid w:val="00B245BC"/>
    <w:rsid w:val="00B245E4"/>
    <w:rsid w:val="00B24B26"/>
    <w:rsid w:val="00B26E20"/>
    <w:rsid w:val="00B304C9"/>
    <w:rsid w:val="00B31019"/>
    <w:rsid w:val="00B31185"/>
    <w:rsid w:val="00B3151E"/>
    <w:rsid w:val="00B31768"/>
    <w:rsid w:val="00B31D83"/>
    <w:rsid w:val="00B330A2"/>
    <w:rsid w:val="00B346AA"/>
    <w:rsid w:val="00B34FBB"/>
    <w:rsid w:val="00B354ED"/>
    <w:rsid w:val="00B36262"/>
    <w:rsid w:val="00B36391"/>
    <w:rsid w:val="00B3719D"/>
    <w:rsid w:val="00B40418"/>
    <w:rsid w:val="00B4150B"/>
    <w:rsid w:val="00B41C75"/>
    <w:rsid w:val="00B43D9C"/>
    <w:rsid w:val="00B4427E"/>
    <w:rsid w:val="00B46CC2"/>
    <w:rsid w:val="00B47D51"/>
    <w:rsid w:val="00B51556"/>
    <w:rsid w:val="00B51A5F"/>
    <w:rsid w:val="00B51F71"/>
    <w:rsid w:val="00B549F3"/>
    <w:rsid w:val="00B54CE9"/>
    <w:rsid w:val="00B54D5F"/>
    <w:rsid w:val="00B56614"/>
    <w:rsid w:val="00B60154"/>
    <w:rsid w:val="00B61128"/>
    <w:rsid w:val="00B6192E"/>
    <w:rsid w:val="00B61F71"/>
    <w:rsid w:val="00B646A2"/>
    <w:rsid w:val="00B65717"/>
    <w:rsid w:val="00B65CD4"/>
    <w:rsid w:val="00B669E8"/>
    <w:rsid w:val="00B70580"/>
    <w:rsid w:val="00B70B47"/>
    <w:rsid w:val="00B718FD"/>
    <w:rsid w:val="00B7209C"/>
    <w:rsid w:val="00B726EF"/>
    <w:rsid w:val="00B72EE3"/>
    <w:rsid w:val="00B72FA7"/>
    <w:rsid w:val="00B75D3E"/>
    <w:rsid w:val="00B77CCA"/>
    <w:rsid w:val="00B83D43"/>
    <w:rsid w:val="00B867A8"/>
    <w:rsid w:val="00B8737E"/>
    <w:rsid w:val="00B87945"/>
    <w:rsid w:val="00B912B7"/>
    <w:rsid w:val="00B93074"/>
    <w:rsid w:val="00B96CE2"/>
    <w:rsid w:val="00B97483"/>
    <w:rsid w:val="00B97DD4"/>
    <w:rsid w:val="00BA034A"/>
    <w:rsid w:val="00BA09AB"/>
    <w:rsid w:val="00BA305A"/>
    <w:rsid w:val="00BA30B3"/>
    <w:rsid w:val="00BA3283"/>
    <w:rsid w:val="00BA533B"/>
    <w:rsid w:val="00BB08B9"/>
    <w:rsid w:val="00BB0AC8"/>
    <w:rsid w:val="00BB15FC"/>
    <w:rsid w:val="00BB2ED7"/>
    <w:rsid w:val="00BB400A"/>
    <w:rsid w:val="00BB5936"/>
    <w:rsid w:val="00BB5B59"/>
    <w:rsid w:val="00BB6094"/>
    <w:rsid w:val="00BB6C7B"/>
    <w:rsid w:val="00BB6F06"/>
    <w:rsid w:val="00BB79C2"/>
    <w:rsid w:val="00BC1046"/>
    <w:rsid w:val="00BC16F7"/>
    <w:rsid w:val="00BC19A3"/>
    <w:rsid w:val="00BC3C01"/>
    <w:rsid w:val="00BC3E85"/>
    <w:rsid w:val="00BC415C"/>
    <w:rsid w:val="00BC4373"/>
    <w:rsid w:val="00BC4F7C"/>
    <w:rsid w:val="00BC4FE6"/>
    <w:rsid w:val="00BC556C"/>
    <w:rsid w:val="00BC68D9"/>
    <w:rsid w:val="00BC7B14"/>
    <w:rsid w:val="00BD033F"/>
    <w:rsid w:val="00BD087E"/>
    <w:rsid w:val="00BD1242"/>
    <w:rsid w:val="00BD155F"/>
    <w:rsid w:val="00BD29C3"/>
    <w:rsid w:val="00BD2D64"/>
    <w:rsid w:val="00BD3B6D"/>
    <w:rsid w:val="00BD5479"/>
    <w:rsid w:val="00BD621D"/>
    <w:rsid w:val="00BE1162"/>
    <w:rsid w:val="00BE3742"/>
    <w:rsid w:val="00BE4977"/>
    <w:rsid w:val="00BE5301"/>
    <w:rsid w:val="00BE5691"/>
    <w:rsid w:val="00BE5B39"/>
    <w:rsid w:val="00BE6475"/>
    <w:rsid w:val="00BE6C3F"/>
    <w:rsid w:val="00BE7724"/>
    <w:rsid w:val="00BE7838"/>
    <w:rsid w:val="00BF0EAA"/>
    <w:rsid w:val="00BF1B18"/>
    <w:rsid w:val="00BF1FC2"/>
    <w:rsid w:val="00BF2ABA"/>
    <w:rsid w:val="00BF4228"/>
    <w:rsid w:val="00BF4A5D"/>
    <w:rsid w:val="00BF4E42"/>
    <w:rsid w:val="00BF5A45"/>
    <w:rsid w:val="00BF687B"/>
    <w:rsid w:val="00BF6FB3"/>
    <w:rsid w:val="00BF7670"/>
    <w:rsid w:val="00BF767D"/>
    <w:rsid w:val="00C030B3"/>
    <w:rsid w:val="00C03CCF"/>
    <w:rsid w:val="00C0477C"/>
    <w:rsid w:val="00C058D9"/>
    <w:rsid w:val="00C064A7"/>
    <w:rsid w:val="00C06885"/>
    <w:rsid w:val="00C06C16"/>
    <w:rsid w:val="00C0792F"/>
    <w:rsid w:val="00C07C18"/>
    <w:rsid w:val="00C100DA"/>
    <w:rsid w:val="00C10817"/>
    <w:rsid w:val="00C11493"/>
    <w:rsid w:val="00C11628"/>
    <w:rsid w:val="00C11FA3"/>
    <w:rsid w:val="00C12C75"/>
    <w:rsid w:val="00C12D59"/>
    <w:rsid w:val="00C1434D"/>
    <w:rsid w:val="00C147B9"/>
    <w:rsid w:val="00C158E3"/>
    <w:rsid w:val="00C1670B"/>
    <w:rsid w:val="00C16F7B"/>
    <w:rsid w:val="00C17FB1"/>
    <w:rsid w:val="00C20882"/>
    <w:rsid w:val="00C20DAB"/>
    <w:rsid w:val="00C220E8"/>
    <w:rsid w:val="00C22F60"/>
    <w:rsid w:val="00C23814"/>
    <w:rsid w:val="00C2407F"/>
    <w:rsid w:val="00C244B5"/>
    <w:rsid w:val="00C24EF4"/>
    <w:rsid w:val="00C255A3"/>
    <w:rsid w:val="00C27084"/>
    <w:rsid w:val="00C270F5"/>
    <w:rsid w:val="00C279D4"/>
    <w:rsid w:val="00C27C80"/>
    <w:rsid w:val="00C30EB7"/>
    <w:rsid w:val="00C31A2C"/>
    <w:rsid w:val="00C31AFB"/>
    <w:rsid w:val="00C3397D"/>
    <w:rsid w:val="00C34281"/>
    <w:rsid w:val="00C34B94"/>
    <w:rsid w:val="00C34CEC"/>
    <w:rsid w:val="00C35BE1"/>
    <w:rsid w:val="00C36D4B"/>
    <w:rsid w:val="00C36E14"/>
    <w:rsid w:val="00C4004B"/>
    <w:rsid w:val="00C415EB"/>
    <w:rsid w:val="00C42D60"/>
    <w:rsid w:val="00C43107"/>
    <w:rsid w:val="00C433B1"/>
    <w:rsid w:val="00C45D03"/>
    <w:rsid w:val="00C46961"/>
    <w:rsid w:val="00C469C1"/>
    <w:rsid w:val="00C46A93"/>
    <w:rsid w:val="00C4744C"/>
    <w:rsid w:val="00C518B7"/>
    <w:rsid w:val="00C51FE7"/>
    <w:rsid w:val="00C52F23"/>
    <w:rsid w:val="00C53ECF"/>
    <w:rsid w:val="00C54610"/>
    <w:rsid w:val="00C54691"/>
    <w:rsid w:val="00C55A57"/>
    <w:rsid w:val="00C567AC"/>
    <w:rsid w:val="00C57164"/>
    <w:rsid w:val="00C5777D"/>
    <w:rsid w:val="00C57CC3"/>
    <w:rsid w:val="00C60F85"/>
    <w:rsid w:val="00C61B1D"/>
    <w:rsid w:val="00C62927"/>
    <w:rsid w:val="00C62E69"/>
    <w:rsid w:val="00C642A9"/>
    <w:rsid w:val="00C6643C"/>
    <w:rsid w:val="00C67049"/>
    <w:rsid w:val="00C673E3"/>
    <w:rsid w:val="00C72C70"/>
    <w:rsid w:val="00C738BE"/>
    <w:rsid w:val="00C73C08"/>
    <w:rsid w:val="00C73D7E"/>
    <w:rsid w:val="00C7492B"/>
    <w:rsid w:val="00C76062"/>
    <w:rsid w:val="00C7711B"/>
    <w:rsid w:val="00C80000"/>
    <w:rsid w:val="00C80579"/>
    <w:rsid w:val="00C817AE"/>
    <w:rsid w:val="00C818A4"/>
    <w:rsid w:val="00C820C3"/>
    <w:rsid w:val="00C82536"/>
    <w:rsid w:val="00C827AD"/>
    <w:rsid w:val="00C83303"/>
    <w:rsid w:val="00C83DCC"/>
    <w:rsid w:val="00C84E3C"/>
    <w:rsid w:val="00C84F11"/>
    <w:rsid w:val="00C85F0D"/>
    <w:rsid w:val="00C86486"/>
    <w:rsid w:val="00C910CD"/>
    <w:rsid w:val="00C91795"/>
    <w:rsid w:val="00C91975"/>
    <w:rsid w:val="00C92B80"/>
    <w:rsid w:val="00C93027"/>
    <w:rsid w:val="00C937BC"/>
    <w:rsid w:val="00C94340"/>
    <w:rsid w:val="00C94499"/>
    <w:rsid w:val="00C95DBE"/>
    <w:rsid w:val="00C96088"/>
    <w:rsid w:val="00C963D4"/>
    <w:rsid w:val="00C967E9"/>
    <w:rsid w:val="00CA0889"/>
    <w:rsid w:val="00CA2F4A"/>
    <w:rsid w:val="00CA3464"/>
    <w:rsid w:val="00CA38D4"/>
    <w:rsid w:val="00CA579B"/>
    <w:rsid w:val="00CA6C36"/>
    <w:rsid w:val="00CA6E24"/>
    <w:rsid w:val="00CA735A"/>
    <w:rsid w:val="00CA7A4C"/>
    <w:rsid w:val="00CA7C53"/>
    <w:rsid w:val="00CB09C8"/>
    <w:rsid w:val="00CB3BB4"/>
    <w:rsid w:val="00CB49E0"/>
    <w:rsid w:val="00CB509A"/>
    <w:rsid w:val="00CB571E"/>
    <w:rsid w:val="00CB6AF3"/>
    <w:rsid w:val="00CB723F"/>
    <w:rsid w:val="00CC002C"/>
    <w:rsid w:val="00CC1878"/>
    <w:rsid w:val="00CC18EB"/>
    <w:rsid w:val="00CC2C1F"/>
    <w:rsid w:val="00CC3E56"/>
    <w:rsid w:val="00CC5E2D"/>
    <w:rsid w:val="00CC67B5"/>
    <w:rsid w:val="00CD2393"/>
    <w:rsid w:val="00CD44BC"/>
    <w:rsid w:val="00CD51C4"/>
    <w:rsid w:val="00CD6D2C"/>
    <w:rsid w:val="00CD7E2B"/>
    <w:rsid w:val="00CE0145"/>
    <w:rsid w:val="00CE0C41"/>
    <w:rsid w:val="00CE240F"/>
    <w:rsid w:val="00CE38B0"/>
    <w:rsid w:val="00CE39FD"/>
    <w:rsid w:val="00CE3B1F"/>
    <w:rsid w:val="00CE5C57"/>
    <w:rsid w:val="00CE6065"/>
    <w:rsid w:val="00CE61DF"/>
    <w:rsid w:val="00CE6F3A"/>
    <w:rsid w:val="00CE76E1"/>
    <w:rsid w:val="00CE79CD"/>
    <w:rsid w:val="00CF0702"/>
    <w:rsid w:val="00CF12A1"/>
    <w:rsid w:val="00CF12FA"/>
    <w:rsid w:val="00CF1A93"/>
    <w:rsid w:val="00CF235E"/>
    <w:rsid w:val="00CF3BF5"/>
    <w:rsid w:val="00CF4118"/>
    <w:rsid w:val="00CF6B5C"/>
    <w:rsid w:val="00CF710F"/>
    <w:rsid w:val="00CF729B"/>
    <w:rsid w:val="00D00805"/>
    <w:rsid w:val="00D0164D"/>
    <w:rsid w:val="00D01F04"/>
    <w:rsid w:val="00D026E0"/>
    <w:rsid w:val="00D0456F"/>
    <w:rsid w:val="00D04D6C"/>
    <w:rsid w:val="00D04ED7"/>
    <w:rsid w:val="00D05819"/>
    <w:rsid w:val="00D05AE2"/>
    <w:rsid w:val="00D06877"/>
    <w:rsid w:val="00D06953"/>
    <w:rsid w:val="00D07042"/>
    <w:rsid w:val="00D07245"/>
    <w:rsid w:val="00D072C2"/>
    <w:rsid w:val="00D076E7"/>
    <w:rsid w:val="00D07C10"/>
    <w:rsid w:val="00D1081F"/>
    <w:rsid w:val="00D115EC"/>
    <w:rsid w:val="00D163D9"/>
    <w:rsid w:val="00D16713"/>
    <w:rsid w:val="00D16D5E"/>
    <w:rsid w:val="00D17E51"/>
    <w:rsid w:val="00D202D3"/>
    <w:rsid w:val="00D20669"/>
    <w:rsid w:val="00D21C3D"/>
    <w:rsid w:val="00D224DC"/>
    <w:rsid w:val="00D22E9E"/>
    <w:rsid w:val="00D2480B"/>
    <w:rsid w:val="00D25ED1"/>
    <w:rsid w:val="00D273EF"/>
    <w:rsid w:val="00D27D54"/>
    <w:rsid w:val="00D27D9F"/>
    <w:rsid w:val="00D32288"/>
    <w:rsid w:val="00D331EE"/>
    <w:rsid w:val="00D33465"/>
    <w:rsid w:val="00D33863"/>
    <w:rsid w:val="00D34311"/>
    <w:rsid w:val="00D34F12"/>
    <w:rsid w:val="00D361C9"/>
    <w:rsid w:val="00D36295"/>
    <w:rsid w:val="00D370BF"/>
    <w:rsid w:val="00D37722"/>
    <w:rsid w:val="00D37EFF"/>
    <w:rsid w:val="00D401B3"/>
    <w:rsid w:val="00D40694"/>
    <w:rsid w:val="00D41B61"/>
    <w:rsid w:val="00D41B83"/>
    <w:rsid w:val="00D429B0"/>
    <w:rsid w:val="00D42EA2"/>
    <w:rsid w:val="00D4359F"/>
    <w:rsid w:val="00D4362F"/>
    <w:rsid w:val="00D44343"/>
    <w:rsid w:val="00D445B2"/>
    <w:rsid w:val="00D4601D"/>
    <w:rsid w:val="00D514C6"/>
    <w:rsid w:val="00D53136"/>
    <w:rsid w:val="00D53943"/>
    <w:rsid w:val="00D55B17"/>
    <w:rsid w:val="00D56744"/>
    <w:rsid w:val="00D56D45"/>
    <w:rsid w:val="00D60408"/>
    <w:rsid w:val="00D60FEC"/>
    <w:rsid w:val="00D61971"/>
    <w:rsid w:val="00D61D72"/>
    <w:rsid w:val="00D63C2E"/>
    <w:rsid w:val="00D63F6A"/>
    <w:rsid w:val="00D6412F"/>
    <w:rsid w:val="00D6429D"/>
    <w:rsid w:val="00D656DF"/>
    <w:rsid w:val="00D66A95"/>
    <w:rsid w:val="00D66DBE"/>
    <w:rsid w:val="00D67415"/>
    <w:rsid w:val="00D723B1"/>
    <w:rsid w:val="00D73BF3"/>
    <w:rsid w:val="00D73C01"/>
    <w:rsid w:val="00D75FEC"/>
    <w:rsid w:val="00D76266"/>
    <w:rsid w:val="00D76996"/>
    <w:rsid w:val="00D7792C"/>
    <w:rsid w:val="00D80410"/>
    <w:rsid w:val="00D8064C"/>
    <w:rsid w:val="00D80694"/>
    <w:rsid w:val="00D809F9"/>
    <w:rsid w:val="00D8159A"/>
    <w:rsid w:val="00D817D1"/>
    <w:rsid w:val="00D82979"/>
    <w:rsid w:val="00D83754"/>
    <w:rsid w:val="00D84691"/>
    <w:rsid w:val="00D871C5"/>
    <w:rsid w:val="00D871F8"/>
    <w:rsid w:val="00D87FDA"/>
    <w:rsid w:val="00D90A94"/>
    <w:rsid w:val="00D90C03"/>
    <w:rsid w:val="00D90E35"/>
    <w:rsid w:val="00D91E01"/>
    <w:rsid w:val="00D92051"/>
    <w:rsid w:val="00D9382B"/>
    <w:rsid w:val="00D94421"/>
    <w:rsid w:val="00D9587F"/>
    <w:rsid w:val="00D96519"/>
    <w:rsid w:val="00DA0848"/>
    <w:rsid w:val="00DA0A43"/>
    <w:rsid w:val="00DA1A56"/>
    <w:rsid w:val="00DA1C8B"/>
    <w:rsid w:val="00DA2574"/>
    <w:rsid w:val="00DA33A2"/>
    <w:rsid w:val="00DA372B"/>
    <w:rsid w:val="00DA3881"/>
    <w:rsid w:val="00DA5417"/>
    <w:rsid w:val="00DA6F30"/>
    <w:rsid w:val="00DA7769"/>
    <w:rsid w:val="00DB14A4"/>
    <w:rsid w:val="00DB193B"/>
    <w:rsid w:val="00DB43F6"/>
    <w:rsid w:val="00DB47E1"/>
    <w:rsid w:val="00DB614A"/>
    <w:rsid w:val="00DB7B6E"/>
    <w:rsid w:val="00DB7E02"/>
    <w:rsid w:val="00DC0D21"/>
    <w:rsid w:val="00DC2C03"/>
    <w:rsid w:val="00DC3A70"/>
    <w:rsid w:val="00DC44B9"/>
    <w:rsid w:val="00DC5CA1"/>
    <w:rsid w:val="00DC5CDD"/>
    <w:rsid w:val="00DC6218"/>
    <w:rsid w:val="00DC677F"/>
    <w:rsid w:val="00DC6A2D"/>
    <w:rsid w:val="00DC710C"/>
    <w:rsid w:val="00DD048B"/>
    <w:rsid w:val="00DD1CFA"/>
    <w:rsid w:val="00DD4131"/>
    <w:rsid w:val="00DD470C"/>
    <w:rsid w:val="00DD4BA1"/>
    <w:rsid w:val="00DD6D24"/>
    <w:rsid w:val="00DD7495"/>
    <w:rsid w:val="00DE2617"/>
    <w:rsid w:val="00DE2654"/>
    <w:rsid w:val="00DE29F1"/>
    <w:rsid w:val="00DE30D6"/>
    <w:rsid w:val="00DE31B7"/>
    <w:rsid w:val="00DE3E0F"/>
    <w:rsid w:val="00DE4B1B"/>
    <w:rsid w:val="00DE4EAE"/>
    <w:rsid w:val="00DE586A"/>
    <w:rsid w:val="00DE5D26"/>
    <w:rsid w:val="00DF168E"/>
    <w:rsid w:val="00DF1845"/>
    <w:rsid w:val="00DF2031"/>
    <w:rsid w:val="00DF218E"/>
    <w:rsid w:val="00DF3293"/>
    <w:rsid w:val="00DF32A2"/>
    <w:rsid w:val="00DF5537"/>
    <w:rsid w:val="00DF560A"/>
    <w:rsid w:val="00DF5663"/>
    <w:rsid w:val="00DF7667"/>
    <w:rsid w:val="00DF7E0D"/>
    <w:rsid w:val="00E003A6"/>
    <w:rsid w:val="00E008B4"/>
    <w:rsid w:val="00E01005"/>
    <w:rsid w:val="00E01D6A"/>
    <w:rsid w:val="00E01DC7"/>
    <w:rsid w:val="00E02322"/>
    <w:rsid w:val="00E033FB"/>
    <w:rsid w:val="00E0680E"/>
    <w:rsid w:val="00E07588"/>
    <w:rsid w:val="00E07982"/>
    <w:rsid w:val="00E07B5C"/>
    <w:rsid w:val="00E07C5A"/>
    <w:rsid w:val="00E11BA1"/>
    <w:rsid w:val="00E127F5"/>
    <w:rsid w:val="00E130AF"/>
    <w:rsid w:val="00E1381B"/>
    <w:rsid w:val="00E13F78"/>
    <w:rsid w:val="00E151EA"/>
    <w:rsid w:val="00E15557"/>
    <w:rsid w:val="00E17785"/>
    <w:rsid w:val="00E17E91"/>
    <w:rsid w:val="00E219F9"/>
    <w:rsid w:val="00E21FFA"/>
    <w:rsid w:val="00E22A76"/>
    <w:rsid w:val="00E234C6"/>
    <w:rsid w:val="00E23DBB"/>
    <w:rsid w:val="00E25459"/>
    <w:rsid w:val="00E25C8F"/>
    <w:rsid w:val="00E266C9"/>
    <w:rsid w:val="00E267A9"/>
    <w:rsid w:val="00E3013C"/>
    <w:rsid w:val="00E30E92"/>
    <w:rsid w:val="00E31172"/>
    <w:rsid w:val="00E321F2"/>
    <w:rsid w:val="00E33F61"/>
    <w:rsid w:val="00E34244"/>
    <w:rsid w:val="00E34F69"/>
    <w:rsid w:val="00E36213"/>
    <w:rsid w:val="00E36FB1"/>
    <w:rsid w:val="00E370D8"/>
    <w:rsid w:val="00E373AF"/>
    <w:rsid w:val="00E412BB"/>
    <w:rsid w:val="00E41E43"/>
    <w:rsid w:val="00E41F34"/>
    <w:rsid w:val="00E443B5"/>
    <w:rsid w:val="00E46E7B"/>
    <w:rsid w:val="00E470D7"/>
    <w:rsid w:val="00E47545"/>
    <w:rsid w:val="00E47D26"/>
    <w:rsid w:val="00E50514"/>
    <w:rsid w:val="00E51CF1"/>
    <w:rsid w:val="00E52872"/>
    <w:rsid w:val="00E5407A"/>
    <w:rsid w:val="00E5505D"/>
    <w:rsid w:val="00E556D7"/>
    <w:rsid w:val="00E558A0"/>
    <w:rsid w:val="00E57FB4"/>
    <w:rsid w:val="00E61170"/>
    <w:rsid w:val="00E61348"/>
    <w:rsid w:val="00E63E2C"/>
    <w:rsid w:val="00E64673"/>
    <w:rsid w:val="00E650EC"/>
    <w:rsid w:val="00E66156"/>
    <w:rsid w:val="00E661CC"/>
    <w:rsid w:val="00E6728F"/>
    <w:rsid w:val="00E67839"/>
    <w:rsid w:val="00E679A2"/>
    <w:rsid w:val="00E72423"/>
    <w:rsid w:val="00E72643"/>
    <w:rsid w:val="00E72A41"/>
    <w:rsid w:val="00E733F6"/>
    <w:rsid w:val="00E7363B"/>
    <w:rsid w:val="00E737C1"/>
    <w:rsid w:val="00E74072"/>
    <w:rsid w:val="00E7529D"/>
    <w:rsid w:val="00E75F34"/>
    <w:rsid w:val="00E77554"/>
    <w:rsid w:val="00E80425"/>
    <w:rsid w:val="00E806B2"/>
    <w:rsid w:val="00E80ABB"/>
    <w:rsid w:val="00E811DB"/>
    <w:rsid w:val="00E81B93"/>
    <w:rsid w:val="00E8205D"/>
    <w:rsid w:val="00E834A4"/>
    <w:rsid w:val="00E84512"/>
    <w:rsid w:val="00E855C6"/>
    <w:rsid w:val="00E861CA"/>
    <w:rsid w:val="00E86C96"/>
    <w:rsid w:val="00E86DEF"/>
    <w:rsid w:val="00E87F41"/>
    <w:rsid w:val="00E9138D"/>
    <w:rsid w:val="00E92670"/>
    <w:rsid w:val="00E926D7"/>
    <w:rsid w:val="00E928E7"/>
    <w:rsid w:val="00E93210"/>
    <w:rsid w:val="00E939AA"/>
    <w:rsid w:val="00E944ED"/>
    <w:rsid w:val="00E94598"/>
    <w:rsid w:val="00E94AAF"/>
    <w:rsid w:val="00E952E9"/>
    <w:rsid w:val="00E95494"/>
    <w:rsid w:val="00E95A1B"/>
    <w:rsid w:val="00E96DC6"/>
    <w:rsid w:val="00EA02B6"/>
    <w:rsid w:val="00EA0C73"/>
    <w:rsid w:val="00EA1520"/>
    <w:rsid w:val="00EA316E"/>
    <w:rsid w:val="00EA38A9"/>
    <w:rsid w:val="00EA4413"/>
    <w:rsid w:val="00EB0605"/>
    <w:rsid w:val="00EB0A99"/>
    <w:rsid w:val="00EB1415"/>
    <w:rsid w:val="00EB149E"/>
    <w:rsid w:val="00EB273A"/>
    <w:rsid w:val="00EB410E"/>
    <w:rsid w:val="00EB47E9"/>
    <w:rsid w:val="00EB4BB6"/>
    <w:rsid w:val="00EB59A6"/>
    <w:rsid w:val="00EB5FE1"/>
    <w:rsid w:val="00EB6253"/>
    <w:rsid w:val="00EB6C59"/>
    <w:rsid w:val="00EC1939"/>
    <w:rsid w:val="00EC1D9F"/>
    <w:rsid w:val="00EC483A"/>
    <w:rsid w:val="00EC563D"/>
    <w:rsid w:val="00EC56BA"/>
    <w:rsid w:val="00EC5DA0"/>
    <w:rsid w:val="00EC6C67"/>
    <w:rsid w:val="00EC6E2C"/>
    <w:rsid w:val="00ED1AA8"/>
    <w:rsid w:val="00ED29BB"/>
    <w:rsid w:val="00ED327C"/>
    <w:rsid w:val="00ED3553"/>
    <w:rsid w:val="00ED3CEF"/>
    <w:rsid w:val="00ED58EC"/>
    <w:rsid w:val="00ED5B01"/>
    <w:rsid w:val="00ED7443"/>
    <w:rsid w:val="00ED77EF"/>
    <w:rsid w:val="00ED7A47"/>
    <w:rsid w:val="00ED7D99"/>
    <w:rsid w:val="00EE02FE"/>
    <w:rsid w:val="00EE0C41"/>
    <w:rsid w:val="00EE13F8"/>
    <w:rsid w:val="00EE1C59"/>
    <w:rsid w:val="00EE26B9"/>
    <w:rsid w:val="00EE2C0A"/>
    <w:rsid w:val="00EE450D"/>
    <w:rsid w:val="00EE4623"/>
    <w:rsid w:val="00EE5724"/>
    <w:rsid w:val="00EE6C65"/>
    <w:rsid w:val="00EE72E5"/>
    <w:rsid w:val="00EF058D"/>
    <w:rsid w:val="00EF6CDB"/>
    <w:rsid w:val="00EF7BCC"/>
    <w:rsid w:val="00F01E55"/>
    <w:rsid w:val="00F03874"/>
    <w:rsid w:val="00F03F33"/>
    <w:rsid w:val="00F03F7C"/>
    <w:rsid w:val="00F0406C"/>
    <w:rsid w:val="00F05F31"/>
    <w:rsid w:val="00F0637A"/>
    <w:rsid w:val="00F064E0"/>
    <w:rsid w:val="00F07034"/>
    <w:rsid w:val="00F07D33"/>
    <w:rsid w:val="00F1105D"/>
    <w:rsid w:val="00F11ED1"/>
    <w:rsid w:val="00F13FDF"/>
    <w:rsid w:val="00F14913"/>
    <w:rsid w:val="00F14952"/>
    <w:rsid w:val="00F14D97"/>
    <w:rsid w:val="00F1527E"/>
    <w:rsid w:val="00F16435"/>
    <w:rsid w:val="00F16E4E"/>
    <w:rsid w:val="00F17600"/>
    <w:rsid w:val="00F20354"/>
    <w:rsid w:val="00F20E2C"/>
    <w:rsid w:val="00F21A1A"/>
    <w:rsid w:val="00F227F0"/>
    <w:rsid w:val="00F236F2"/>
    <w:rsid w:val="00F23F15"/>
    <w:rsid w:val="00F2522C"/>
    <w:rsid w:val="00F25C2E"/>
    <w:rsid w:val="00F25EEB"/>
    <w:rsid w:val="00F2661F"/>
    <w:rsid w:val="00F2736F"/>
    <w:rsid w:val="00F27CC2"/>
    <w:rsid w:val="00F30D88"/>
    <w:rsid w:val="00F30FA8"/>
    <w:rsid w:val="00F334C6"/>
    <w:rsid w:val="00F33777"/>
    <w:rsid w:val="00F33993"/>
    <w:rsid w:val="00F34239"/>
    <w:rsid w:val="00F35E1F"/>
    <w:rsid w:val="00F3602F"/>
    <w:rsid w:val="00F36462"/>
    <w:rsid w:val="00F36E10"/>
    <w:rsid w:val="00F36E30"/>
    <w:rsid w:val="00F4028A"/>
    <w:rsid w:val="00F4119B"/>
    <w:rsid w:val="00F43DBD"/>
    <w:rsid w:val="00F4451A"/>
    <w:rsid w:val="00F445AF"/>
    <w:rsid w:val="00F44DEB"/>
    <w:rsid w:val="00F44FCC"/>
    <w:rsid w:val="00F451B5"/>
    <w:rsid w:val="00F46D96"/>
    <w:rsid w:val="00F46F36"/>
    <w:rsid w:val="00F478AC"/>
    <w:rsid w:val="00F47D70"/>
    <w:rsid w:val="00F50148"/>
    <w:rsid w:val="00F528D9"/>
    <w:rsid w:val="00F53817"/>
    <w:rsid w:val="00F53B6A"/>
    <w:rsid w:val="00F5600A"/>
    <w:rsid w:val="00F5620A"/>
    <w:rsid w:val="00F603BC"/>
    <w:rsid w:val="00F62BB1"/>
    <w:rsid w:val="00F6432A"/>
    <w:rsid w:val="00F648F6"/>
    <w:rsid w:val="00F649B8"/>
    <w:rsid w:val="00F70B0C"/>
    <w:rsid w:val="00F73213"/>
    <w:rsid w:val="00F73A55"/>
    <w:rsid w:val="00F743D6"/>
    <w:rsid w:val="00F74645"/>
    <w:rsid w:val="00F76786"/>
    <w:rsid w:val="00F76A9E"/>
    <w:rsid w:val="00F775C3"/>
    <w:rsid w:val="00F80480"/>
    <w:rsid w:val="00F807B6"/>
    <w:rsid w:val="00F80D1B"/>
    <w:rsid w:val="00F81CF1"/>
    <w:rsid w:val="00F82861"/>
    <w:rsid w:val="00F831E8"/>
    <w:rsid w:val="00F83EF2"/>
    <w:rsid w:val="00F83F83"/>
    <w:rsid w:val="00F84281"/>
    <w:rsid w:val="00F842F2"/>
    <w:rsid w:val="00F84B85"/>
    <w:rsid w:val="00F87C87"/>
    <w:rsid w:val="00F87D90"/>
    <w:rsid w:val="00F902AD"/>
    <w:rsid w:val="00F93E01"/>
    <w:rsid w:val="00F94215"/>
    <w:rsid w:val="00F95E35"/>
    <w:rsid w:val="00FA0D55"/>
    <w:rsid w:val="00FA3774"/>
    <w:rsid w:val="00FA4689"/>
    <w:rsid w:val="00FA4764"/>
    <w:rsid w:val="00FA5DF0"/>
    <w:rsid w:val="00FA6DCC"/>
    <w:rsid w:val="00FA752B"/>
    <w:rsid w:val="00FA7711"/>
    <w:rsid w:val="00FA78CD"/>
    <w:rsid w:val="00FB09BF"/>
    <w:rsid w:val="00FB0A4F"/>
    <w:rsid w:val="00FB0B46"/>
    <w:rsid w:val="00FB3A30"/>
    <w:rsid w:val="00FB5802"/>
    <w:rsid w:val="00FB5982"/>
    <w:rsid w:val="00FB6A3E"/>
    <w:rsid w:val="00FB6D5E"/>
    <w:rsid w:val="00FC1D8F"/>
    <w:rsid w:val="00FC2A59"/>
    <w:rsid w:val="00FC3B68"/>
    <w:rsid w:val="00FC4CBF"/>
    <w:rsid w:val="00FC4D6B"/>
    <w:rsid w:val="00FC6148"/>
    <w:rsid w:val="00FC6CD5"/>
    <w:rsid w:val="00FC7043"/>
    <w:rsid w:val="00FD037E"/>
    <w:rsid w:val="00FD19A8"/>
    <w:rsid w:val="00FD2144"/>
    <w:rsid w:val="00FD2439"/>
    <w:rsid w:val="00FD4D8B"/>
    <w:rsid w:val="00FD4FDE"/>
    <w:rsid w:val="00FD54AB"/>
    <w:rsid w:val="00FD55A5"/>
    <w:rsid w:val="00FD6029"/>
    <w:rsid w:val="00FD626B"/>
    <w:rsid w:val="00FD6805"/>
    <w:rsid w:val="00FD72B7"/>
    <w:rsid w:val="00FD75C0"/>
    <w:rsid w:val="00FD7EF6"/>
    <w:rsid w:val="00FE041D"/>
    <w:rsid w:val="00FE09DE"/>
    <w:rsid w:val="00FE0DE1"/>
    <w:rsid w:val="00FE0E22"/>
    <w:rsid w:val="00FE1AB9"/>
    <w:rsid w:val="00FE27EB"/>
    <w:rsid w:val="00FE3451"/>
    <w:rsid w:val="00FE421A"/>
    <w:rsid w:val="00FE44A9"/>
    <w:rsid w:val="00FE4854"/>
    <w:rsid w:val="00FE4D83"/>
    <w:rsid w:val="00FE4DB7"/>
    <w:rsid w:val="00FE5171"/>
    <w:rsid w:val="00FE5FE0"/>
    <w:rsid w:val="00FE64CE"/>
    <w:rsid w:val="00FE6BEC"/>
    <w:rsid w:val="00FE7DFF"/>
    <w:rsid w:val="00FF19C7"/>
    <w:rsid w:val="00FF25D2"/>
    <w:rsid w:val="00FF2BA5"/>
    <w:rsid w:val="00FF3A13"/>
    <w:rsid w:val="00FF4380"/>
    <w:rsid w:val="00FF441D"/>
    <w:rsid w:val="00FF49C6"/>
    <w:rsid w:val="00FF4D91"/>
    <w:rsid w:val="00FF59DF"/>
    <w:rsid w:val="00FF63C0"/>
    <w:rsid w:val="00FF672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0F38BCD3"/>
  <w15:chartTrackingRefBased/>
  <w15:docId w15:val="{53303851-2347-4B7B-A177-44DD7DCDFE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6395"/>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NMP Heading 1,h11,h12,h13,h14,h15,h16,app heading 1,l1,Memo Heading 1,Heading 1_a,heading 1,h17,h111,h121,h131,h141,h151,h161,h18,h112,h122,h132,h142,h152,h162,h19,h113,h123,h133,h143,h153,h163,1. Heading"/>
    <w:basedOn w:val="Header"/>
    <w:next w:val="Normal"/>
    <w:link w:val="Heading1Char"/>
    <w:autoRedefine/>
    <w:qFormat/>
    <w:rsid w:val="00EB410E"/>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0H"/>
    <w:basedOn w:val="Heading2"/>
    <w:next w:val="Normal"/>
    <w:link w:val="Heading3Char"/>
    <w:unhideWhenUsed/>
    <w:qFormat/>
    <w:rsid w:val="00EB410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link w:val="Heading4Char"/>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link w:val="Heading1"/>
    <w:rsid w:val="00EB410E"/>
    <w:rPr>
      <w:rFonts w:ascii="Arial" w:eastAsia="Arial" w:hAnsi="Arial"/>
      <w:noProof/>
      <w:sz w:val="36"/>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rsid w:val="00EB410E"/>
    <w:rPr>
      <w:rFonts w:ascii="Arial" w:eastAsia="Arial" w:hAnsi="Arial"/>
      <w:noProof/>
      <w:sz w:val="32"/>
      <w:lang w:val="en-GB" w:eastAsia="x-none"/>
    </w:r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link w:val="Heading3"/>
    <w:rsid w:val="00EB410E"/>
    <w:rPr>
      <w:rFonts w:ascii="Arial" w:eastAsia="Arial" w:hAnsi="Arial"/>
      <w:noProof/>
      <w:sz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410E"/>
    <w:rPr>
      <w:rFonts w:eastAsia="Times New Roman"/>
      <w:b/>
      <w:bCs/>
      <w:sz w:val="28"/>
      <w:szCs w:val="28"/>
      <w:lang w:val="x-none" w:eastAsia="x-none"/>
    </w:rPr>
  </w:style>
  <w:style w:type="character" w:customStyle="1" w:styleId="Heading5Char">
    <w:name w:val="Heading 5 Char"/>
    <w:link w:val="Heading5"/>
    <w:qFormat/>
    <w:rsid w:val="00EB410E"/>
    <w:rPr>
      <w:rFonts w:ascii="Cambria" w:eastAsia="SimSun" w:hAnsi="Cambria"/>
      <w:color w:val="243F60"/>
      <w:lang w:val="x-none" w:eastAsia="x-none"/>
    </w:rPr>
  </w:style>
  <w:style w:type="character" w:customStyle="1" w:styleId="Heading6Char">
    <w:name w:val="Heading 6 Char"/>
    <w:link w:val="Heading6"/>
    <w:rsid w:val="00EB410E"/>
    <w:rPr>
      <w:rFonts w:eastAsia="Times New Roman"/>
      <w:b/>
      <w:bCs/>
      <w:sz w:val="22"/>
      <w:szCs w:val="22"/>
      <w:lang w:val="x-none" w:eastAsia="x-none"/>
    </w:rPr>
  </w:style>
  <w:style w:type="character" w:customStyle="1" w:styleId="Heading7Char">
    <w:name w:val="Heading 7 Char"/>
    <w:link w:val="Heading7"/>
    <w:rsid w:val="00EB410E"/>
    <w:rPr>
      <w:rFonts w:eastAsia="Times New Roman"/>
      <w:sz w:val="24"/>
      <w:szCs w:val="24"/>
      <w:lang w:val="x-none" w:eastAsia="x-none"/>
    </w:rPr>
  </w:style>
  <w:style w:type="character" w:customStyle="1" w:styleId="Heading8Char">
    <w:name w:val="Heading 8 Char"/>
    <w:link w:val="Heading8"/>
    <w:rsid w:val="00EB410E"/>
    <w:rPr>
      <w:rFonts w:eastAsia="Times New Roman"/>
      <w:i/>
      <w:iCs/>
      <w:sz w:val="24"/>
      <w:szCs w:val="24"/>
      <w:lang w:val="x-none" w:eastAsia="x-none"/>
    </w:rPr>
  </w:style>
  <w:style w:type="character" w:customStyle="1" w:styleId="Heading9Char">
    <w:name w:val="Heading 9 Char"/>
    <w:link w:val="Heading9"/>
    <w:rsid w:val="00EB410E"/>
    <w:rPr>
      <w:rFonts w:ascii="Calibri Light" w:eastAsia="Times New Roman" w:hAnsi="Calibri Light"/>
      <w:sz w:val="22"/>
      <w:szCs w:val="22"/>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C12D59"/>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5"/>
      </w:numPr>
    </w:pPr>
    <w:rPr>
      <w:lang w:eastAsia="zh-CN"/>
    </w:rPr>
  </w:style>
  <w:style w:type="character" w:customStyle="1" w:styleId="observChar">
    <w:name w:val="observ. Char"/>
    <w:link w:val="observ"/>
    <w:rsid w:val="00EB410E"/>
    <w:rPr>
      <w:rFonts w:ascii="Times New Roman" w:eastAsia="SimSun" w:hAnsi="Times New Roman"/>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BalloonText">
    <w:name w:val="Balloon Text"/>
    <w:basedOn w:val="Normal"/>
    <w:link w:val="BalloonTextChar"/>
    <w:uiPriority w:val="99"/>
    <w:semiHidden/>
    <w:unhideWhenUsed/>
    <w:rsid w:val="00772B5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2B59"/>
    <w:rPr>
      <w:rFonts w:ascii="Segoe UI" w:eastAsia="SimSun" w:hAnsi="Segoe UI" w:cs="Segoe UI"/>
      <w:sz w:val="18"/>
      <w:szCs w:val="18"/>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383A6B"/>
    <w:pPr>
      <w:overflowPunct/>
      <w:autoSpaceDE/>
      <w:autoSpaceDN/>
      <w:adjustRightInd/>
      <w:spacing w:after="160" w:line="259" w:lineRule="auto"/>
      <w:ind w:left="720"/>
      <w:contextualSpacing/>
    </w:pPr>
    <w:rPr>
      <w:rFonts w:asciiTheme="minorHAnsi" w:eastAsiaTheme="minorHAnsi" w:hAnsiTheme="minorHAnsi" w:cstheme="minorBidi"/>
      <w:sz w:val="22"/>
      <w:szCs w:val="22"/>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basedOn w:val="DefaultParagraphFont"/>
    <w:link w:val="ListParagraph"/>
    <w:uiPriority w:val="34"/>
    <w:qFormat/>
    <w:rsid w:val="00383A6B"/>
    <w:rPr>
      <w:rFonts w:asciiTheme="minorHAnsi" w:eastAsiaTheme="minorHAnsi" w:hAnsiTheme="minorHAnsi" w:cstheme="minorBidi"/>
      <w:sz w:val="22"/>
      <w:szCs w:val="22"/>
    </w:rPr>
  </w:style>
  <w:style w:type="character" w:styleId="Hyperlink">
    <w:name w:val="Hyperlink"/>
    <w:basedOn w:val="DefaultParagraphFont"/>
    <w:uiPriority w:val="99"/>
    <w:unhideWhenUsed/>
    <w:rsid w:val="00383A6B"/>
    <w:rPr>
      <w:color w:val="0563C1" w:themeColor="hyperlink"/>
      <w:u w:val="single"/>
    </w:rPr>
  </w:style>
  <w:style w:type="paragraph" w:styleId="Caption">
    <w:name w:val="caption"/>
    <w:basedOn w:val="Normal"/>
    <w:next w:val="Normal"/>
    <w:link w:val="CaptionChar"/>
    <w:uiPriority w:val="35"/>
    <w:unhideWhenUsed/>
    <w:qFormat/>
    <w:rsid w:val="00A57525"/>
    <w:pPr>
      <w:spacing w:after="200"/>
    </w:pPr>
    <w:rPr>
      <w:i/>
      <w:iCs/>
      <w:color w:val="44546A" w:themeColor="text2"/>
      <w:sz w:val="18"/>
      <w:szCs w:val="18"/>
    </w:rPr>
  </w:style>
  <w:style w:type="character" w:styleId="CommentReference">
    <w:name w:val="annotation reference"/>
    <w:basedOn w:val="DefaultParagraphFont"/>
    <w:uiPriority w:val="99"/>
    <w:unhideWhenUsed/>
    <w:qFormat/>
    <w:rsid w:val="00FF25D2"/>
    <w:rPr>
      <w:sz w:val="16"/>
      <w:szCs w:val="16"/>
    </w:rPr>
  </w:style>
  <w:style w:type="paragraph" w:styleId="CommentText">
    <w:name w:val="annotation text"/>
    <w:basedOn w:val="Normal"/>
    <w:link w:val="CommentTextChar"/>
    <w:uiPriority w:val="99"/>
    <w:unhideWhenUsed/>
    <w:qFormat/>
    <w:rsid w:val="00FF25D2"/>
  </w:style>
  <w:style w:type="character" w:customStyle="1" w:styleId="CommentTextChar">
    <w:name w:val="Comment Text Char"/>
    <w:basedOn w:val="DefaultParagraphFont"/>
    <w:link w:val="CommentText"/>
    <w:uiPriority w:val="99"/>
    <w:rsid w:val="00FF25D2"/>
    <w:rPr>
      <w:rFonts w:ascii="Times New Roman" w:eastAsia="SimSun" w:hAnsi="Times New Roman"/>
    </w:rPr>
  </w:style>
  <w:style w:type="paragraph" w:styleId="CommentSubject">
    <w:name w:val="annotation subject"/>
    <w:basedOn w:val="CommentText"/>
    <w:next w:val="CommentText"/>
    <w:link w:val="CommentSubjectChar"/>
    <w:uiPriority w:val="99"/>
    <w:semiHidden/>
    <w:unhideWhenUsed/>
    <w:rsid w:val="00FF25D2"/>
    <w:rPr>
      <w:b/>
      <w:bCs/>
    </w:rPr>
  </w:style>
  <w:style w:type="character" w:customStyle="1" w:styleId="CommentSubjectChar">
    <w:name w:val="Comment Subject Char"/>
    <w:basedOn w:val="CommentTextChar"/>
    <w:link w:val="CommentSubject"/>
    <w:uiPriority w:val="99"/>
    <w:semiHidden/>
    <w:rsid w:val="00FF25D2"/>
    <w:rPr>
      <w:rFonts w:ascii="Times New Roman" w:eastAsia="SimSun" w:hAnsi="Times New Roman"/>
      <w:b/>
      <w:bCs/>
    </w:rPr>
  </w:style>
  <w:style w:type="paragraph" w:customStyle="1" w:styleId="NO">
    <w:name w:val="N_O"/>
    <w:basedOn w:val="Normal"/>
    <w:next w:val="Normal"/>
    <w:link w:val="NOChar"/>
    <w:qFormat/>
    <w:rsid w:val="005B139C"/>
    <w:pPr>
      <w:numPr>
        <w:numId w:val="6"/>
      </w:numPr>
      <w:overflowPunct/>
      <w:autoSpaceDE/>
      <w:autoSpaceDN/>
      <w:adjustRightInd/>
      <w:spacing w:after="160" w:line="259" w:lineRule="auto"/>
      <w:ind w:left="360"/>
    </w:pPr>
    <w:rPr>
      <w:rFonts w:asciiTheme="minorHAnsi" w:eastAsiaTheme="minorHAnsi" w:hAnsiTheme="minorHAnsi" w:cstheme="minorBidi"/>
      <w:b/>
      <w:bCs/>
      <w:sz w:val="22"/>
      <w:szCs w:val="22"/>
      <w:lang w:val="en-GB"/>
    </w:rPr>
  </w:style>
  <w:style w:type="paragraph" w:customStyle="1" w:styleId="NP">
    <w:name w:val="N_P"/>
    <w:basedOn w:val="NO"/>
    <w:next w:val="Normal"/>
    <w:link w:val="NPChar"/>
    <w:qFormat/>
    <w:rsid w:val="005B139C"/>
    <w:pPr>
      <w:numPr>
        <w:numId w:val="7"/>
      </w:numPr>
    </w:pPr>
  </w:style>
  <w:style w:type="character" w:customStyle="1" w:styleId="NOChar">
    <w:name w:val="N_O Char"/>
    <w:basedOn w:val="DefaultParagraphFont"/>
    <w:link w:val="NO"/>
    <w:rsid w:val="005B139C"/>
    <w:rPr>
      <w:rFonts w:asciiTheme="minorHAnsi" w:eastAsiaTheme="minorHAnsi" w:hAnsiTheme="minorHAnsi" w:cstheme="minorBidi"/>
      <w:b/>
      <w:bCs/>
      <w:sz w:val="22"/>
      <w:szCs w:val="22"/>
      <w:lang w:val="en-GB"/>
    </w:rPr>
  </w:style>
  <w:style w:type="character" w:customStyle="1" w:styleId="NPChar">
    <w:name w:val="N_P Char"/>
    <w:basedOn w:val="NOChar"/>
    <w:link w:val="NP"/>
    <w:rsid w:val="005B139C"/>
    <w:rPr>
      <w:rFonts w:asciiTheme="minorHAnsi" w:eastAsiaTheme="minorHAnsi" w:hAnsiTheme="minorHAnsi" w:cstheme="minorBidi"/>
      <w:b/>
      <w:bCs/>
      <w:sz w:val="22"/>
      <w:szCs w:val="22"/>
      <w:lang w:val="en-GB"/>
    </w:rPr>
  </w:style>
  <w:style w:type="table" w:styleId="TableGrid">
    <w:name w:val="Table Grid"/>
    <w:basedOn w:val="TableNormal"/>
    <w:uiPriority w:val="39"/>
    <w:rsid w:val="005807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F50148"/>
    <w:pPr>
      <w:tabs>
        <w:tab w:val="center" w:pos="4680"/>
        <w:tab w:val="right" w:pos="9360"/>
      </w:tabs>
      <w:spacing w:after="0"/>
    </w:pPr>
  </w:style>
  <w:style w:type="character" w:customStyle="1" w:styleId="FooterChar">
    <w:name w:val="Footer Char"/>
    <w:basedOn w:val="DefaultParagraphFont"/>
    <w:link w:val="Footer"/>
    <w:uiPriority w:val="99"/>
    <w:rsid w:val="00F50148"/>
    <w:rPr>
      <w:rFonts w:ascii="Times New Roman" w:eastAsia="SimSun" w:hAnsi="Times New Roman"/>
    </w:rPr>
  </w:style>
  <w:style w:type="paragraph" w:styleId="Revision">
    <w:name w:val="Revision"/>
    <w:hidden/>
    <w:uiPriority w:val="99"/>
    <w:semiHidden/>
    <w:rsid w:val="00644546"/>
    <w:rPr>
      <w:rFonts w:ascii="Times New Roman" w:eastAsia="SimSun" w:hAnsi="Times New Roman"/>
    </w:rPr>
  </w:style>
  <w:style w:type="character" w:customStyle="1" w:styleId="B1Char">
    <w:name w:val="B1 Char"/>
    <w:link w:val="B1"/>
    <w:qFormat/>
    <w:locked/>
    <w:rsid w:val="009A7F43"/>
    <w:rPr>
      <w:lang w:val="x-none"/>
    </w:rPr>
  </w:style>
  <w:style w:type="paragraph" w:customStyle="1" w:styleId="B1">
    <w:name w:val="B1"/>
    <w:basedOn w:val="Normal"/>
    <w:link w:val="B1Char"/>
    <w:qFormat/>
    <w:rsid w:val="009A7F43"/>
    <w:pPr>
      <w:overflowPunct/>
      <w:autoSpaceDE/>
      <w:autoSpaceDN/>
      <w:adjustRightInd/>
      <w:ind w:left="568" w:hanging="284"/>
    </w:pPr>
    <w:rPr>
      <w:rFonts w:ascii="Calibri" w:eastAsia="Calibri" w:hAnsi="Calibri"/>
      <w:lang w:val="x-none"/>
    </w:rPr>
  </w:style>
  <w:style w:type="paragraph" w:customStyle="1" w:styleId="Obs-prop">
    <w:name w:val="Obs-prop"/>
    <w:basedOn w:val="Normal"/>
    <w:next w:val="Normal"/>
    <w:qFormat/>
    <w:rsid w:val="00D04D6C"/>
    <w:pPr>
      <w:overflowPunct/>
      <w:autoSpaceDE/>
      <w:autoSpaceDN/>
      <w:adjustRightInd/>
      <w:spacing w:after="160" w:line="259" w:lineRule="auto"/>
    </w:pPr>
    <w:rPr>
      <w:rFonts w:asciiTheme="minorHAnsi" w:eastAsiaTheme="minorHAnsi" w:hAnsiTheme="minorHAnsi" w:cstheme="minorBidi"/>
      <w:b/>
      <w:bCs/>
      <w:sz w:val="22"/>
      <w:szCs w:val="22"/>
      <w:lang w:val="en-GB"/>
    </w:rPr>
  </w:style>
  <w:style w:type="paragraph" w:customStyle="1" w:styleId="paragraph">
    <w:name w:val="paragraph"/>
    <w:basedOn w:val="Normal"/>
    <w:rsid w:val="002D73E2"/>
    <w:pPr>
      <w:overflowPunct/>
      <w:autoSpaceDE/>
      <w:autoSpaceDN/>
      <w:adjustRightInd/>
      <w:spacing w:before="100" w:beforeAutospacing="1" w:after="100" w:afterAutospacing="1"/>
    </w:pPr>
    <w:rPr>
      <w:rFonts w:eastAsia="Times New Roman"/>
      <w:sz w:val="24"/>
      <w:szCs w:val="24"/>
      <w:lang w:val="en-GB" w:eastAsia="en-GB"/>
    </w:rPr>
  </w:style>
  <w:style w:type="character" w:customStyle="1" w:styleId="normaltextrun">
    <w:name w:val="normaltextrun"/>
    <w:basedOn w:val="DefaultParagraphFont"/>
    <w:rsid w:val="002D73E2"/>
  </w:style>
  <w:style w:type="paragraph" w:styleId="NormalWeb">
    <w:name w:val="Normal (Web)"/>
    <w:basedOn w:val="Normal"/>
    <w:uiPriority w:val="99"/>
    <w:unhideWhenUsed/>
    <w:rsid w:val="0030508B"/>
    <w:pPr>
      <w:overflowPunct/>
      <w:autoSpaceDE/>
      <w:autoSpaceDN/>
      <w:adjustRightInd/>
      <w:spacing w:before="100" w:beforeAutospacing="1" w:after="100" w:afterAutospacing="1"/>
    </w:pPr>
    <w:rPr>
      <w:rFonts w:eastAsia="Times New Roman"/>
      <w:sz w:val="24"/>
      <w:szCs w:val="24"/>
    </w:rPr>
  </w:style>
  <w:style w:type="character" w:customStyle="1" w:styleId="eop">
    <w:name w:val="eop"/>
    <w:basedOn w:val="DefaultParagraphFont"/>
    <w:rsid w:val="00105297"/>
  </w:style>
  <w:style w:type="paragraph" w:customStyle="1" w:styleId="Doc-text2">
    <w:name w:val="Doc-text2"/>
    <w:basedOn w:val="Normal"/>
    <w:link w:val="Doc-text2Char"/>
    <w:qFormat/>
    <w:rsid w:val="00AD3DC9"/>
    <w:pPr>
      <w:tabs>
        <w:tab w:val="left" w:pos="1622"/>
      </w:tabs>
      <w:overflowPunct/>
      <w:autoSpaceDE/>
      <w:autoSpaceDN/>
      <w:adjustRightInd/>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AD3DC9"/>
    <w:rPr>
      <w:rFonts w:ascii="Arial" w:eastAsia="MS Mincho" w:hAnsi="Arial"/>
      <w:szCs w:val="24"/>
      <w:lang w:val="en-GB" w:eastAsia="en-GB"/>
    </w:rPr>
  </w:style>
  <w:style w:type="character" w:customStyle="1" w:styleId="CaptionChar">
    <w:name w:val="Caption Char"/>
    <w:link w:val="Caption"/>
    <w:qFormat/>
    <w:rsid w:val="00234363"/>
    <w:rPr>
      <w:rFonts w:ascii="Times New Roman" w:eastAsia="SimSun" w:hAnsi="Times New Roman"/>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7027375">
      <w:bodyDiv w:val="1"/>
      <w:marLeft w:val="0"/>
      <w:marRight w:val="0"/>
      <w:marTop w:val="0"/>
      <w:marBottom w:val="0"/>
      <w:divBdr>
        <w:top w:val="none" w:sz="0" w:space="0" w:color="auto"/>
        <w:left w:val="none" w:sz="0" w:space="0" w:color="auto"/>
        <w:bottom w:val="none" w:sz="0" w:space="0" w:color="auto"/>
        <w:right w:val="none" w:sz="0" w:space="0" w:color="auto"/>
      </w:divBdr>
    </w:div>
    <w:div w:id="353001148">
      <w:bodyDiv w:val="1"/>
      <w:marLeft w:val="0"/>
      <w:marRight w:val="0"/>
      <w:marTop w:val="0"/>
      <w:marBottom w:val="0"/>
      <w:divBdr>
        <w:top w:val="none" w:sz="0" w:space="0" w:color="auto"/>
        <w:left w:val="none" w:sz="0" w:space="0" w:color="auto"/>
        <w:bottom w:val="none" w:sz="0" w:space="0" w:color="auto"/>
        <w:right w:val="none" w:sz="0" w:space="0" w:color="auto"/>
      </w:divBdr>
      <w:divsChild>
        <w:div w:id="110713789">
          <w:marLeft w:val="1080"/>
          <w:marRight w:val="0"/>
          <w:marTop w:val="120"/>
          <w:marBottom w:val="0"/>
          <w:divBdr>
            <w:top w:val="none" w:sz="0" w:space="0" w:color="auto"/>
            <w:left w:val="none" w:sz="0" w:space="0" w:color="auto"/>
            <w:bottom w:val="none" w:sz="0" w:space="0" w:color="auto"/>
            <w:right w:val="none" w:sz="0" w:space="0" w:color="auto"/>
          </w:divBdr>
        </w:div>
      </w:divsChild>
    </w:div>
    <w:div w:id="657004221">
      <w:bodyDiv w:val="1"/>
      <w:marLeft w:val="0"/>
      <w:marRight w:val="0"/>
      <w:marTop w:val="0"/>
      <w:marBottom w:val="0"/>
      <w:divBdr>
        <w:top w:val="none" w:sz="0" w:space="0" w:color="auto"/>
        <w:left w:val="none" w:sz="0" w:space="0" w:color="auto"/>
        <w:bottom w:val="none" w:sz="0" w:space="0" w:color="auto"/>
        <w:right w:val="none" w:sz="0" w:space="0" w:color="auto"/>
      </w:divBdr>
      <w:divsChild>
        <w:div w:id="1076826151">
          <w:marLeft w:val="0"/>
          <w:marRight w:val="0"/>
          <w:marTop w:val="0"/>
          <w:marBottom w:val="0"/>
          <w:divBdr>
            <w:top w:val="none" w:sz="0" w:space="0" w:color="auto"/>
            <w:left w:val="none" w:sz="0" w:space="0" w:color="auto"/>
            <w:bottom w:val="none" w:sz="0" w:space="0" w:color="auto"/>
            <w:right w:val="none" w:sz="0" w:space="0" w:color="auto"/>
          </w:divBdr>
        </w:div>
      </w:divsChild>
    </w:div>
    <w:div w:id="820149053">
      <w:bodyDiv w:val="1"/>
      <w:marLeft w:val="0"/>
      <w:marRight w:val="0"/>
      <w:marTop w:val="0"/>
      <w:marBottom w:val="0"/>
      <w:divBdr>
        <w:top w:val="none" w:sz="0" w:space="0" w:color="auto"/>
        <w:left w:val="none" w:sz="0" w:space="0" w:color="auto"/>
        <w:bottom w:val="none" w:sz="0" w:space="0" w:color="auto"/>
        <w:right w:val="none" w:sz="0" w:space="0" w:color="auto"/>
      </w:divBdr>
      <w:divsChild>
        <w:div w:id="840122797">
          <w:marLeft w:val="0"/>
          <w:marRight w:val="0"/>
          <w:marTop w:val="0"/>
          <w:marBottom w:val="0"/>
          <w:divBdr>
            <w:top w:val="none" w:sz="0" w:space="0" w:color="auto"/>
            <w:left w:val="none" w:sz="0" w:space="0" w:color="auto"/>
            <w:bottom w:val="none" w:sz="0" w:space="0" w:color="auto"/>
            <w:right w:val="none" w:sz="0" w:space="0" w:color="auto"/>
          </w:divBdr>
        </w:div>
      </w:divsChild>
    </w:div>
    <w:div w:id="954288890">
      <w:bodyDiv w:val="1"/>
      <w:marLeft w:val="0"/>
      <w:marRight w:val="0"/>
      <w:marTop w:val="0"/>
      <w:marBottom w:val="0"/>
      <w:divBdr>
        <w:top w:val="none" w:sz="0" w:space="0" w:color="auto"/>
        <w:left w:val="none" w:sz="0" w:space="0" w:color="auto"/>
        <w:bottom w:val="none" w:sz="0" w:space="0" w:color="auto"/>
        <w:right w:val="none" w:sz="0" w:space="0" w:color="auto"/>
      </w:divBdr>
      <w:divsChild>
        <w:div w:id="1044017795">
          <w:marLeft w:val="0"/>
          <w:marRight w:val="0"/>
          <w:marTop w:val="0"/>
          <w:marBottom w:val="0"/>
          <w:divBdr>
            <w:top w:val="none" w:sz="0" w:space="0" w:color="auto"/>
            <w:left w:val="none" w:sz="0" w:space="0" w:color="auto"/>
            <w:bottom w:val="none" w:sz="0" w:space="0" w:color="auto"/>
            <w:right w:val="none" w:sz="0" w:space="0" w:color="auto"/>
          </w:divBdr>
        </w:div>
      </w:divsChild>
    </w:div>
    <w:div w:id="1114128550">
      <w:bodyDiv w:val="1"/>
      <w:marLeft w:val="0"/>
      <w:marRight w:val="0"/>
      <w:marTop w:val="0"/>
      <w:marBottom w:val="0"/>
      <w:divBdr>
        <w:top w:val="none" w:sz="0" w:space="0" w:color="auto"/>
        <w:left w:val="none" w:sz="0" w:space="0" w:color="auto"/>
        <w:bottom w:val="none" w:sz="0" w:space="0" w:color="auto"/>
        <w:right w:val="none" w:sz="0" w:space="0" w:color="auto"/>
      </w:divBdr>
      <w:divsChild>
        <w:div w:id="45691602">
          <w:marLeft w:val="1080"/>
          <w:marRight w:val="0"/>
          <w:marTop w:val="120"/>
          <w:marBottom w:val="0"/>
          <w:divBdr>
            <w:top w:val="none" w:sz="0" w:space="0" w:color="auto"/>
            <w:left w:val="none" w:sz="0" w:space="0" w:color="auto"/>
            <w:bottom w:val="none" w:sz="0" w:space="0" w:color="auto"/>
            <w:right w:val="none" w:sz="0" w:space="0" w:color="auto"/>
          </w:divBdr>
        </w:div>
      </w:divsChild>
    </w:div>
    <w:div w:id="1309359832">
      <w:bodyDiv w:val="1"/>
      <w:marLeft w:val="0"/>
      <w:marRight w:val="0"/>
      <w:marTop w:val="0"/>
      <w:marBottom w:val="0"/>
      <w:divBdr>
        <w:top w:val="none" w:sz="0" w:space="0" w:color="auto"/>
        <w:left w:val="none" w:sz="0" w:space="0" w:color="auto"/>
        <w:bottom w:val="none" w:sz="0" w:space="0" w:color="auto"/>
        <w:right w:val="none" w:sz="0" w:space="0" w:color="auto"/>
      </w:divBdr>
      <w:divsChild>
        <w:div w:id="705375854">
          <w:marLeft w:val="1080"/>
          <w:marRight w:val="0"/>
          <w:marTop w:val="120"/>
          <w:marBottom w:val="0"/>
          <w:divBdr>
            <w:top w:val="none" w:sz="0" w:space="0" w:color="auto"/>
            <w:left w:val="none" w:sz="0" w:space="0" w:color="auto"/>
            <w:bottom w:val="none" w:sz="0" w:space="0" w:color="auto"/>
            <w:right w:val="none" w:sz="0" w:space="0" w:color="auto"/>
          </w:divBdr>
        </w:div>
      </w:divsChild>
    </w:div>
    <w:div w:id="1863200563">
      <w:bodyDiv w:val="1"/>
      <w:marLeft w:val="0"/>
      <w:marRight w:val="0"/>
      <w:marTop w:val="0"/>
      <w:marBottom w:val="0"/>
      <w:divBdr>
        <w:top w:val="none" w:sz="0" w:space="0" w:color="auto"/>
        <w:left w:val="none" w:sz="0" w:space="0" w:color="auto"/>
        <w:bottom w:val="none" w:sz="0" w:space="0" w:color="auto"/>
        <w:right w:val="none" w:sz="0" w:space="0" w:color="auto"/>
      </w:divBdr>
    </w:div>
    <w:div w:id="1972127372">
      <w:bodyDiv w:val="1"/>
      <w:marLeft w:val="0"/>
      <w:marRight w:val="0"/>
      <w:marTop w:val="0"/>
      <w:marBottom w:val="0"/>
      <w:divBdr>
        <w:top w:val="none" w:sz="0" w:space="0" w:color="auto"/>
        <w:left w:val="none" w:sz="0" w:space="0" w:color="auto"/>
        <w:bottom w:val="none" w:sz="0" w:space="0" w:color="auto"/>
        <w:right w:val="none" w:sz="0" w:space="0" w:color="auto"/>
      </w:divBdr>
    </w:div>
    <w:div w:id="2025861373">
      <w:bodyDiv w:val="1"/>
      <w:marLeft w:val="0"/>
      <w:marRight w:val="0"/>
      <w:marTop w:val="0"/>
      <w:marBottom w:val="0"/>
      <w:divBdr>
        <w:top w:val="none" w:sz="0" w:space="0" w:color="auto"/>
        <w:left w:val="none" w:sz="0" w:space="0" w:color="auto"/>
        <w:bottom w:val="none" w:sz="0" w:space="0" w:color="auto"/>
        <w:right w:val="none" w:sz="0" w:space="0" w:color="auto"/>
      </w:divBdr>
      <w:divsChild>
        <w:div w:id="38576219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A7FF832-31A6-4266-9724-53E174DF82C5}">
  <ds:schemaRefs>
    <ds:schemaRef ds:uri="http://schemas.openxmlformats.org/officeDocument/2006/bibliography"/>
  </ds:schemaRefs>
</ds:datastoreItem>
</file>

<file path=customXml/itemProps2.xml><?xml version="1.0" encoding="utf-8"?>
<ds:datastoreItem xmlns:ds="http://schemas.openxmlformats.org/officeDocument/2006/customXml" ds:itemID="{D253138F-897E-49D1-B726-37F9B7C7D36D}">
  <ds:schemaRefs>
    <ds:schemaRef ds:uri="80530660-24fd-4391-a7a1-d653900fee43"/>
    <ds:schemaRef ds:uri="http://schemas.microsoft.com/office/infopath/2007/PartnerControls"/>
    <ds:schemaRef ds:uri="042397af-7977-45ef-9118-11c18c8623b6"/>
    <ds:schemaRef ds:uri="http://schemas.microsoft.com/office/2006/documentManagement/types"/>
    <ds:schemaRef ds:uri="http://purl.org/dc/elements/1.1/"/>
    <ds:schemaRef ds:uri="http://purl.org/dc/dcmitype/"/>
    <ds:schemaRef ds:uri="http://schemas.openxmlformats.org/package/2006/metadata/core-properties"/>
    <ds:schemaRef ds:uri="http://schemas.microsoft.com/office/2006/metadata/properties"/>
    <ds:schemaRef ds:uri="http://www.w3.org/XML/1998/namespace"/>
    <ds:schemaRef ds:uri="http://purl.org/dc/terms/"/>
  </ds:schemaRefs>
</ds:datastoreItem>
</file>

<file path=customXml/itemProps3.xml><?xml version="1.0" encoding="utf-8"?>
<ds:datastoreItem xmlns:ds="http://schemas.openxmlformats.org/officeDocument/2006/customXml" ds:itemID="{CE8FA5E2-4CD4-46B3-A40D-D9E702FD2C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F7473FB-B7F5-4AE4-A422-30A732B8EAB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532</TotalTime>
  <Pages>10</Pages>
  <Words>4219</Words>
  <Characters>24049</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28212</CharactersWithSpaces>
  <SharedDoc>false</SharedDoc>
  <HLinks>
    <vt:vector size="6" baseType="variant">
      <vt:variant>
        <vt:i4>1310774</vt:i4>
      </vt:variant>
      <vt:variant>
        <vt:i4>18</vt:i4>
      </vt:variant>
      <vt:variant>
        <vt:i4>0</vt:i4>
      </vt:variant>
      <vt:variant>
        <vt:i4>5</vt:i4>
      </vt:variant>
      <vt:variant>
        <vt:lpwstr/>
      </vt:variant>
      <vt:variant>
        <vt:lpwstr>_Toc67002521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CTPClassification=CTP_NT</cp:keywords>
  <dc:description/>
  <cp:lastModifiedBy>Intel</cp:lastModifiedBy>
  <cp:revision>512</cp:revision>
  <dcterms:created xsi:type="dcterms:W3CDTF">2021-05-05T17:44:00Z</dcterms:created>
  <dcterms:modified xsi:type="dcterms:W3CDTF">2021-05-11T03:13:00Z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2020-07-27 18:07:24Z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0x010100C3355BB4B7850E44A83DAD8AF6CF14B0</vt:lpwstr>
  </property>
</Properties>
</file>