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FEFA2" w14:textId="24F2E5F3" w:rsidR="00170CDB" w:rsidRPr="005D7AB5" w:rsidRDefault="00B1119B" w:rsidP="005D7AB5">
      <w:pPr>
        <w:overflowPunct w:val="0"/>
        <w:autoSpaceDE w:val="0"/>
        <w:autoSpaceDN w:val="0"/>
        <w:adjustRightInd w:val="0"/>
        <w:snapToGrid w:val="0"/>
        <w:spacing w:before="156"/>
        <w:jc w:val="left"/>
        <w:textAlignment w:val="baseline"/>
        <w:rPr>
          <w:rFonts w:ascii="Arial" w:hAnsi="Arial" w:cs="Arial"/>
          <w:b/>
          <w:bCs/>
          <w:kern w:val="0"/>
          <w:sz w:val="24"/>
        </w:rPr>
      </w:pPr>
      <w:r w:rsidRPr="00961D5E">
        <w:rPr>
          <w:rFonts w:ascii="Arial" w:hAnsi="Arial" w:cs="Arial"/>
          <w:b/>
          <w:sz w:val="24"/>
        </w:rPr>
        <w:t>3GPP TSG RAN</w:t>
      </w:r>
      <w:r>
        <w:rPr>
          <w:rFonts w:ascii="Arial" w:hAnsi="Arial" w:cs="Arial"/>
          <w:b/>
          <w:sz w:val="24"/>
        </w:rPr>
        <w:t xml:space="preserve"> WG2</w:t>
      </w:r>
      <w:r w:rsidRPr="00961D5E">
        <w:rPr>
          <w:rFonts w:ascii="Arial" w:hAnsi="Arial" w:cs="Arial"/>
          <w:b/>
          <w:sz w:val="24"/>
        </w:rPr>
        <w:t xml:space="preserve"> Meeting #</w:t>
      </w:r>
      <w:r>
        <w:rPr>
          <w:rFonts w:ascii="Arial" w:hAnsi="Arial" w:cs="Arial"/>
          <w:b/>
          <w:sz w:val="24"/>
        </w:rPr>
        <w:t>113bis-</w:t>
      </w:r>
      <w:r w:rsidRPr="00961D5E">
        <w:rPr>
          <w:rFonts w:ascii="Arial" w:hAnsi="Arial" w:cs="Arial"/>
          <w:b/>
          <w:sz w:val="24"/>
        </w:rPr>
        <w:t>e</w:t>
      </w:r>
      <w:r w:rsidR="00C76477">
        <w:rPr>
          <w:rFonts w:ascii="Arial" w:hAnsi="Arial" w:cs="Arial" w:hint="eastAsia"/>
          <w:b/>
          <w:bCs/>
          <w:kern w:val="0"/>
          <w:sz w:val="24"/>
        </w:rPr>
        <w:t xml:space="preserve">                </w:t>
      </w:r>
      <w:r w:rsidR="00C76477">
        <w:rPr>
          <w:rFonts w:ascii="Arial" w:hAnsi="Arial" w:cs="Arial"/>
          <w:b/>
          <w:bCs/>
          <w:kern w:val="0"/>
          <w:sz w:val="24"/>
        </w:rPr>
        <w:t xml:space="preserve">    </w:t>
      </w:r>
      <w:r w:rsidR="00C76477">
        <w:rPr>
          <w:rFonts w:ascii="Arial" w:hAnsi="Arial" w:cs="Arial" w:hint="eastAsia"/>
          <w:b/>
          <w:bCs/>
          <w:kern w:val="0"/>
          <w:sz w:val="24"/>
        </w:rPr>
        <w:t xml:space="preserve">   </w:t>
      </w:r>
      <w:r w:rsidR="00F36F60">
        <w:rPr>
          <w:rFonts w:ascii="Arial" w:hAnsi="Arial" w:cs="Arial"/>
          <w:b/>
          <w:bCs/>
          <w:kern w:val="0"/>
          <w:sz w:val="24"/>
        </w:rPr>
        <w:t xml:space="preserve">       </w:t>
      </w:r>
      <w:r w:rsidR="00D66979">
        <w:rPr>
          <w:rFonts w:ascii="Arial" w:hAnsi="Arial" w:cs="Arial"/>
          <w:b/>
          <w:bCs/>
          <w:kern w:val="0"/>
          <w:sz w:val="24"/>
        </w:rPr>
        <w:tab/>
      </w:r>
      <w:r w:rsidR="00C76477">
        <w:rPr>
          <w:rFonts w:ascii="Arial" w:hAnsi="Arial" w:cs="Arial" w:hint="eastAsia"/>
          <w:b/>
          <w:bCs/>
          <w:kern w:val="0"/>
          <w:sz w:val="24"/>
          <w:lang w:val="en-GB"/>
        </w:rPr>
        <w:t>R</w:t>
      </w:r>
      <w:r>
        <w:rPr>
          <w:rFonts w:ascii="Arial" w:hAnsi="Arial" w:cs="Arial"/>
          <w:b/>
          <w:bCs/>
          <w:kern w:val="0"/>
          <w:sz w:val="24"/>
          <w:lang w:val="en-GB"/>
        </w:rPr>
        <w:t>2</w:t>
      </w:r>
      <w:r w:rsidR="00C76477">
        <w:rPr>
          <w:rFonts w:ascii="Arial" w:hAnsi="Arial" w:cs="Arial" w:hint="eastAsia"/>
          <w:b/>
          <w:bCs/>
          <w:kern w:val="0"/>
          <w:sz w:val="24"/>
          <w:lang w:val="en-GB"/>
        </w:rPr>
        <w:t>-</w:t>
      </w:r>
      <w:r>
        <w:rPr>
          <w:rFonts w:ascii="Arial" w:hAnsi="Arial" w:cs="Arial"/>
          <w:b/>
          <w:bCs/>
          <w:kern w:val="0"/>
          <w:sz w:val="24"/>
          <w:lang w:val="en-GB"/>
        </w:rPr>
        <w:t>2</w:t>
      </w:r>
      <w:r w:rsidR="00AB5281">
        <w:rPr>
          <w:rFonts w:ascii="Arial" w:hAnsi="Arial" w:cs="Arial"/>
          <w:b/>
          <w:bCs/>
          <w:kern w:val="0"/>
          <w:sz w:val="24"/>
          <w:lang w:val="en-GB"/>
        </w:rPr>
        <w:t>103887</w:t>
      </w:r>
      <w:r w:rsidR="005D7AB5">
        <w:rPr>
          <w:rFonts w:ascii="Arial" w:hAnsi="Arial" w:cs="Arial"/>
          <w:b/>
          <w:bCs/>
          <w:kern w:val="0"/>
          <w:sz w:val="24"/>
        </w:rPr>
        <w:br/>
      </w:r>
      <w:r w:rsidR="00C76477">
        <w:rPr>
          <w:rFonts w:ascii="Arial" w:hAnsi="Arial" w:cs="Arial"/>
          <w:b/>
          <w:bCs/>
          <w:kern w:val="0"/>
          <w:sz w:val="24"/>
        </w:rPr>
        <w:t>Electronic Meeting</w:t>
      </w:r>
      <w:r w:rsidR="00C76477">
        <w:rPr>
          <w:rFonts w:ascii="Arial" w:hAnsi="Arial" w:cs="Arial" w:hint="eastAsia"/>
          <w:b/>
          <w:bCs/>
          <w:kern w:val="0"/>
          <w:sz w:val="24"/>
        </w:rPr>
        <w:t>,</w:t>
      </w:r>
      <w:r w:rsidR="00C76477">
        <w:rPr>
          <w:rFonts w:ascii="Arial" w:hAnsi="Arial" w:cs="Arial"/>
          <w:b/>
          <w:bCs/>
          <w:kern w:val="0"/>
          <w:sz w:val="24"/>
          <w:lang w:val="en-GB"/>
        </w:rPr>
        <w:t xml:space="preserve"> </w:t>
      </w:r>
      <w:r w:rsidR="004C6FB7">
        <w:rPr>
          <w:rFonts w:ascii="Arial" w:hAnsi="Arial" w:cs="Arial"/>
          <w:b/>
          <w:bCs/>
          <w:kern w:val="0"/>
          <w:sz w:val="24"/>
          <w:lang w:val="en-GB"/>
        </w:rPr>
        <w:t>1</w:t>
      </w:r>
      <w:r w:rsidR="006007B9">
        <w:rPr>
          <w:rFonts w:ascii="Arial" w:hAnsi="Arial" w:cs="Arial"/>
          <w:b/>
          <w:bCs/>
          <w:kern w:val="0"/>
          <w:sz w:val="24"/>
          <w:lang w:val="en-GB"/>
        </w:rPr>
        <w:t>6</w:t>
      </w:r>
      <w:r w:rsidR="00C76477">
        <w:rPr>
          <w:rFonts w:ascii="Arial" w:hAnsi="Arial" w:cs="Arial" w:hint="eastAsia"/>
          <w:b/>
          <w:bCs/>
          <w:kern w:val="0"/>
          <w:sz w:val="24"/>
          <w:vertAlign w:val="superscript"/>
        </w:rPr>
        <w:t>th</w:t>
      </w:r>
      <w:r w:rsidR="00C76477">
        <w:rPr>
          <w:rFonts w:ascii="Arial" w:hAnsi="Arial" w:cs="Arial"/>
          <w:b/>
          <w:bCs/>
          <w:kern w:val="0"/>
          <w:sz w:val="24"/>
          <w:lang w:val="en-GB"/>
        </w:rPr>
        <w:t xml:space="preserve"> </w:t>
      </w:r>
      <w:r w:rsidR="004C6FB7">
        <w:rPr>
          <w:rFonts w:ascii="Arial" w:hAnsi="Arial" w:cs="Arial"/>
          <w:b/>
          <w:bCs/>
          <w:kern w:val="0"/>
          <w:sz w:val="24"/>
          <w:lang w:val="en-GB"/>
        </w:rPr>
        <w:t>Mar</w:t>
      </w:r>
      <w:r w:rsidR="00C76477">
        <w:rPr>
          <w:rFonts w:ascii="Arial" w:hAnsi="Arial" w:cs="Arial"/>
          <w:b/>
          <w:bCs/>
          <w:kern w:val="0"/>
          <w:sz w:val="24"/>
          <w:lang w:val="en-GB"/>
        </w:rPr>
        <w:t xml:space="preserve"> – </w:t>
      </w:r>
      <w:r w:rsidR="006007B9">
        <w:rPr>
          <w:rFonts w:ascii="Arial" w:hAnsi="Arial" w:cs="Arial"/>
          <w:b/>
          <w:bCs/>
          <w:kern w:val="0"/>
          <w:sz w:val="24"/>
        </w:rPr>
        <w:t>26</w:t>
      </w:r>
      <w:r w:rsidR="00C76477">
        <w:rPr>
          <w:rFonts w:ascii="Arial" w:hAnsi="Arial" w:cs="Arial" w:hint="eastAsia"/>
          <w:b/>
          <w:bCs/>
          <w:kern w:val="0"/>
          <w:sz w:val="24"/>
          <w:vertAlign w:val="superscript"/>
        </w:rPr>
        <w:t>t</w:t>
      </w:r>
      <w:r w:rsidR="00C76477">
        <w:rPr>
          <w:rFonts w:ascii="Arial" w:hAnsi="Arial" w:cs="Arial"/>
          <w:b/>
          <w:bCs/>
          <w:kern w:val="0"/>
          <w:sz w:val="24"/>
          <w:vertAlign w:val="superscript"/>
        </w:rPr>
        <w:t>h</w:t>
      </w:r>
      <w:r w:rsidR="00C76477">
        <w:rPr>
          <w:rFonts w:ascii="Arial" w:hAnsi="Arial" w:cs="Arial"/>
          <w:b/>
          <w:bCs/>
          <w:kern w:val="0"/>
          <w:sz w:val="24"/>
          <w:lang w:val="en-GB"/>
        </w:rPr>
        <w:t xml:space="preserve"> </w:t>
      </w:r>
      <w:r w:rsidR="004C6FB7">
        <w:rPr>
          <w:rFonts w:ascii="Arial" w:hAnsi="Arial" w:cs="Arial"/>
          <w:b/>
          <w:bCs/>
          <w:kern w:val="0"/>
          <w:sz w:val="24"/>
        </w:rPr>
        <w:t>Mar</w:t>
      </w:r>
      <w:r w:rsidR="00C76477">
        <w:rPr>
          <w:rFonts w:ascii="Arial" w:hAnsi="Arial" w:cs="Arial" w:hint="eastAsia"/>
          <w:b/>
          <w:bCs/>
          <w:kern w:val="0"/>
          <w:sz w:val="24"/>
          <w:lang w:val="en-GB"/>
        </w:rPr>
        <w:t xml:space="preserve"> </w:t>
      </w:r>
      <w:r w:rsidR="00C76477">
        <w:rPr>
          <w:rFonts w:ascii="Arial" w:hAnsi="Arial" w:cs="Arial"/>
          <w:b/>
          <w:bCs/>
          <w:kern w:val="0"/>
          <w:sz w:val="24"/>
          <w:lang w:val="en-GB"/>
        </w:rPr>
        <w:t xml:space="preserve">2021 </w:t>
      </w:r>
    </w:p>
    <w:p w14:paraId="3F19054D" w14:textId="77777777" w:rsidR="00170CDB" w:rsidRDefault="00170CDB">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DED2095" w14:textId="6E3E9F1E"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B26D97">
        <w:rPr>
          <w:rFonts w:ascii="Arial" w:hAnsi="Arial" w:cs="Arial"/>
          <w:b/>
          <w:bCs/>
          <w:snapToGrid w:val="0"/>
          <w:kern w:val="0"/>
          <w:sz w:val="24"/>
        </w:rPr>
        <w:t>Apple Inc</w:t>
      </w:r>
    </w:p>
    <w:p w14:paraId="06A6090B" w14:textId="77777777" w:rsidR="00B1119B" w:rsidRDefault="00C76477" w:rsidP="00B1119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B1119B">
        <w:rPr>
          <w:rFonts w:ascii="Arial" w:hAnsi="Arial" w:cs="Arial"/>
          <w:b/>
          <w:sz w:val="24"/>
        </w:rPr>
        <w:t>RedCap UE power-saving with 2.56 DRX cycle</w:t>
      </w:r>
      <w:r w:rsidR="00B1119B">
        <w:rPr>
          <w:rFonts w:ascii="Arial" w:hAnsi="Arial" w:cs="Arial"/>
          <w:b/>
          <w:bCs/>
          <w:snapToGrid w:val="0"/>
          <w:kern w:val="0"/>
          <w:sz w:val="24"/>
        </w:rPr>
        <w:t xml:space="preserve"> </w:t>
      </w:r>
    </w:p>
    <w:p w14:paraId="3DFCE5B5" w14:textId="774E59DF" w:rsidR="00170CDB" w:rsidRDefault="00C76477" w:rsidP="00B1119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sidR="00E2547F">
        <w:rPr>
          <w:rFonts w:ascii="Arial" w:hAnsi="Arial" w:cs="Arial"/>
          <w:b/>
          <w:sz w:val="24"/>
        </w:rPr>
        <w:t>8.12.3.1</w:t>
      </w:r>
    </w:p>
    <w:p w14:paraId="2A052CEB" w14:textId="77777777"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1F67847E" w14:textId="56462A67" w:rsidR="00170CDB" w:rsidRPr="001A0CD5" w:rsidRDefault="00C76477" w:rsidP="001A0CD5">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Background</w:t>
      </w:r>
    </w:p>
    <w:p w14:paraId="21C0D5FC" w14:textId="188C8321" w:rsidR="002D23FD" w:rsidRDefault="005D7AB5">
      <w:r>
        <w:t xml:space="preserve">RAN2 </w:t>
      </w:r>
      <w:r w:rsidR="002927DF">
        <w:t>studied different methods for RedCaps UEs to help with power-saving and as part of this discussion, the reception of emergency broadcast messages by atleast some RedCap UEs was also discussed</w:t>
      </w:r>
      <w:r>
        <w:t>.</w:t>
      </w:r>
      <w:r w:rsidR="002927DF">
        <w:t xml:space="preserve"> RAN2 </w:t>
      </w:r>
      <w:r w:rsidR="002D23FD">
        <w:t>captured in the study item several</w:t>
      </w:r>
      <w:r w:rsidR="002927DF">
        <w:t xml:space="preserve"> options as a means to support</w:t>
      </w:r>
      <w:r w:rsidR="002D23FD">
        <w:t xml:space="preserve"> reception of emergency broadcast while trying to keep the power-saving eDRX operation. In this paper, we propose to define the RedCap work-item objectives by down-selecting from the below options for power-saving purposes</w:t>
      </w:r>
    </w:p>
    <w:p w14:paraId="16681698" w14:textId="44E8603D" w:rsidR="00170CDB" w:rsidRDefault="002927DF">
      <w:r>
        <w:t xml:space="preserve"> </w:t>
      </w:r>
      <w:r w:rsidR="005D7AB5">
        <w:t xml:space="preserve"> </w:t>
      </w:r>
    </w:p>
    <w:p w14:paraId="32378F40" w14:textId="458F0BD2" w:rsidR="00170CDB" w:rsidRDefault="001C56FD">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Methods for power-saving and emergency reception</w:t>
      </w:r>
    </w:p>
    <w:p w14:paraId="61F99886" w14:textId="40B59BC7" w:rsidR="001A0CD5" w:rsidRDefault="002A06AF">
      <w:r>
        <w:t>We start with listing the</w:t>
      </w:r>
      <w:r w:rsidR="001C56FD">
        <w:t xml:space="preserve"> </w:t>
      </w:r>
      <w:r w:rsidR="009809EB">
        <w:t>solutions</w:t>
      </w:r>
      <w:r w:rsidR="001C56FD">
        <w:t xml:space="preserve"> captured in TR 38.875 </w:t>
      </w:r>
      <w:r w:rsidR="00C626A1">
        <w:t xml:space="preserve">[1] </w:t>
      </w:r>
      <w:r w:rsidR="001C56FD">
        <w:t>for RedCap UEs for emergency reception and/or power-saving with eDRX.</w:t>
      </w:r>
    </w:p>
    <w:p w14:paraId="433EA668" w14:textId="1744FC04" w:rsidR="009809EB" w:rsidRPr="009809EB" w:rsidRDefault="009809EB" w:rsidP="009809EB">
      <w:pPr>
        <w:ind w:firstLine="420"/>
        <w:rPr>
          <w:rFonts w:eastAsia="SimSun"/>
          <w:szCs w:val="20"/>
          <w:lang w:val="en-GB" w:eastAsia="ja-JP"/>
        </w:rPr>
      </w:pPr>
      <w:r w:rsidRPr="009809EB">
        <w:rPr>
          <w:rFonts w:eastAsia="SimSun"/>
          <w:b/>
          <w:bCs/>
          <w:szCs w:val="20"/>
          <w:lang w:val="en-GB" w:eastAsia="ja-JP"/>
        </w:rPr>
        <w:t>Solution 1</w:t>
      </w:r>
      <w:r w:rsidRPr="009809EB">
        <w:rPr>
          <w:rFonts w:eastAsia="SimSun"/>
          <w:szCs w:val="20"/>
          <w:lang w:val="en-GB" w:eastAsia="ja-JP"/>
        </w:rPr>
        <w:t>: For RedCap UEs, if the NAS configures the UE with a 2.56 seconds DRX UE-specific paging cycle, the RedCap UE follows this DRX cycle even when the RAN paging cycle is shorter.</w:t>
      </w:r>
    </w:p>
    <w:p w14:paraId="5582CDBB" w14:textId="4CAA85FE" w:rsidR="009809EB" w:rsidRDefault="009809EB" w:rsidP="009809EB">
      <w:pPr>
        <w:ind w:firstLine="420"/>
        <w:rPr>
          <w:rFonts w:eastAsia="SimSun"/>
          <w:szCs w:val="20"/>
          <w:lang w:val="en-GB" w:eastAsia="ja-JP"/>
        </w:rPr>
      </w:pPr>
      <w:r w:rsidRPr="009809EB">
        <w:rPr>
          <w:rFonts w:eastAsia="SimSun"/>
          <w:b/>
          <w:bCs/>
          <w:szCs w:val="20"/>
          <w:lang w:val="en-GB" w:eastAsia="ja-JP"/>
        </w:rPr>
        <w:t>Solution 2</w:t>
      </w:r>
      <w:r w:rsidRPr="009809EB">
        <w:rPr>
          <w:rFonts w:eastAsia="SimSun"/>
          <w:szCs w:val="20"/>
          <w:lang w:val="en-GB" w:eastAsia="ja-JP"/>
        </w:rPr>
        <w:t>: gNB can configure 2.56 seconds default broadcasted DRX cycle for those RedCap UEs that need to receive emergency broadcast services and a shorter UE-specific CN and/or RAN paging cycle can be configured for UEs with tighter latency requirements (</w:t>
      </w:r>
      <w:proofErr w:type="gramStart"/>
      <w:r w:rsidRPr="009809EB">
        <w:rPr>
          <w:rFonts w:eastAsia="SimSun"/>
          <w:szCs w:val="20"/>
          <w:lang w:val="en-GB" w:eastAsia="ja-JP"/>
        </w:rPr>
        <w:t>e.g.</w:t>
      </w:r>
      <w:proofErr w:type="gramEnd"/>
      <w:r w:rsidRPr="009809EB">
        <w:rPr>
          <w:rFonts w:eastAsia="SimSun"/>
          <w:szCs w:val="20"/>
          <w:lang w:val="en-GB" w:eastAsia="ja-JP"/>
        </w:rPr>
        <w:t xml:space="preserve"> smartphones).</w:t>
      </w:r>
    </w:p>
    <w:p w14:paraId="44E35124" w14:textId="35EEB615" w:rsidR="005D309F" w:rsidRPr="009809EB" w:rsidRDefault="005D309F" w:rsidP="009809EB">
      <w:pPr>
        <w:ind w:firstLine="420"/>
        <w:rPr>
          <w:rFonts w:eastAsia="SimSun"/>
          <w:szCs w:val="20"/>
          <w:lang w:val="en-GB" w:eastAsia="ja-JP"/>
        </w:rPr>
      </w:pPr>
      <w:r w:rsidRPr="009809EB">
        <w:rPr>
          <w:rFonts w:eastAsia="SimSun"/>
          <w:b/>
          <w:bCs/>
          <w:szCs w:val="20"/>
          <w:lang w:val="en-GB" w:eastAsia="ja-JP"/>
        </w:rPr>
        <w:t xml:space="preserve">Solution </w:t>
      </w:r>
      <w:r>
        <w:rPr>
          <w:rFonts w:eastAsia="SimSun"/>
          <w:b/>
          <w:bCs/>
          <w:szCs w:val="20"/>
          <w:lang w:val="en-GB" w:eastAsia="ja-JP"/>
        </w:rPr>
        <w:t>3 (others)</w:t>
      </w:r>
      <w:r w:rsidRPr="009809EB">
        <w:rPr>
          <w:rFonts w:eastAsia="SimSun"/>
          <w:szCs w:val="20"/>
          <w:lang w:val="en-GB" w:eastAsia="ja-JP"/>
        </w:rPr>
        <w:t xml:space="preserve">: </w:t>
      </w:r>
      <w:r>
        <w:t xml:space="preserve">Other solutions also exist that do not consider the power saving aspects for UEs receiving </w:t>
      </w:r>
      <w:r w:rsidRPr="00C5471F">
        <w:t>emergency broadcast services</w:t>
      </w:r>
      <w:r>
        <w:t xml:space="preserve">. For example, a simple solution is that </w:t>
      </w:r>
      <w:r w:rsidRPr="00700183">
        <w:t>RedCap U</w:t>
      </w:r>
      <w:r>
        <w:t>E</w:t>
      </w:r>
      <w:r w:rsidRPr="00700183">
        <w:t>s</w:t>
      </w:r>
      <w:r>
        <w:t xml:space="preserve"> that need to receive </w:t>
      </w:r>
      <w:r w:rsidRPr="00C5471F">
        <w:t>emergency broadcast services</w:t>
      </w:r>
      <w:r>
        <w:t xml:space="preserve"> do not request to be configured with eDRX, and no specific handling/configuration is required for those UEs. However, such RedCap UEs do not benefit from any specific eDRX power saving. Alternately, a RedCap UE could request an eDRX configuration while still monitoring for ETWS and CMAS</w:t>
      </w:r>
      <w:r w:rsidRPr="00701846">
        <w:t xml:space="preserve"> </w:t>
      </w:r>
      <w:r>
        <w:t>in between the paging occasions.</w:t>
      </w:r>
    </w:p>
    <w:p w14:paraId="26E9E51E" w14:textId="4B9BF5F7" w:rsidR="00C6032C" w:rsidRDefault="00C6032C" w:rsidP="00C6032C"/>
    <w:p w14:paraId="488341B0" w14:textId="1EFC6ED5" w:rsidR="00C6032C" w:rsidRDefault="005D309F" w:rsidP="00C6032C">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Analysis of the solutions</w:t>
      </w:r>
    </w:p>
    <w:p w14:paraId="40678160" w14:textId="5BE255CF" w:rsidR="00F36C68" w:rsidRDefault="00F36C68" w:rsidP="00C6032C">
      <w:r>
        <w:t xml:space="preserve">We would like to start with motivations factors that actually led to the discussion of eDRX and emergency broadcast reception. </w:t>
      </w:r>
    </w:p>
    <w:p w14:paraId="0E9F798B" w14:textId="3F29BB98" w:rsidR="00F36C68" w:rsidRDefault="00F36C68" w:rsidP="00C6032C">
      <w:r w:rsidRPr="00F36C68">
        <w:rPr>
          <w:b/>
          <w:bCs/>
        </w:rPr>
        <w:t xml:space="preserve">eDRX </w:t>
      </w:r>
      <w:proofErr w:type="gramStart"/>
      <w:r w:rsidRPr="00F36C68">
        <w:rPr>
          <w:b/>
          <w:bCs/>
        </w:rPr>
        <w:t>-</w:t>
      </w:r>
      <w:r>
        <w:t xml:space="preserve">  eDRX</w:t>
      </w:r>
      <w:proofErr w:type="gramEnd"/>
      <w:r>
        <w:t xml:space="preserve"> was </w:t>
      </w:r>
      <w:r w:rsidR="009E3EB2">
        <w:t>the main</w:t>
      </w:r>
      <w:r>
        <w:t xml:space="preserve"> power-saving </w:t>
      </w:r>
      <w:r w:rsidR="009E3EB2">
        <w:t>option</w:t>
      </w:r>
      <w:r>
        <w:t xml:space="preserve"> for RedCap UEs and </w:t>
      </w:r>
      <w:r w:rsidR="00C6032C">
        <w:t>the LTE eDRX operation was agreed to be the baseline for NR RedCap devices (for the purpose of power saving in IDLE/INACTIVE)</w:t>
      </w:r>
      <w:r>
        <w:t>.</w:t>
      </w:r>
      <w:r w:rsidR="00271438">
        <w:t xml:space="preserve"> </w:t>
      </w:r>
    </w:p>
    <w:p w14:paraId="67B7C3D1" w14:textId="2E564BCD" w:rsidR="00C6032C" w:rsidRDefault="00F36C68" w:rsidP="00C6032C">
      <w:r w:rsidRPr="00F36C68">
        <w:rPr>
          <w:b/>
          <w:bCs/>
        </w:rPr>
        <w:lastRenderedPageBreak/>
        <w:t>Emergency broadcast reception:</w:t>
      </w:r>
      <w:r>
        <w:t xml:space="preserve"> </w:t>
      </w:r>
      <w:r w:rsidR="00C6032C">
        <w:t xml:space="preserve">Some NR R17 RedCap UEs (for eg., wearables) are not </w:t>
      </w:r>
      <w:r w:rsidR="002F4026">
        <w:t xml:space="preserve">as </w:t>
      </w:r>
      <w:r w:rsidR="00C6032C">
        <w:t>delay tolerant as LTE eDRX devices, and these type of RedCap UEs are expected to receive emergency broadcast while still benefitting from power savings that arise from longer DRX cycles.</w:t>
      </w:r>
      <w:r>
        <w:t xml:space="preserve"> For </w:t>
      </w:r>
      <w:r w:rsidR="009E3EB2">
        <w:t>this type of devices</w:t>
      </w:r>
      <w:r>
        <w:t xml:space="preserve">, power saving is still needed </w:t>
      </w:r>
      <w:r w:rsidR="00FE653E">
        <w:t>even when</w:t>
      </w:r>
      <w:r w:rsidR="009E3EB2">
        <w:t xml:space="preserve"> the</w:t>
      </w:r>
      <w:r>
        <w:t xml:space="preserve"> reception of emergency broadcast is </w:t>
      </w:r>
      <w:r w:rsidR="00FE653E">
        <w:t>a practical usecase</w:t>
      </w:r>
      <w:r>
        <w:t>.</w:t>
      </w:r>
      <w:r w:rsidR="00271438">
        <w:t xml:space="preserve"> The power-saving would be from 2.56DRX operation as explained in [2] [3] [4]. </w:t>
      </w:r>
    </w:p>
    <w:p w14:paraId="030A8CA2" w14:textId="77777777" w:rsidR="00F36C68" w:rsidRDefault="00F36C68" w:rsidP="00F36C68">
      <w:pPr>
        <w:rPr>
          <w:b/>
          <w:bCs/>
        </w:rPr>
      </w:pPr>
    </w:p>
    <w:p w14:paraId="30CFF253" w14:textId="2C1D8832" w:rsidR="00F36C68" w:rsidRDefault="00F36C68" w:rsidP="00C6032C">
      <w:pPr>
        <w:rPr>
          <w:b/>
          <w:bCs/>
        </w:rPr>
      </w:pPr>
      <w:r w:rsidRPr="00E94CEF">
        <w:rPr>
          <w:b/>
          <w:bCs/>
        </w:rPr>
        <w:t xml:space="preserve">Observation 1: </w:t>
      </w:r>
      <w:r>
        <w:rPr>
          <w:b/>
          <w:bCs/>
        </w:rPr>
        <w:t>Some</w:t>
      </w:r>
      <w:r w:rsidRPr="00E94CEF">
        <w:rPr>
          <w:b/>
          <w:bCs/>
        </w:rPr>
        <w:t xml:space="preserve"> RedCap UEs </w:t>
      </w:r>
      <w:r w:rsidRPr="00F36C68">
        <w:rPr>
          <w:b/>
          <w:bCs/>
        </w:rPr>
        <w:t>(for eg., wearables)</w:t>
      </w:r>
      <w:r>
        <w:t xml:space="preserve"> </w:t>
      </w:r>
      <w:r w:rsidRPr="00F36C68">
        <w:rPr>
          <w:b/>
          <w:bCs/>
        </w:rPr>
        <w:t>are expected to receive emergency broadcast while still benefitting from power savings that arise from longer DRX cycles.</w:t>
      </w:r>
    </w:p>
    <w:p w14:paraId="28A187D7" w14:textId="3E24B46E" w:rsidR="00CE2F38" w:rsidRPr="00E94CEF" w:rsidRDefault="00C6032C" w:rsidP="00C6032C">
      <w:pPr>
        <w:rPr>
          <w:b/>
          <w:bCs/>
        </w:rPr>
      </w:pPr>
      <w:r w:rsidRPr="00E94CEF">
        <w:rPr>
          <w:b/>
          <w:bCs/>
        </w:rPr>
        <w:t xml:space="preserve">Observation </w:t>
      </w:r>
      <w:r w:rsidR="00F36C68">
        <w:rPr>
          <w:b/>
          <w:bCs/>
        </w:rPr>
        <w:t>2</w:t>
      </w:r>
      <w:r w:rsidRPr="00E94CEF">
        <w:rPr>
          <w:b/>
          <w:bCs/>
        </w:rPr>
        <w:t xml:space="preserve">: </w:t>
      </w:r>
      <w:r w:rsidR="00DB66AA">
        <w:rPr>
          <w:b/>
          <w:bCs/>
        </w:rPr>
        <w:t>It</w:t>
      </w:r>
      <w:r w:rsidR="00F36C68">
        <w:rPr>
          <w:b/>
          <w:bCs/>
        </w:rPr>
        <w:t xml:space="preserve"> should be </w:t>
      </w:r>
      <w:r w:rsidR="00DB66AA">
        <w:rPr>
          <w:b/>
          <w:bCs/>
        </w:rPr>
        <w:t>possible</w:t>
      </w:r>
      <w:r w:rsidR="00F36C68">
        <w:rPr>
          <w:b/>
          <w:bCs/>
        </w:rPr>
        <w:t xml:space="preserve"> to come up with solutions that address the power saving needs without missing out on the emergency broadcast reception for the wearable</w:t>
      </w:r>
      <w:r w:rsidR="00FE653E">
        <w:rPr>
          <w:b/>
          <w:bCs/>
        </w:rPr>
        <w:t xml:space="preserve"> or vice-versa</w:t>
      </w:r>
      <w:r w:rsidR="00F36C68">
        <w:rPr>
          <w:b/>
          <w:bCs/>
        </w:rPr>
        <w:t>.</w:t>
      </w:r>
    </w:p>
    <w:p w14:paraId="2A6C8B7D" w14:textId="607CDA26" w:rsidR="00C626A1" w:rsidRDefault="00C626A1" w:rsidP="00C6032C">
      <w:r>
        <w:t xml:space="preserve">Solution 1 and Solution 2 are both useful in that both address the EM reception while still allowing the RedCap UE to monitor paging at a longer 2.56sec DRX. As captured in the </w:t>
      </w:r>
      <w:proofErr w:type="gramStart"/>
      <w:r>
        <w:t>TR[</w:t>
      </w:r>
      <w:proofErr w:type="gramEnd"/>
      <w:r>
        <w:t>1], solution 2 is similar to solution 1, but would depend on explicit NW configuration (which also required additional broadcast and dedicated signaling in RAN for RedCap).</w:t>
      </w:r>
    </w:p>
    <w:p w14:paraId="493254F6" w14:textId="1744B816" w:rsidR="00AE4B90" w:rsidRDefault="00AE4B90" w:rsidP="00C6032C">
      <w:r>
        <w:t xml:space="preserve">Solution 1 does not have these additional requirements and in many ways just lowering the eDRX lower bound to 2.56sec. The only open item is about the impact from SI update if RAN paging cycle is shorter than 2.56sec. We discuss this in the next section.  </w:t>
      </w:r>
    </w:p>
    <w:p w14:paraId="188CFA78" w14:textId="4828ED81" w:rsidR="00AE4B90" w:rsidRDefault="00AE4B90" w:rsidP="00AE4B90">
      <w:pPr>
        <w:rPr>
          <w:b/>
          <w:bCs/>
        </w:rPr>
      </w:pPr>
      <w:r w:rsidRPr="00E94CEF">
        <w:rPr>
          <w:b/>
          <w:bCs/>
        </w:rPr>
        <w:t xml:space="preserve">Observation </w:t>
      </w:r>
      <w:r>
        <w:rPr>
          <w:b/>
          <w:bCs/>
        </w:rPr>
        <w:t>3</w:t>
      </w:r>
      <w:r w:rsidRPr="00E94CEF">
        <w:rPr>
          <w:b/>
          <w:bCs/>
        </w:rPr>
        <w:t xml:space="preserve">: </w:t>
      </w:r>
      <w:r>
        <w:rPr>
          <w:b/>
          <w:bCs/>
        </w:rPr>
        <w:t xml:space="preserve">Solution 2 is similar to Solution </w:t>
      </w:r>
      <w:r w:rsidR="00721A88">
        <w:rPr>
          <w:b/>
          <w:bCs/>
        </w:rPr>
        <w:t>1 but</w:t>
      </w:r>
      <w:r>
        <w:rPr>
          <w:b/>
          <w:bCs/>
        </w:rPr>
        <w:t xml:space="preserve"> can carry the requirement/impact of requiring additional broadcast/dedicated signaling in RAN. Solution 1 is simpler and in many ways same as lowering </w:t>
      </w:r>
      <w:r w:rsidRPr="00AE4B90">
        <w:rPr>
          <w:b/>
          <w:bCs/>
        </w:rPr>
        <w:t>the eDRX lower bound to 2.56se</w:t>
      </w:r>
      <w:r>
        <w:rPr>
          <w:b/>
          <w:bCs/>
        </w:rPr>
        <w:t xml:space="preserve">c. </w:t>
      </w:r>
    </w:p>
    <w:p w14:paraId="4256ECBF" w14:textId="652C4561" w:rsidR="00AE4B90" w:rsidRPr="00721A88" w:rsidRDefault="00AE4B90" w:rsidP="00C6032C">
      <w:pPr>
        <w:rPr>
          <w:b/>
          <w:bCs/>
        </w:rPr>
      </w:pPr>
      <w:r>
        <w:rPr>
          <w:b/>
          <w:bCs/>
        </w:rPr>
        <w:t>Observation 4: Both solution 1 and 2 have similar impact on the SI update where the NW has to be aware that additional paging cycle are necessary to reach out to the RedCap UEs compared to leagcay devices, if the default RAN paging cycle is shorter than 2.56sec.</w:t>
      </w:r>
    </w:p>
    <w:p w14:paraId="5AC62A87" w14:textId="45398DFF" w:rsidR="00AE4B90" w:rsidRDefault="00721A88" w:rsidP="00AE4B90">
      <w:r>
        <w:t>If we consider the</w:t>
      </w:r>
      <w:r w:rsidR="00AE4B90">
        <w:t xml:space="preserve"> extend</w:t>
      </w:r>
      <w:r>
        <w:t>ing</w:t>
      </w:r>
      <w:r w:rsidR="00AE4B90">
        <w:t xml:space="preserve"> the lower bound of eDRX for NR RedCap to 2.56sec</w:t>
      </w:r>
      <w:r>
        <w:t xml:space="preserve"> as Solution 1,</w:t>
      </w:r>
      <w:r w:rsidR="00AE4B90">
        <w:t xml:space="preserve"> </w:t>
      </w:r>
      <w:r>
        <w:t>the other methods in Solution-3 are</w:t>
      </w:r>
      <w:r w:rsidR="00AE4B90">
        <w:t xml:space="preserve"> in the direction of choosing reception of emergency broadcast without allowing any power-saving or at the additional cost of intermittent page reception by the UE, although the details are not yet discussed fully.</w:t>
      </w:r>
    </w:p>
    <w:p w14:paraId="7F5A6C75" w14:textId="479F91E6" w:rsidR="00AE4B90" w:rsidRPr="00C626A1" w:rsidRDefault="00AE4B90" w:rsidP="00AE4B90">
      <w:pPr>
        <w:rPr>
          <w:b/>
          <w:bCs/>
        </w:rPr>
      </w:pPr>
      <w:r w:rsidRPr="00C626A1">
        <w:rPr>
          <w:b/>
          <w:bCs/>
        </w:rPr>
        <w:t xml:space="preserve">Observation </w:t>
      </w:r>
      <w:r w:rsidR="00587E32">
        <w:rPr>
          <w:b/>
          <w:bCs/>
        </w:rPr>
        <w:t>5</w:t>
      </w:r>
      <w:r w:rsidRPr="00C626A1">
        <w:rPr>
          <w:b/>
          <w:bCs/>
        </w:rPr>
        <w:t xml:space="preserve">: </w:t>
      </w:r>
      <w:r w:rsidR="00721A88" w:rsidRPr="00721A88">
        <w:rPr>
          <w:b/>
          <w:bCs/>
        </w:rPr>
        <w:t xml:space="preserve">If we consider the extending the lower bound of eDRX for NR RedCap to 2.56sec as Solution 1, </w:t>
      </w:r>
      <w:r w:rsidRPr="00C626A1">
        <w:rPr>
          <w:b/>
          <w:bCs/>
        </w:rPr>
        <w:t>Solution-3 does not handle emergency reception while still saving power for RedCap UEs, and so it does not help with the two objectives of wearable type RedCap UEs.</w:t>
      </w:r>
    </w:p>
    <w:p w14:paraId="79BCCB0A" w14:textId="77777777" w:rsidR="00AE4B90" w:rsidRDefault="00AE4B90" w:rsidP="00C6032C"/>
    <w:p w14:paraId="367274A7" w14:textId="41F2A817" w:rsidR="00553794" w:rsidRPr="00761688" w:rsidRDefault="00553794" w:rsidP="00553794">
      <w:pPr>
        <w:pStyle w:val="Heading2"/>
        <w:numPr>
          <w:ilvl w:val="0"/>
          <w:numId w:val="0"/>
        </w:numPr>
        <w:rPr>
          <w:sz w:val="28"/>
          <w:szCs w:val="28"/>
        </w:rPr>
      </w:pPr>
      <w:r>
        <w:rPr>
          <w:sz w:val="28"/>
          <w:szCs w:val="28"/>
        </w:rPr>
        <w:t>3</w:t>
      </w:r>
      <w:r w:rsidRPr="00761688">
        <w:rPr>
          <w:sz w:val="28"/>
          <w:szCs w:val="28"/>
        </w:rPr>
        <w:t>.</w:t>
      </w:r>
      <w:r>
        <w:rPr>
          <w:sz w:val="28"/>
          <w:szCs w:val="28"/>
        </w:rPr>
        <w:t>1</w:t>
      </w:r>
      <w:r w:rsidRPr="00761688">
        <w:rPr>
          <w:sz w:val="28"/>
          <w:szCs w:val="28"/>
        </w:rPr>
        <w:t xml:space="preserve"> Options for Missed pages for SI update</w:t>
      </w:r>
    </w:p>
    <w:p w14:paraId="414FA505" w14:textId="740BC298" w:rsidR="00553794" w:rsidRDefault="00553794" w:rsidP="0078280D">
      <w:r>
        <w:t>We do understand that UEs operating at longer 2.56DRX may miss the paging intended for emergency broadcast reception</w:t>
      </w:r>
      <w:r w:rsidR="00770B79">
        <w:t xml:space="preserve"> or for other SI change,</w:t>
      </w:r>
      <w:r>
        <w:t xml:space="preserve"> if RAN paging cycle is shorted than 2.56 sec and if solution-1 is used. However, as explained in [2], we think the UE can recover from the remote case where the paging for triggering the reception of emergency </w:t>
      </w:r>
      <w:r w:rsidR="00B1253E">
        <w:t>broadcast</w:t>
      </w:r>
      <w:r>
        <w:t xml:space="preserve"> is missed. </w:t>
      </w:r>
      <w:r w:rsidR="001868CE">
        <w:t>We believe that NW implementations should be able to page the UEs more than once to not run into this scenario often.</w:t>
      </w:r>
    </w:p>
    <w:p w14:paraId="215126F1" w14:textId="1F3047E7" w:rsidR="00553794" w:rsidRDefault="00553794" w:rsidP="00C6032C">
      <w:r>
        <w:t>Based on the above, we propose the following</w:t>
      </w:r>
      <w:r w:rsidR="0078280D">
        <w:t>:</w:t>
      </w:r>
    </w:p>
    <w:p w14:paraId="140D7E69" w14:textId="3C431A9E" w:rsidR="00C626A1" w:rsidRDefault="004F081C" w:rsidP="00C6032C">
      <w:pPr>
        <w:rPr>
          <w:b/>
          <w:bCs/>
        </w:rPr>
      </w:pPr>
      <w:r w:rsidRPr="00271438">
        <w:rPr>
          <w:b/>
          <w:bCs/>
        </w:rPr>
        <w:lastRenderedPageBreak/>
        <w:t xml:space="preserve">Proposal </w:t>
      </w:r>
      <w:r w:rsidR="00B70449">
        <w:rPr>
          <w:b/>
          <w:bCs/>
        </w:rPr>
        <w:t>1</w:t>
      </w:r>
      <w:r w:rsidRPr="00271438">
        <w:rPr>
          <w:b/>
          <w:bCs/>
        </w:rPr>
        <w:t xml:space="preserve">: </w:t>
      </w:r>
      <w:r w:rsidR="0078280D">
        <w:rPr>
          <w:b/>
          <w:bCs/>
        </w:rPr>
        <w:t>RAN2 agree to using Solution 1 from TR 38.875 for RedCap</w:t>
      </w:r>
      <w:r w:rsidR="00587E32">
        <w:rPr>
          <w:b/>
          <w:bCs/>
        </w:rPr>
        <w:t xml:space="preserve"> and</w:t>
      </w:r>
      <w:r w:rsidR="0078280D">
        <w:rPr>
          <w:b/>
          <w:bCs/>
        </w:rPr>
        <w:t xml:space="preserve"> </w:t>
      </w:r>
      <w:r w:rsidR="00587E32">
        <w:rPr>
          <w:b/>
          <w:bCs/>
        </w:rPr>
        <w:t>eDRX lower bound is set to 2.56sec.</w:t>
      </w:r>
    </w:p>
    <w:p w14:paraId="7D32DE2B" w14:textId="3D37ADC0" w:rsidR="0078280D" w:rsidRPr="00271438" w:rsidRDefault="0078280D" w:rsidP="00C6032C">
      <w:pPr>
        <w:rPr>
          <w:b/>
          <w:bCs/>
        </w:rPr>
      </w:pPr>
      <w:r>
        <w:rPr>
          <w:b/>
          <w:bCs/>
        </w:rPr>
        <w:t xml:space="preserve">Proposal 2: </w:t>
      </w:r>
      <w:r w:rsidR="001868CE">
        <w:rPr>
          <w:b/>
          <w:bCs/>
        </w:rPr>
        <w:t>For RedCap UEs that follow 2.56sec DRX cycle, n</w:t>
      </w:r>
      <w:r>
        <w:rPr>
          <w:b/>
          <w:bCs/>
        </w:rPr>
        <w:t xml:space="preserve">o specification changes are needed to handle the potential for missed pages for SI update. </w:t>
      </w:r>
    </w:p>
    <w:p w14:paraId="7FEA7C82" w14:textId="0BE5E720" w:rsidR="00D76C43" w:rsidRDefault="00D76C43" w:rsidP="00D76C43">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Proposals </w:t>
      </w:r>
    </w:p>
    <w:p w14:paraId="481AA431" w14:textId="77777777" w:rsidR="00587E32" w:rsidRPr="00587E32" w:rsidRDefault="00587E32" w:rsidP="00587E32">
      <w:pPr>
        <w:rPr>
          <w:b/>
          <w:bCs/>
        </w:rPr>
      </w:pPr>
      <w:r w:rsidRPr="00587E32">
        <w:rPr>
          <w:b/>
          <w:bCs/>
        </w:rPr>
        <w:t>Observation 1: Some RedCap UEs (for eg., wearables)</w:t>
      </w:r>
      <w:r>
        <w:t xml:space="preserve"> </w:t>
      </w:r>
      <w:r w:rsidRPr="00587E32">
        <w:rPr>
          <w:b/>
          <w:bCs/>
        </w:rPr>
        <w:t>are expected to receive emergency broadcast while still benefitting from power savings that arise from longer DRX cycles.</w:t>
      </w:r>
    </w:p>
    <w:p w14:paraId="4119D1DA" w14:textId="77777777" w:rsidR="00587E32" w:rsidRPr="00587E32" w:rsidRDefault="00587E32" w:rsidP="00587E32">
      <w:pPr>
        <w:rPr>
          <w:b/>
          <w:bCs/>
        </w:rPr>
      </w:pPr>
      <w:r w:rsidRPr="00587E32">
        <w:rPr>
          <w:b/>
          <w:bCs/>
        </w:rPr>
        <w:t>Observation 2: It should be possible to come up with solutions that address the power saving needs without missing out on the emergency broadcast reception for the wearable or vice-versa.</w:t>
      </w:r>
    </w:p>
    <w:p w14:paraId="6DD948DA" w14:textId="77777777" w:rsidR="00587E32" w:rsidRPr="00587E32" w:rsidRDefault="00587E32" w:rsidP="00587E32">
      <w:pPr>
        <w:rPr>
          <w:b/>
          <w:bCs/>
        </w:rPr>
      </w:pPr>
      <w:r w:rsidRPr="00587E32">
        <w:rPr>
          <w:b/>
          <w:bCs/>
        </w:rPr>
        <w:t xml:space="preserve">Observation 3: Solution 2 is similar to Solution 1 but can carry the requirement/impact of requiring additional broadcast/dedicated signaling in RAN. Solution 1 is simpler and in many ways same as lowering the eDRX lower bound to 2.56sec. </w:t>
      </w:r>
    </w:p>
    <w:p w14:paraId="43CCC6BC" w14:textId="77777777" w:rsidR="00587E32" w:rsidRPr="00587E32" w:rsidRDefault="00587E32" w:rsidP="00587E32">
      <w:pPr>
        <w:rPr>
          <w:b/>
          <w:bCs/>
        </w:rPr>
      </w:pPr>
      <w:r w:rsidRPr="00587E32">
        <w:rPr>
          <w:b/>
          <w:bCs/>
        </w:rPr>
        <w:t>Observation 4: Both solution 1 and 2 have similar impact on the SI update where the NW has to be aware that additional paging cycle are necessary to reach out to the RedCap UEs compared to leagcay devices, if the default RAN paging cycle is shorter than 2.56sec.</w:t>
      </w:r>
    </w:p>
    <w:p w14:paraId="345CAE2E" w14:textId="77777777" w:rsidR="00587E32" w:rsidRPr="00587E32" w:rsidRDefault="00587E32" w:rsidP="00587E32">
      <w:pPr>
        <w:rPr>
          <w:b/>
          <w:bCs/>
        </w:rPr>
      </w:pPr>
      <w:r w:rsidRPr="00587E32">
        <w:rPr>
          <w:b/>
          <w:bCs/>
        </w:rPr>
        <w:t>Observation 5: If we consider the extending the lower bound of eDRX for NR RedCap to 2.56sec as Solution 1, Solution-3 does not handle emergency reception while still saving power for RedCap UEs, and so it does not help with the two objectives of wearable type RedCap UEs.</w:t>
      </w:r>
    </w:p>
    <w:p w14:paraId="698C580C" w14:textId="77777777" w:rsidR="00587E32" w:rsidRDefault="00587E32" w:rsidP="001868CE">
      <w:pPr>
        <w:rPr>
          <w:b/>
          <w:bCs/>
        </w:rPr>
      </w:pPr>
    </w:p>
    <w:p w14:paraId="278F1417" w14:textId="77777777" w:rsidR="00587E32" w:rsidRDefault="001868CE" w:rsidP="001868CE">
      <w:pPr>
        <w:rPr>
          <w:b/>
          <w:bCs/>
        </w:rPr>
      </w:pPr>
      <w:r w:rsidRPr="001868CE">
        <w:rPr>
          <w:b/>
          <w:bCs/>
        </w:rPr>
        <w:t xml:space="preserve">Proposal 1: </w:t>
      </w:r>
      <w:r w:rsidR="00587E32">
        <w:rPr>
          <w:b/>
          <w:bCs/>
        </w:rPr>
        <w:t>RAN2 agree to using Solution 1 from TR 38.875 for RedCap and eDRX lower bound is set to 2.56sec.</w:t>
      </w:r>
    </w:p>
    <w:p w14:paraId="54002047" w14:textId="16A08806" w:rsidR="001868CE" w:rsidRPr="001868CE" w:rsidRDefault="001868CE" w:rsidP="001868CE">
      <w:pPr>
        <w:rPr>
          <w:b/>
          <w:bCs/>
        </w:rPr>
      </w:pPr>
      <w:r w:rsidRPr="001868CE">
        <w:rPr>
          <w:b/>
          <w:bCs/>
        </w:rPr>
        <w:t xml:space="preserve">Proposal 2: For RedCap UEs that follow 2.56sec DRX cycle, no specification changes are needed to handle the potential for missed pages for SI update. </w:t>
      </w:r>
    </w:p>
    <w:p w14:paraId="421859AA" w14:textId="77777777" w:rsidR="00170CDB" w:rsidRDefault="00170CDB">
      <w:pPr>
        <w:spacing w:before="156"/>
      </w:pPr>
    </w:p>
    <w:p w14:paraId="3B349FE8" w14:textId="77777777" w:rsidR="00170CDB" w:rsidRDefault="00C76477">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6CE75641" w14:textId="1504ABA5" w:rsidR="00170CDB" w:rsidRDefault="008476E8">
      <w:pPr>
        <w:pStyle w:val="ListParagraph"/>
        <w:numPr>
          <w:ilvl w:val="0"/>
          <w:numId w:val="20"/>
        </w:numPr>
        <w:spacing w:before="156"/>
        <w:rPr>
          <w:sz w:val="22"/>
        </w:rPr>
      </w:pPr>
      <w:r>
        <w:rPr>
          <w:sz w:val="22"/>
        </w:rPr>
        <w:t>R</w:t>
      </w:r>
      <w:r w:rsidR="001C4E3D">
        <w:rPr>
          <w:sz w:val="22"/>
        </w:rPr>
        <w:t>2-2</w:t>
      </w:r>
      <w:r w:rsidR="009B28F7">
        <w:rPr>
          <w:sz w:val="22"/>
        </w:rPr>
        <w:t>20</w:t>
      </w:r>
      <w:r w:rsidR="001C4E3D">
        <w:rPr>
          <w:sz w:val="22"/>
        </w:rPr>
        <w:t>xxxx</w:t>
      </w:r>
      <w:r w:rsidR="00C76477">
        <w:rPr>
          <w:sz w:val="22"/>
        </w:rPr>
        <w:tab/>
      </w:r>
      <w:r w:rsidR="00A24A94">
        <w:rPr>
          <w:sz w:val="22"/>
        </w:rPr>
        <w:t>TR 38.875</w:t>
      </w:r>
    </w:p>
    <w:p w14:paraId="6DC21D04" w14:textId="1FA26B67" w:rsidR="00271438" w:rsidRDefault="00271438">
      <w:pPr>
        <w:pStyle w:val="ListParagraph"/>
        <w:numPr>
          <w:ilvl w:val="0"/>
          <w:numId w:val="20"/>
        </w:numPr>
        <w:spacing w:before="156"/>
        <w:rPr>
          <w:sz w:val="22"/>
        </w:rPr>
      </w:pPr>
      <w:r>
        <w:rPr>
          <w:sz w:val="22"/>
        </w:rPr>
        <w:t>R2-</w:t>
      </w:r>
      <w:r w:rsidRPr="00271438">
        <w:rPr>
          <w:sz w:val="22"/>
        </w:rPr>
        <w:t xml:space="preserve"> 2101460</w:t>
      </w:r>
      <w:r>
        <w:rPr>
          <w:sz w:val="22"/>
        </w:rPr>
        <w:tab/>
      </w:r>
      <w:r w:rsidRPr="00271438">
        <w:rPr>
          <w:sz w:val="22"/>
        </w:rPr>
        <w:t>2.56 sec non-eDRX operation for RedCap</w:t>
      </w:r>
    </w:p>
    <w:p w14:paraId="01E4E6B1" w14:textId="5CC7883B" w:rsidR="00170CDB" w:rsidRDefault="00EA40DD">
      <w:pPr>
        <w:pStyle w:val="ListParagraph"/>
        <w:numPr>
          <w:ilvl w:val="0"/>
          <w:numId w:val="20"/>
        </w:numPr>
        <w:spacing w:before="156"/>
        <w:rPr>
          <w:sz w:val="22"/>
        </w:rPr>
      </w:pPr>
      <w:r>
        <w:rPr>
          <w:sz w:val="22"/>
        </w:rPr>
        <w:t>R1-2008865</w:t>
      </w:r>
      <w:r w:rsidR="00C76477">
        <w:rPr>
          <w:sz w:val="22"/>
        </w:rPr>
        <w:t xml:space="preserve"> </w:t>
      </w:r>
      <w:r w:rsidR="00C76477">
        <w:rPr>
          <w:sz w:val="22"/>
        </w:rPr>
        <w:tab/>
      </w:r>
      <w:r>
        <w:rPr>
          <w:sz w:val="22"/>
        </w:rPr>
        <w:t xml:space="preserve">Ericsson, </w:t>
      </w:r>
      <w:r w:rsidRPr="00EA40DD">
        <w:rPr>
          <w:sz w:val="22"/>
        </w:rPr>
        <w:t>Coverage recovery and capacity impact for RedCap</w:t>
      </w:r>
    </w:p>
    <w:p w14:paraId="69DA9665" w14:textId="3DA8B9A2" w:rsidR="00170CDB" w:rsidRDefault="00EA40DD">
      <w:pPr>
        <w:pStyle w:val="ListParagraph"/>
        <w:numPr>
          <w:ilvl w:val="0"/>
          <w:numId w:val="20"/>
        </w:numPr>
        <w:spacing w:before="156"/>
        <w:rPr>
          <w:sz w:val="22"/>
        </w:rPr>
      </w:pPr>
      <w:r>
        <w:rPr>
          <w:sz w:val="22"/>
        </w:rPr>
        <w:t>R1-2005271</w:t>
      </w:r>
      <w:r>
        <w:rPr>
          <w:sz w:val="22"/>
        </w:rPr>
        <w:tab/>
        <w:t xml:space="preserve">Huawei, HiSilicon </w:t>
      </w:r>
      <w:r w:rsidRPr="00EA40DD">
        <w:rPr>
          <w:bCs/>
          <w:lang w:eastAsia="zh-CN"/>
        </w:rPr>
        <w:t>Functionality for coverage recovery</w:t>
      </w:r>
    </w:p>
    <w:sectPr w:rsidR="00170CDB">
      <w:headerReference w:type="even" r:id="rId14"/>
      <w:headerReference w:type="default" r:id="rId15"/>
      <w:footerReference w:type="even" r:id="rId16"/>
      <w:footerReference w:type="default" r:id="rId17"/>
      <w:headerReference w:type="first" r:id="rId18"/>
      <w:footerReference w:type="first" r:id="rId19"/>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4C7A3" w14:textId="77777777" w:rsidR="00410949" w:rsidRDefault="00410949">
      <w:pPr>
        <w:spacing w:after="0"/>
      </w:pPr>
      <w:r>
        <w:separator/>
      </w:r>
    </w:p>
  </w:endnote>
  <w:endnote w:type="continuationSeparator" w:id="0">
    <w:p w14:paraId="37B9D8A8" w14:textId="77777777" w:rsidR="00410949" w:rsidRDefault="004109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TFangsong">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8133E" w14:textId="77777777" w:rsidR="00170CDB" w:rsidRDefault="00C76477">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1137340D" w14:textId="77777777" w:rsidR="00170CDB" w:rsidRDefault="00170CDB">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37C44" w14:textId="77777777" w:rsidR="00170CDB" w:rsidRDefault="00170CDB">
    <w:pPr>
      <w:pStyle w:val="Footer"/>
      <w:spacing w:before="120"/>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FCE03" w14:textId="77777777" w:rsidR="00170CDB" w:rsidRDefault="00170CDB">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7EE205" w14:textId="77777777" w:rsidR="00410949" w:rsidRDefault="00410949">
      <w:pPr>
        <w:spacing w:after="0"/>
      </w:pPr>
      <w:r>
        <w:separator/>
      </w:r>
    </w:p>
  </w:footnote>
  <w:footnote w:type="continuationSeparator" w:id="0">
    <w:p w14:paraId="14B31548" w14:textId="77777777" w:rsidR="00410949" w:rsidRDefault="004109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A2D69" w14:textId="77777777" w:rsidR="00170CDB" w:rsidRDefault="00170CDB">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0FCF0" w14:textId="77777777" w:rsidR="00170CDB" w:rsidRDefault="00170CDB">
    <w:pPr>
      <w:spacing w:before="120"/>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87265" w14:textId="77777777" w:rsidR="00170CDB" w:rsidRDefault="00170CDB">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6CBA8B"/>
    <w:multiLevelType w:val="singleLevel"/>
    <w:tmpl w:val="8A6CBA8B"/>
    <w:lvl w:ilvl="0">
      <w:start w:val="1"/>
      <w:numFmt w:val="bullet"/>
      <w:lvlText w:val=""/>
      <w:lvlJc w:val="left"/>
      <w:pPr>
        <w:ind w:left="420" w:hanging="420"/>
      </w:pPr>
      <w:rPr>
        <w:rFonts w:ascii="Wingdings" w:hAnsi="Wingdings" w:hint="default"/>
      </w:rPr>
    </w:lvl>
  </w:abstractNum>
  <w:abstractNum w:abstractNumId="1" w15:restartNumberingAfterBreak="0">
    <w:nsid w:val="FC257602"/>
    <w:multiLevelType w:val="singleLevel"/>
    <w:tmpl w:val="FC257602"/>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0FE4FFC"/>
    <w:multiLevelType w:val="hybridMultilevel"/>
    <w:tmpl w:val="821A8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8653A04"/>
    <w:multiLevelType w:val="hybridMultilevel"/>
    <w:tmpl w:val="E0C8F372"/>
    <w:lvl w:ilvl="0" w:tplc="871CC2B4">
      <w:start w:val="1"/>
      <w:numFmt w:val="bullet"/>
      <w:lvlText w:val="-"/>
      <w:lvlJc w:val="left"/>
      <w:pPr>
        <w:ind w:left="830" w:hanging="360"/>
      </w:pPr>
      <w:rPr>
        <w:rFonts w:ascii="Calibri" w:eastAsiaTheme="minorHAnsi" w:hAnsi="Calibri" w:cs="Calibri"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10EF564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7" w15:restartNumberingAfterBreak="0">
    <w:nsid w:val="1F0F3AFD"/>
    <w:multiLevelType w:val="hybridMultilevel"/>
    <w:tmpl w:val="53D6C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7E46B8"/>
    <w:multiLevelType w:val="hybridMultilevel"/>
    <w:tmpl w:val="8A7665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E1228"/>
    <w:multiLevelType w:val="hybridMultilevel"/>
    <w:tmpl w:val="87B4A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72418E"/>
    <w:multiLevelType w:val="multilevel"/>
    <w:tmpl w:val="25724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CE501F"/>
    <w:multiLevelType w:val="hybridMultilevel"/>
    <w:tmpl w:val="0D443D96"/>
    <w:lvl w:ilvl="0" w:tplc="0409000B">
      <w:start w:val="1"/>
      <w:numFmt w:val="bullet"/>
      <w:lvlText w:val=""/>
      <w:lvlJc w:val="left"/>
      <w:pPr>
        <w:ind w:left="823" w:hanging="360"/>
      </w:pPr>
      <w:rPr>
        <w:rFonts w:ascii="Wingdings" w:hAnsi="Wingdings"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ED01CD2"/>
    <w:multiLevelType w:val="hybridMultilevel"/>
    <w:tmpl w:val="CCDCB53E"/>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FE7F3A"/>
    <w:multiLevelType w:val="hybridMultilevel"/>
    <w:tmpl w:val="566AA88C"/>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7E935D4"/>
    <w:multiLevelType w:val="hybridMultilevel"/>
    <w:tmpl w:val="9F7E4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516F57"/>
    <w:multiLevelType w:val="hybridMultilevel"/>
    <w:tmpl w:val="BDBA1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0E578E"/>
    <w:multiLevelType w:val="multilevel"/>
    <w:tmpl w:val="460E578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31798A"/>
    <w:multiLevelType w:val="multilevel"/>
    <w:tmpl w:val="473179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15B5263"/>
    <w:multiLevelType w:val="hybridMultilevel"/>
    <w:tmpl w:val="DF64B0EC"/>
    <w:lvl w:ilvl="0" w:tplc="85907EC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0BE39C"/>
    <w:multiLevelType w:val="singleLevel"/>
    <w:tmpl w:val="5E0BE39C"/>
    <w:lvl w:ilvl="0">
      <w:start w:val="1"/>
      <w:numFmt w:val="bullet"/>
      <w:lvlText w:val=""/>
      <w:lvlJc w:val="left"/>
      <w:pPr>
        <w:ind w:left="420" w:hanging="420"/>
      </w:pPr>
      <w:rPr>
        <w:rFonts w:ascii="Wingdings" w:hAnsi="Wingdings" w:hint="default"/>
      </w:rPr>
    </w:lvl>
  </w:abstractNum>
  <w:abstractNum w:abstractNumId="23" w15:restartNumberingAfterBreak="0">
    <w:nsid w:val="5F6B4FFD"/>
    <w:multiLevelType w:val="hybridMultilevel"/>
    <w:tmpl w:val="CE3C7B3C"/>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FB2E9B"/>
    <w:multiLevelType w:val="hybridMultilevel"/>
    <w:tmpl w:val="4A32D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912758"/>
    <w:multiLevelType w:val="hybridMultilevel"/>
    <w:tmpl w:val="1E84FB64"/>
    <w:lvl w:ilvl="0" w:tplc="483EDD6E">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92266C"/>
    <w:multiLevelType w:val="hybridMultilevel"/>
    <w:tmpl w:val="4D066900"/>
    <w:lvl w:ilvl="0" w:tplc="0409000B">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9"/>
  </w:num>
  <w:num w:numId="3">
    <w:abstractNumId w:val="4"/>
  </w:num>
  <w:num w:numId="4">
    <w:abstractNumId w:val="17"/>
  </w:num>
  <w:num w:numId="5">
    <w:abstractNumId w:val="18"/>
  </w:num>
  <w:num w:numId="6">
    <w:abstractNumId w:val="11"/>
  </w:num>
  <w:num w:numId="7">
    <w:abstractNumId w:val="1"/>
  </w:num>
  <w:num w:numId="8">
    <w:abstractNumId w:val="22"/>
  </w:num>
  <w:num w:numId="9">
    <w:abstractNumId w:val="0"/>
  </w:num>
  <w:num w:numId="10">
    <w:abstractNumId w:val="8"/>
  </w:num>
  <w:num w:numId="11">
    <w:abstractNumId w:val="9"/>
  </w:num>
  <w:num w:numId="12">
    <w:abstractNumId w:val="12"/>
  </w:num>
  <w:num w:numId="13">
    <w:abstractNumId w:val="15"/>
  </w:num>
  <w:num w:numId="14">
    <w:abstractNumId w:val="25"/>
  </w:num>
  <w:num w:numId="15">
    <w:abstractNumId w:val="13"/>
  </w:num>
  <w:num w:numId="16">
    <w:abstractNumId w:val="23"/>
  </w:num>
  <w:num w:numId="17">
    <w:abstractNumId w:val="5"/>
  </w:num>
  <w:num w:numId="18">
    <w:abstractNumId w:val="14"/>
  </w:num>
  <w:num w:numId="19">
    <w:abstractNumId w:val="21"/>
  </w:num>
  <w:num w:numId="20">
    <w:abstractNumId w:val="20"/>
  </w:num>
  <w:num w:numId="21">
    <w:abstractNumId w:val="7"/>
  </w:num>
  <w:num w:numId="22">
    <w:abstractNumId w:val="10"/>
  </w:num>
  <w:num w:numId="23">
    <w:abstractNumId w:val="26"/>
  </w:num>
  <w:num w:numId="24">
    <w:abstractNumId w:val="3"/>
  </w:num>
  <w:num w:numId="25">
    <w:abstractNumId w:val="16"/>
  </w:num>
  <w:num w:numId="26">
    <w:abstractNumId w:val="24"/>
  </w:num>
  <w:num w:numId="27">
    <w:abstractNumId w:val="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
  </w:num>
  <w:num w:numId="31">
    <w:abstractNumId w:val="2"/>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CDB"/>
    <w:rsid w:val="00035CE0"/>
    <w:rsid w:val="00054BF1"/>
    <w:rsid w:val="00056A86"/>
    <w:rsid w:val="00090557"/>
    <w:rsid w:val="000B07BF"/>
    <w:rsid w:val="00170CDB"/>
    <w:rsid w:val="001868CE"/>
    <w:rsid w:val="001A0CD5"/>
    <w:rsid w:val="001A6921"/>
    <w:rsid w:val="001A73DD"/>
    <w:rsid w:val="001B4554"/>
    <w:rsid w:val="001C4E3D"/>
    <w:rsid w:val="001C56FD"/>
    <w:rsid w:val="001E7551"/>
    <w:rsid w:val="00271438"/>
    <w:rsid w:val="00286B08"/>
    <w:rsid w:val="00286D02"/>
    <w:rsid w:val="002927DF"/>
    <w:rsid w:val="002A06AF"/>
    <w:rsid w:val="002D23FD"/>
    <w:rsid w:val="002F4026"/>
    <w:rsid w:val="00315FFF"/>
    <w:rsid w:val="0031652B"/>
    <w:rsid w:val="003202E7"/>
    <w:rsid w:val="00377AD3"/>
    <w:rsid w:val="003B045F"/>
    <w:rsid w:val="003B6F03"/>
    <w:rsid w:val="00410949"/>
    <w:rsid w:val="004131AC"/>
    <w:rsid w:val="00427FAD"/>
    <w:rsid w:val="0046731D"/>
    <w:rsid w:val="0048309B"/>
    <w:rsid w:val="00483F01"/>
    <w:rsid w:val="004C6FB7"/>
    <w:rsid w:val="004E0013"/>
    <w:rsid w:val="004E5FCB"/>
    <w:rsid w:val="004F081C"/>
    <w:rsid w:val="00553794"/>
    <w:rsid w:val="00587E32"/>
    <w:rsid w:val="005A374B"/>
    <w:rsid w:val="005D0D02"/>
    <w:rsid w:val="005D309F"/>
    <w:rsid w:val="005D7AB5"/>
    <w:rsid w:val="006007B9"/>
    <w:rsid w:val="00616C38"/>
    <w:rsid w:val="006B58B3"/>
    <w:rsid w:val="00721A88"/>
    <w:rsid w:val="00756701"/>
    <w:rsid w:val="00761688"/>
    <w:rsid w:val="00770B79"/>
    <w:rsid w:val="0078280D"/>
    <w:rsid w:val="00784092"/>
    <w:rsid w:val="00803196"/>
    <w:rsid w:val="00814A76"/>
    <w:rsid w:val="008437C9"/>
    <w:rsid w:val="008476E8"/>
    <w:rsid w:val="00857BEF"/>
    <w:rsid w:val="008773C0"/>
    <w:rsid w:val="00901D54"/>
    <w:rsid w:val="00923C22"/>
    <w:rsid w:val="009341F8"/>
    <w:rsid w:val="00954E6B"/>
    <w:rsid w:val="00964863"/>
    <w:rsid w:val="009809EB"/>
    <w:rsid w:val="0098328C"/>
    <w:rsid w:val="009B28F7"/>
    <w:rsid w:val="009D7E1C"/>
    <w:rsid w:val="009E3EB2"/>
    <w:rsid w:val="00A10045"/>
    <w:rsid w:val="00A201AB"/>
    <w:rsid w:val="00A24A94"/>
    <w:rsid w:val="00A35127"/>
    <w:rsid w:val="00A5387D"/>
    <w:rsid w:val="00A66DD1"/>
    <w:rsid w:val="00AB5281"/>
    <w:rsid w:val="00AD0C91"/>
    <w:rsid w:val="00AE4B90"/>
    <w:rsid w:val="00AE618D"/>
    <w:rsid w:val="00B1119B"/>
    <w:rsid w:val="00B1253E"/>
    <w:rsid w:val="00B26D97"/>
    <w:rsid w:val="00B3568A"/>
    <w:rsid w:val="00B43A04"/>
    <w:rsid w:val="00B524E6"/>
    <w:rsid w:val="00B67AC3"/>
    <w:rsid w:val="00B70449"/>
    <w:rsid w:val="00BC79BC"/>
    <w:rsid w:val="00BE0CA2"/>
    <w:rsid w:val="00C6032C"/>
    <w:rsid w:val="00C626A1"/>
    <w:rsid w:val="00C74FB5"/>
    <w:rsid w:val="00C76477"/>
    <w:rsid w:val="00C97915"/>
    <w:rsid w:val="00CA1BB3"/>
    <w:rsid w:val="00CB479A"/>
    <w:rsid w:val="00CB5947"/>
    <w:rsid w:val="00CB766E"/>
    <w:rsid w:val="00CD26AF"/>
    <w:rsid w:val="00CE2F38"/>
    <w:rsid w:val="00CF173E"/>
    <w:rsid w:val="00D23AC1"/>
    <w:rsid w:val="00D2627F"/>
    <w:rsid w:val="00D276DE"/>
    <w:rsid w:val="00D5253F"/>
    <w:rsid w:val="00D66979"/>
    <w:rsid w:val="00D740CF"/>
    <w:rsid w:val="00D76C43"/>
    <w:rsid w:val="00DB66AA"/>
    <w:rsid w:val="00E2547F"/>
    <w:rsid w:val="00E94CEF"/>
    <w:rsid w:val="00EA40DD"/>
    <w:rsid w:val="00F129C1"/>
    <w:rsid w:val="00F36C68"/>
    <w:rsid w:val="00F36F60"/>
    <w:rsid w:val="00F81946"/>
    <w:rsid w:val="00F9035F"/>
    <w:rsid w:val="00FC7802"/>
    <w:rsid w:val="00FE217A"/>
    <w:rsid w:val="00FE6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D99E44"/>
  <w15:docId w15:val="{C0749C17-0619-4D06-AFA9-FDB73AF64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uto"/>
      <w:jc w:val="both"/>
    </w:pPr>
    <w:rPr>
      <w:rFonts w:asciiTheme="minorHAnsi" w:eastAsiaTheme="minorEastAsia" w:hAnsiTheme="minorHAnsi"/>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ascii="Arial" w:eastAsia="SimHei" w:hAnsi="Arial"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ascii="Arial" w:eastAsia="MS Mincho" w:hAnsi="Arial"/>
      <w:kern w:val="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SimHei"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jc w:val="center"/>
    </w:pPr>
    <w:rPr>
      <w:rFonts w:ascii="Arial" w:eastAsia="Batang" w:hAnsi="Arial"/>
      <w:b/>
      <w:color w:val="0000FF"/>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rPr>
  </w:style>
  <w:style w:type="paragraph" w:customStyle="1" w:styleId="a5">
    <w:name w:val="示例"/>
    <w:next w:val="a6"/>
    <w:qFormat/>
    <w:pPr>
      <w:widowControl w:val="0"/>
      <w:ind w:left="360" w:hanging="360"/>
      <w:jc w:val="both"/>
    </w:pPr>
    <w:rPr>
      <w:rFonts w:ascii="SimSun" w:eastAsiaTheme="minorEastAsia"/>
      <w:sz w:val="18"/>
      <w:szCs w:val="18"/>
    </w:rPr>
  </w:style>
  <w:style w:type="paragraph" w:customStyle="1" w:styleId="a6">
    <w:name w:val="示例内容"/>
    <w:qFormat/>
    <w:pPr>
      <w:ind w:firstLineChars="200" w:firstLine="200"/>
    </w:pPr>
    <w:rPr>
      <w:rFonts w:ascii="SimSun" w:eastAsiaTheme="minorEastAsia"/>
      <w:sz w:val="18"/>
      <w:szCs w:val="18"/>
    </w:rPr>
  </w:style>
  <w:style w:type="paragraph" w:customStyle="1" w:styleId="a7">
    <w:name w:val="附录数字编号列项（二级）"/>
    <w:qFormat/>
    <w:pPr>
      <w:tabs>
        <w:tab w:val="left" w:pos="363"/>
        <w:tab w:val="left" w:pos="840"/>
      </w:tabs>
      <w:ind w:firstLine="363"/>
    </w:pPr>
    <w:rPr>
      <w:rFonts w:ascii="SimSun"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rPr>
  </w:style>
  <w:style w:type="paragraph" w:customStyle="1" w:styleId="EX">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SimSun"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rPr>
  </w:style>
  <w:style w:type="paragraph" w:customStyle="1" w:styleId="affff0">
    <w:name w:val="附录字母编号列项（一级）"/>
    <w:qFormat/>
    <w:pPr>
      <w:tabs>
        <w:tab w:val="left" w:pos="839"/>
      </w:tabs>
      <w:ind w:firstLine="363"/>
    </w:pPr>
    <w:rPr>
      <w:rFonts w:ascii="SimSun"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rPr>
  </w:style>
  <w:style w:type="paragraph" w:customStyle="1" w:styleId="afffff0">
    <w:name w:val="附录二级无"/>
    <w:basedOn w:val="af6"/>
    <w:qFormat/>
    <w:pPr>
      <w:tabs>
        <w:tab w:val="clear" w:pos="360"/>
      </w:tabs>
      <w:spacing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SimSun"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eastAsia="SimSun" w:hAnsi="Arial"/>
      <w:sz w:val="21"/>
      <w:szCs w:val="22"/>
      <w:lang w:val="en-GB" w:eastAsia="en-US"/>
    </w:rPr>
  </w:style>
  <w:style w:type="paragraph" w:styleId="ListParagraph">
    <w:name w:val="List Paragraph"/>
    <w:basedOn w:val="Normal"/>
    <w:link w:val="ListParagraphChar1"/>
    <w:uiPriority w:val="34"/>
    <w:qFormat/>
    <w:pPr>
      <w:overflowPunct w:val="0"/>
      <w:autoSpaceDE w:val="0"/>
      <w:autoSpaceDN w:val="0"/>
      <w:adjustRightInd w:val="0"/>
      <w:ind w:left="720"/>
      <w:contextualSpacing/>
      <w:textAlignment w:val="baseline"/>
    </w:pPr>
    <w:rPr>
      <w:rFonts w:eastAsia="SimSun"/>
      <w:szCs w:val="20"/>
      <w:lang w:eastAsia="ja-JP"/>
    </w:rPr>
  </w:style>
  <w:style w:type="character" w:customStyle="1" w:styleId="Heading5Char1">
    <w:name w:val="Heading 5 Char1"/>
    <w:basedOn w:val="DefaultParagraphFont"/>
    <w:link w:val="Heading5"/>
    <w:qFormat/>
    <w:rPr>
      <w:rFonts w:ascii="Arial" w:eastAsia="SimHei" w:hAnsi="Arial"/>
      <w:b/>
      <w:bCs/>
      <w:sz w:val="28"/>
      <w:szCs w:val="32"/>
      <w:lang w:val="en-GB"/>
    </w:rPr>
  </w:style>
  <w:style w:type="character" w:customStyle="1" w:styleId="Heading4Char1">
    <w:name w:val="Heading 4 Char1"/>
    <w:basedOn w:val="DefaultParagraphFont"/>
    <w:link w:val="Heading4"/>
    <w:qFormat/>
    <w:rPr>
      <w:rFonts w:ascii="Arial" w:eastAsia="SimHei"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ListParagraphChar1">
    <w:name w:val="List Paragraph Char1"/>
    <w:link w:val="ListParagraph"/>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qFormat/>
    <w:locked/>
    <w:rPr>
      <w:rFonts w:ascii="Arial" w:eastAsia="MS Mincho"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7382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6edeb28be6eed21f245e3b635dd71ca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113df49d0f428294558fa3c99d4e716e"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E0E31C-D419-40CE-89A6-CC77FAE500B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CCDE9B2-0EDE-4613-B859-7CFEE6ED7FC8}">
  <ds:schemaRefs>
    <ds:schemaRef ds:uri="http://schemas.microsoft.com/sharepoint/v3/contenttype/forms"/>
  </ds:schemaRefs>
</ds:datastoreItem>
</file>

<file path=customXml/itemProps4.xml><?xml version="1.0" encoding="utf-8"?>
<ds:datastoreItem xmlns:ds="http://schemas.openxmlformats.org/officeDocument/2006/customXml" ds:itemID="{0A2F1887-7EE5-4EEE-812C-791A9D40DCD7}">
  <ds:schemaRefs>
    <ds:schemaRef ds:uri="Microsoft.SharePoint.Taxonomy.ContentTypeSync"/>
  </ds:schemaRefs>
</ds:datastoreItem>
</file>

<file path=customXml/itemProps5.xml><?xml version="1.0" encoding="utf-8"?>
<ds:datastoreItem xmlns:ds="http://schemas.openxmlformats.org/officeDocument/2006/customXml" ds:itemID="{507004EA-0EA2-4788-8A12-3FA5CE96EB9A}">
  <ds:schemaRefs>
    <ds:schemaRef ds:uri="http://schemas.microsoft.com/sharepoint/events"/>
  </ds:schemaRefs>
</ds:datastoreItem>
</file>

<file path=customXml/itemProps6.xml><?xml version="1.0" encoding="utf-8"?>
<ds:datastoreItem xmlns:ds="http://schemas.openxmlformats.org/officeDocument/2006/customXml" ds:itemID="{076A7B83-241B-4813-90A5-A73B293A7846}">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2C59942D-67F0-4028-896F-0A5C83002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3</Pages>
  <Words>1097</Words>
  <Characters>6259</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Apple - Naveen Palle</cp:lastModifiedBy>
  <cp:revision>91</cp:revision>
  <cp:lastPrinted>2113-01-01T00:00:00Z</cp:lastPrinted>
  <dcterms:created xsi:type="dcterms:W3CDTF">2021-01-12T18:39:00Z</dcterms:created>
  <dcterms:modified xsi:type="dcterms:W3CDTF">2021-04-01T19:17:00Z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y fmtid="{D5CDD505-2E9C-101B-9397-08002B2CF9AE}" pid="3" name="ContentTypeId">
    <vt:lpwstr>0x010100BB1698D62D3F4345A12A6B71F8F8D7FE</vt:lpwstr>
  </property>
  <property fmtid="{D5CDD505-2E9C-101B-9397-08002B2CF9AE}" pid="4" name="_2015_ms_pID_725343">
    <vt:lpwstr>(3)JfBnaIVLrFyi9DcUCEPx7Ho6iLhu2kQNgs1NWuN0syfV5VxM+dGe5yYy61gTbfJhyf8SdtTW
beRJ0Z9iiT9TIKnznxcE8NmVUNvlbRQI1DFB2Hb1WGrAVDnehM6Mj6Kvs5bPqVDHttrwEMqK
5dJhShM+/Bhze+t1oz+JI9AO/L/vxGgOUYT2PP+8XI3fhmOyoHCa4410DpXHK+RpECw1IlCR
mWzWkxtM3oKxNqJJ6i</vt:lpwstr>
  </property>
  <property fmtid="{D5CDD505-2E9C-101B-9397-08002B2CF9AE}" pid="5" name="_2015_ms_pID_7253431">
    <vt:lpwstr>c/aYAGKEhZcWuIxw6R00ORXPLvVRtH15svRODWJKngzXTUB0YFzdfL
Jt/lvXfsZYhCJRIZJ3yKn0oviF/Vs/WNM0xtmAWkUuolXI+oHAWJpcKnGEu2ppXy7dz5cdJN
1N3Lc5YOLO3VnSy5dZqIDWns5MgU4kGHMIUXCVXYEeunXZQ4Lw3UYPO/4Og7ieNrtWA+am5Q
t/jJ1I0i1BKZWJ9eBss4sdE6HV2WfUl6HFZD</vt:lpwstr>
  </property>
  <property fmtid="{D5CDD505-2E9C-101B-9397-08002B2CF9AE}" pid="6" name="_2015_ms_pID_7253432">
    <vt:lpwstr>jKC/vOdDUAQIMLA+15VNkgc=</vt:lpwstr>
  </property>
  <property fmtid="{D5CDD505-2E9C-101B-9397-08002B2CF9AE}" pid="7" name="HideFromDelve">
    <vt:lpwstr>0</vt:lpwstr>
  </property>
  <property fmtid="{D5CDD505-2E9C-101B-9397-08002B2CF9AE}" pid="8" name="NSCPROP_SA">
    <vt:lpwstr>C:\Users\jack.jang\Desktop\R2-20xxxxx -[Post112-e][061][NR15] Configuration of First Active BWP-v0.docx</vt:lpwstr>
  </property>
</Properties>
</file>