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35386" w14:textId="1CC6B3CC" w:rsidR="0085236D" w:rsidRPr="00253F9C" w:rsidRDefault="0085236D" w:rsidP="0085236D">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53F9C">
        <w:rPr>
          <w:rFonts w:asciiTheme="minorHAnsi" w:eastAsia="MS Mincho" w:hAnsiTheme="minorHAnsi" w:cstheme="minorHAnsi"/>
          <w:sz w:val="24"/>
          <w:szCs w:val="24"/>
          <w:lang w:val="en-US" w:eastAsia="en-US"/>
        </w:rPr>
        <w:t xml:space="preserve">3GPP TSG RAN WG2 Meeting# 113bis </w:t>
      </w:r>
      <w:r w:rsidRPr="00253F9C">
        <w:rPr>
          <w:rFonts w:asciiTheme="minorHAnsi" w:hAnsiTheme="minorHAnsi" w:cstheme="minorHAnsi"/>
          <w:sz w:val="24"/>
          <w:szCs w:val="24"/>
        </w:rPr>
        <w:t>electronic</w:t>
      </w:r>
      <w:r w:rsidRPr="00253F9C">
        <w:rPr>
          <w:rFonts w:asciiTheme="minorHAnsi" w:eastAsia="MS Mincho" w:hAnsiTheme="minorHAnsi" w:cstheme="minorHAnsi"/>
          <w:sz w:val="24"/>
          <w:szCs w:val="24"/>
          <w:lang w:val="en-US" w:eastAsia="en-US"/>
        </w:rPr>
        <w:t xml:space="preserve">   </w:t>
      </w:r>
      <w:r w:rsidRPr="00253F9C">
        <w:rPr>
          <w:rFonts w:asciiTheme="minorHAnsi" w:eastAsia="MS Mincho" w:hAnsiTheme="minorHAnsi" w:cstheme="minorHAnsi"/>
          <w:sz w:val="24"/>
          <w:szCs w:val="24"/>
          <w:lang w:val="en-US" w:eastAsia="en-US"/>
        </w:rPr>
        <w:tab/>
        <w:t xml:space="preserve">                            R2-210</w:t>
      </w:r>
      <w:r w:rsidR="00FA25EE">
        <w:rPr>
          <w:rFonts w:asciiTheme="minorHAnsi" w:eastAsia="MS Mincho" w:hAnsiTheme="minorHAnsi" w:cstheme="minorHAnsi"/>
          <w:sz w:val="24"/>
          <w:szCs w:val="24"/>
          <w:lang w:val="en-US" w:eastAsia="en-US"/>
        </w:rPr>
        <w:t>3543</w:t>
      </w:r>
    </w:p>
    <w:p w14:paraId="446C55B5" w14:textId="5C0821E1" w:rsidR="00515691" w:rsidRPr="00CB6DF0" w:rsidRDefault="0085236D" w:rsidP="0085236D">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 xml:space="preserve">Online, </w:t>
      </w:r>
      <w:r w:rsidRPr="00253F9C">
        <w:rPr>
          <w:rFonts w:asciiTheme="minorHAnsi" w:hAnsiTheme="minorHAnsi" w:cstheme="minorHAnsi"/>
          <w:sz w:val="24"/>
          <w:szCs w:val="24"/>
        </w:rPr>
        <w:t>April 12 – April 20, 2021</w:t>
      </w:r>
      <w:r w:rsidRPr="00253F9C">
        <w:rPr>
          <w:rFonts w:asciiTheme="minorHAnsi" w:eastAsia="MS Mincho" w:hAnsiTheme="minorHAnsi" w:cstheme="minorHAnsi"/>
          <w:sz w:val="24"/>
          <w:szCs w:val="24"/>
          <w:lang w:val="en-US" w:eastAsia="en-US"/>
        </w:rPr>
        <w:tab/>
      </w:r>
      <w:r>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39CB2843"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8.1</w:t>
      </w:r>
      <w:r w:rsidR="0085236D">
        <w:rPr>
          <w:rFonts w:ascii="Calibri" w:eastAsia="MS Mincho" w:hAnsi="Calibri" w:cs="Calibri"/>
          <w:b/>
          <w:sz w:val="24"/>
          <w:lang w:val="en-US" w:eastAsia="en-US"/>
        </w:rPr>
        <w:t>.2.2</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046B8EA2"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85236D">
        <w:rPr>
          <w:rFonts w:ascii="Calibri" w:eastAsia="MS Mincho" w:hAnsi="Calibri" w:cs="Calibri"/>
          <w:b/>
          <w:sz w:val="24"/>
          <w:lang w:val="en-US" w:eastAsia="en-US"/>
        </w:rPr>
        <w:t>MRB and DRB configuration</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2C6A29CB" w14:textId="53D73C60" w:rsidR="00503C73" w:rsidRDefault="00503C73" w:rsidP="007711C0">
      <w:r>
        <w:t xml:space="preserve">In this contribution we discuss </w:t>
      </w:r>
      <w:r w:rsidR="002402A3">
        <w:t xml:space="preserve">the need for </w:t>
      </w:r>
      <w:r w:rsidR="000A44E1">
        <w:t xml:space="preserve">separate MRB and DRB configuration for PTP/unicast delivery. </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73AB06E0" w14:textId="5A99C401" w:rsidR="00CA301B" w:rsidRDefault="00183FED" w:rsidP="00503C73">
      <w:r>
        <w:t>Two options</w:t>
      </w:r>
      <w:r w:rsidR="00E22C48">
        <w:t>, split bearer and DRB type,</w:t>
      </w:r>
      <w:r>
        <w:t xml:space="preserve"> were discussed in the e</w:t>
      </w:r>
      <w:r w:rsidR="00CA301B">
        <w:t>mail disc</w:t>
      </w:r>
      <w:r>
        <w:t xml:space="preserve"> [2]:</w:t>
      </w:r>
    </w:p>
    <w:tbl>
      <w:tblPr>
        <w:tblStyle w:val="TableGrid"/>
        <w:tblW w:w="0" w:type="auto"/>
        <w:tblLook w:val="04A0" w:firstRow="1" w:lastRow="0" w:firstColumn="1" w:lastColumn="0" w:noHBand="0" w:noVBand="1"/>
      </w:tblPr>
      <w:tblGrid>
        <w:gridCol w:w="9631"/>
      </w:tblGrid>
      <w:tr w:rsidR="00183FED" w14:paraId="4734567F" w14:textId="77777777" w:rsidTr="00183FED">
        <w:tc>
          <w:tcPr>
            <w:tcW w:w="9631" w:type="dxa"/>
          </w:tcPr>
          <w:p w14:paraId="3DE727C5" w14:textId="77777777" w:rsidR="00183FED" w:rsidRDefault="00183FED" w:rsidP="00183FED">
            <w:pPr>
              <w:pStyle w:val="BodyText"/>
            </w:pPr>
            <w:r>
              <w:t>In addition to a common PDCP entity, R2-2101373 and R2-2101605 proposes to also support an alternative for where separate PDCP entities are used. In here, the MBS session can be configured with separate DRBs (PDCP entities) for which SDAP maps the QoS Flows for the MBS session to DRB. This alternative either does not support PDCP reordering/SN synchronization duplicate detection between DRBs (between PDCP entities), and may need new functionality in SDAP [R2-2101605]. The PTM/PTP switching is performed through e.g RRC signalling.</w:t>
            </w:r>
          </w:p>
          <w:p w14:paraId="67ED7E0A" w14:textId="77777777" w:rsidR="00183FED" w:rsidRDefault="00183FED" w:rsidP="00183FED">
            <w:pPr>
              <w:pStyle w:val="TH"/>
            </w:pPr>
            <w:r>
              <w:rPr>
                <w:noProof/>
              </w:rPr>
              <w:drawing>
                <wp:inline distT="0" distB="0" distL="0" distR="0" wp14:anchorId="56B057B9" wp14:editId="462232EB">
                  <wp:extent cx="2921000" cy="2832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0" cy="2832100"/>
                          </a:xfrm>
                          <a:prstGeom prst="rect">
                            <a:avLst/>
                          </a:prstGeom>
                          <a:noFill/>
                          <a:ln>
                            <a:noFill/>
                          </a:ln>
                        </pic:spPr>
                      </pic:pic>
                    </a:graphicData>
                  </a:graphic>
                </wp:inline>
              </w:drawing>
            </w:r>
          </w:p>
          <w:p w14:paraId="1D093ECB" w14:textId="77777777" w:rsidR="00183FED" w:rsidRDefault="00183FED" w:rsidP="00183FED">
            <w:pPr>
              <w:pStyle w:val="BodyText"/>
            </w:pPr>
            <w:r>
              <w:t>In summary, the options at hand for the bearer types supporting dynamic switch are:</w:t>
            </w:r>
          </w:p>
          <w:p w14:paraId="06BAC093" w14:textId="77777777" w:rsidR="00183FED" w:rsidRDefault="00183FED" w:rsidP="00183FED">
            <w:pPr>
              <w:pStyle w:val="B1"/>
              <w:rPr>
                <w:rFonts w:ascii="Arial" w:hAnsi="Arial" w:cs="Arial"/>
              </w:rPr>
            </w:pPr>
            <w:r>
              <w:rPr>
                <w:rFonts w:ascii="Arial" w:hAnsi="Arial" w:cs="Arial"/>
              </w:rPr>
              <w:t>1.</w:t>
            </w:r>
            <w:r>
              <w:rPr>
                <w:rFonts w:ascii="Arial" w:hAnsi="Arial" w:cs="Arial"/>
              </w:rPr>
              <w:tab/>
              <w:t>A split bearer (type) with a common (single) PDCP entity;</w:t>
            </w:r>
          </w:p>
          <w:p w14:paraId="457A7E2D" w14:textId="77777777" w:rsidR="00183FED" w:rsidRDefault="00183FED" w:rsidP="00183FED">
            <w:pPr>
              <w:pStyle w:val="B1"/>
              <w:rPr>
                <w:rFonts w:ascii="Arial" w:hAnsi="Arial" w:cs="Arial"/>
              </w:rPr>
            </w:pPr>
            <w:r>
              <w:rPr>
                <w:rFonts w:ascii="Arial" w:hAnsi="Arial" w:cs="Arial"/>
              </w:rPr>
              <w:t>2.</w:t>
            </w:r>
            <w:r>
              <w:rPr>
                <w:rFonts w:ascii="Arial" w:hAnsi="Arial" w:cs="Arial"/>
              </w:rPr>
              <w:tab/>
              <w:t>In addition to 1, a DRB (type) of configuration with separate (per DRB) PDCP entities is supported.</w:t>
            </w:r>
          </w:p>
          <w:p w14:paraId="21F4CB9F" w14:textId="29082BA0" w:rsidR="00183FED" w:rsidRDefault="00183FED" w:rsidP="00183FED">
            <w:pPr>
              <w:pStyle w:val="B1"/>
            </w:pPr>
            <w:r w:rsidRPr="00221C2E">
              <w:rPr>
                <w:rFonts w:ascii="Arial" w:hAnsi="Arial" w:cs="Arial"/>
              </w:rPr>
              <w:t>If needed for relevance to company input, please include assumption on MAC (single/separate entity) in responses for the discussion</w:t>
            </w:r>
          </w:p>
        </w:tc>
      </w:tr>
    </w:tbl>
    <w:p w14:paraId="26ED2CD3" w14:textId="397E7331" w:rsidR="00CA301B" w:rsidRDefault="00CA301B" w:rsidP="00503C73"/>
    <w:p w14:paraId="4315DF04" w14:textId="20F69027" w:rsidR="00183FED" w:rsidRDefault="00183FED" w:rsidP="00503C73"/>
    <w:p w14:paraId="1C2CB4B4" w14:textId="7A1D29E4" w:rsidR="00441294" w:rsidRDefault="00441294" w:rsidP="00503C73"/>
    <w:tbl>
      <w:tblPr>
        <w:tblStyle w:val="TableGrid"/>
        <w:tblW w:w="0" w:type="auto"/>
        <w:tblLook w:val="04A0" w:firstRow="1" w:lastRow="0" w:firstColumn="1" w:lastColumn="0" w:noHBand="0" w:noVBand="1"/>
      </w:tblPr>
      <w:tblGrid>
        <w:gridCol w:w="9631"/>
      </w:tblGrid>
      <w:tr w:rsidR="00707089" w14:paraId="7F48A9EF" w14:textId="77777777" w:rsidTr="00707089">
        <w:tc>
          <w:tcPr>
            <w:tcW w:w="9631" w:type="dxa"/>
          </w:tcPr>
          <w:p w14:paraId="34AB4B91" w14:textId="55FB8212" w:rsidR="00707089" w:rsidRDefault="00707089" w:rsidP="00707089">
            <w:pPr>
              <w:rPr>
                <w:lang w:val="en-US"/>
              </w:rPr>
            </w:pPr>
            <w:r>
              <w:rPr>
                <w:lang w:val="en-US"/>
              </w:rPr>
              <w:t>RRC procedure agreed in RAN2#113e:</w:t>
            </w:r>
          </w:p>
          <w:p w14:paraId="2A7ED65D" w14:textId="77777777" w:rsidR="00707089" w:rsidRDefault="00707089" w:rsidP="00707089">
            <w:pPr>
              <w:rPr>
                <w:lang w:val="en-US"/>
              </w:rPr>
            </w:pPr>
          </w:p>
          <w:p w14:paraId="5EF27BB6" w14:textId="77777777" w:rsidR="00707089" w:rsidRDefault="00707089" w:rsidP="00707089">
            <w:pPr>
              <w:rPr>
                <w:noProof/>
              </w:rPr>
            </w:pPr>
            <w:r>
              <w:rPr>
                <w:noProof/>
              </w:rPr>
              <w:object w:dxaOrig="4989" w:dyaOrig="3686" w14:anchorId="405FC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9.85pt;height:183.75pt;mso-width-percent:0;mso-height-percent:0;mso-width-percent:0;mso-height-percent:0" o:ole="">
                  <v:imagedata r:id="rId9" o:title=""/>
                </v:shape>
                <o:OLEObject Type="Embed" ProgID="Mscgen.Chart" ShapeID="_x0000_i1025" DrawAspect="Content" ObjectID="_1678797365" r:id="rId10"/>
              </w:object>
            </w:r>
          </w:p>
          <w:p w14:paraId="0463AF4C" w14:textId="77777777" w:rsidR="00707089" w:rsidRDefault="00707089" w:rsidP="00503C73">
            <w:pPr>
              <w:rPr>
                <w:lang w:val="en-US"/>
              </w:rPr>
            </w:pPr>
          </w:p>
        </w:tc>
      </w:tr>
    </w:tbl>
    <w:p w14:paraId="6568B72F" w14:textId="7D486335" w:rsidR="00441294" w:rsidRDefault="00441294" w:rsidP="00503C73">
      <w:pPr>
        <w:rPr>
          <w:lang w:val="en-US"/>
        </w:rPr>
      </w:pPr>
    </w:p>
    <w:p w14:paraId="22A1C670" w14:textId="694FBC23" w:rsidR="009C7AAE" w:rsidRDefault="00E22C48" w:rsidP="009C7AAE">
      <w:pPr>
        <w:rPr>
          <w:noProof/>
        </w:rPr>
      </w:pPr>
      <w:r>
        <w:rPr>
          <w:noProof/>
        </w:rPr>
        <w:t xml:space="preserve">The agreed RRC procedure above allows UE to monitor both G-RNTI and C-RNTI (step 2). </w:t>
      </w:r>
      <w:r w:rsidR="009C7AAE">
        <w:rPr>
          <w:noProof/>
        </w:rPr>
        <w:t xml:space="preserve">RAN2 has </w:t>
      </w:r>
      <w:r w:rsidR="00B42151">
        <w:rPr>
          <w:noProof/>
        </w:rPr>
        <w:t xml:space="preserve">already </w:t>
      </w:r>
      <w:r w:rsidR="009C7AAE">
        <w:rPr>
          <w:noProof/>
        </w:rPr>
        <w:t xml:space="preserve">agreed some form of dynamic switching based on the agreement below </w:t>
      </w:r>
      <w:r w:rsidR="00961521">
        <w:rPr>
          <w:noProof/>
        </w:rPr>
        <w:t xml:space="preserve">from RAN2#113e </w:t>
      </w:r>
      <w:r w:rsidR="009C7AAE">
        <w:rPr>
          <w:noProof/>
        </w:rPr>
        <w:t xml:space="preserve">whereby there is a common PDCP and switching will take place between PTP and PTM mode.  </w:t>
      </w:r>
    </w:p>
    <w:tbl>
      <w:tblPr>
        <w:tblStyle w:val="TableGrid"/>
        <w:tblW w:w="0" w:type="auto"/>
        <w:tblLook w:val="04A0" w:firstRow="1" w:lastRow="0" w:firstColumn="1" w:lastColumn="0" w:noHBand="0" w:noVBand="1"/>
      </w:tblPr>
      <w:tblGrid>
        <w:gridCol w:w="9631"/>
      </w:tblGrid>
      <w:tr w:rsidR="009C7AAE" w14:paraId="3431E794" w14:textId="77777777" w:rsidTr="003703A2">
        <w:tc>
          <w:tcPr>
            <w:tcW w:w="9631" w:type="dxa"/>
          </w:tcPr>
          <w:p w14:paraId="33468A3C" w14:textId="77777777" w:rsidR="009C7AAE" w:rsidRDefault="009C7AAE" w:rsidP="003703A2">
            <w:pPr>
              <w:pStyle w:val="ListParagraph"/>
              <w:numPr>
                <w:ilvl w:val="0"/>
                <w:numId w:val="14"/>
              </w:numPr>
              <w:rPr>
                <w:noProof/>
              </w:rPr>
            </w:pPr>
            <w:r w:rsidRPr="008341AC">
              <w:rPr>
                <w:noProof/>
              </w:rPr>
              <w:t>For the case that both PTM and PTP are RLC-UM, configuration with No L2 ARQ and with PDCP anchored PTM – PTP switching shall be supported (e.g. for services that would typically be configured with RLC UM for unicast).</w:t>
            </w:r>
          </w:p>
        </w:tc>
      </w:tr>
    </w:tbl>
    <w:p w14:paraId="4A78C874" w14:textId="3DF54CAF" w:rsidR="009C7AAE" w:rsidRDefault="009C7AAE" w:rsidP="00503C73">
      <w:pPr>
        <w:rPr>
          <w:noProof/>
        </w:rPr>
      </w:pPr>
    </w:p>
    <w:p w14:paraId="28768A31" w14:textId="743B6B3D" w:rsidR="00707089" w:rsidRDefault="009C7AAE" w:rsidP="00503C73">
      <w:pPr>
        <w:rPr>
          <w:noProof/>
        </w:rPr>
      </w:pPr>
      <w:r>
        <w:rPr>
          <w:noProof/>
        </w:rPr>
        <w:t>So, i</w:t>
      </w:r>
      <w:r w:rsidR="00707089">
        <w:rPr>
          <w:noProof/>
        </w:rPr>
        <w:t xml:space="preserve">n our understanding, we should separate the discussion into three </w:t>
      </w:r>
      <w:r w:rsidR="00E22C48">
        <w:rPr>
          <w:noProof/>
        </w:rPr>
        <w:t xml:space="preserve">different </w:t>
      </w:r>
      <w:r w:rsidR="00707089">
        <w:rPr>
          <w:noProof/>
        </w:rPr>
        <w:t>options:</w:t>
      </w:r>
    </w:p>
    <w:p w14:paraId="2BC1B9C6" w14:textId="78BF2ED2" w:rsidR="00707089" w:rsidRDefault="00707089" w:rsidP="00707089">
      <w:pPr>
        <w:pStyle w:val="ListParagraph"/>
        <w:numPr>
          <w:ilvl w:val="0"/>
          <w:numId w:val="13"/>
        </w:numPr>
        <w:rPr>
          <w:noProof/>
        </w:rPr>
      </w:pPr>
      <w:r>
        <w:rPr>
          <w:noProof/>
        </w:rPr>
        <w:t>MBS delivery via PTP</w:t>
      </w:r>
      <w:r w:rsidR="00D2366D">
        <w:rPr>
          <w:noProof/>
        </w:rPr>
        <w:t>: Common PDCP shared with PTM</w:t>
      </w:r>
    </w:p>
    <w:p w14:paraId="29CBDD11" w14:textId="42EB0573" w:rsidR="00707089" w:rsidRDefault="00707089" w:rsidP="00707089">
      <w:pPr>
        <w:pStyle w:val="ListParagraph"/>
        <w:numPr>
          <w:ilvl w:val="0"/>
          <w:numId w:val="13"/>
        </w:numPr>
        <w:rPr>
          <w:noProof/>
        </w:rPr>
      </w:pPr>
      <w:r>
        <w:rPr>
          <w:noProof/>
        </w:rPr>
        <w:t>MBS delivery via PTM</w:t>
      </w:r>
      <w:r w:rsidR="00D2366D">
        <w:rPr>
          <w:noProof/>
        </w:rPr>
        <w:t>: Common PDCP shared with PTP</w:t>
      </w:r>
    </w:p>
    <w:p w14:paraId="61D395BA" w14:textId="4AD3864C" w:rsidR="00707089" w:rsidRDefault="00707089" w:rsidP="00707089">
      <w:pPr>
        <w:pStyle w:val="ListParagraph"/>
        <w:numPr>
          <w:ilvl w:val="0"/>
          <w:numId w:val="13"/>
        </w:numPr>
        <w:rPr>
          <w:noProof/>
        </w:rPr>
      </w:pPr>
      <w:r>
        <w:rPr>
          <w:noProof/>
        </w:rPr>
        <w:t>MBS delivery via DRB</w:t>
      </w:r>
      <w:r w:rsidR="00D2366D">
        <w:rPr>
          <w:noProof/>
        </w:rPr>
        <w:t>: independent PDCP (aka unicast)</w:t>
      </w:r>
    </w:p>
    <w:p w14:paraId="5A860CD7" w14:textId="1F5B6DAB" w:rsidR="008341AC" w:rsidRDefault="00707089" w:rsidP="00503C73">
      <w:pPr>
        <w:rPr>
          <w:noProof/>
        </w:rPr>
      </w:pPr>
      <w:r>
        <w:rPr>
          <w:noProof/>
        </w:rPr>
        <w:t xml:space="preserve">MBS delivery via PTP </w:t>
      </w:r>
      <w:r w:rsidR="003F241C">
        <w:rPr>
          <w:noProof/>
        </w:rPr>
        <w:t xml:space="preserve">may or may not </w:t>
      </w:r>
      <w:r w:rsidR="009C7AAE">
        <w:rPr>
          <w:noProof/>
        </w:rPr>
        <w:t>have a</w:t>
      </w:r>
      <w:r w:rsidR="003F241C">
        <w:rPr>
          <w:noProof/>
        </w:rPr>
        <w:t xml:space="preserve"> split bearer architecture </w:t>
      </w:r>
      <w:r w:rsidR="009C7AAE">
        <w:rPr>
          <w:noProof/>
        </w:rPr>
        <w:t>but</w:t>
      </w:r>
      <w:r w:rsidR="003F241C">
        <w:rPr>
          <w:noProof/>
        </w:rPr>
        <w:t xml:space="preserve"> </w:t>
      </w:r>
      <w:r>
        <w:rPr>
          <w:noProof/>
        </w:rPr>
        <w:t>is different from MBS delivery via DRB</w:t>
      </w:r>
      <w:r w:rsidR="003F241C">
        <w:rPr>
          <w:noProof/>
        </w:rPr>
        <w:t xml:space="preserve"> (unicast)</w:t>
      </w:r>
      <w:r>
        <w:rPr>
          <w:noProof/>
        </w:rPr>
        <w:t xml:space="preserve">. </w:t>
      </w:r>
      <w:r w:rsidR="001635B3">
        <w:rPr>
          <w:noProof/>
        </w:rPr>
        <w:t xml:space="preserve">The main common factor between </w:t>
      </w:r>
      <w:r w:rsidR="003F241C">
        <w:rPr>
          <w:noProof/>
        </w:rPr>
        <w:t xml:space="preserve">unicast </w:t>
      </w:r>
      <w:r w:rsidR="001635B3">
        <w:rPr>
          <w:noProof/>
        </w:rPr>
        <w:t xml:space="preserve">DRB and PTP MRB is that </w:t>
      </w:r>
      <w:r w:rsidR="009C7AAE">
        <w:rPr>
          <w:noProof/>
        </w:rPr>
        <w:t xml:space="preserve">the </w:t>
      </w:r>
      <w:r w:rsidR="001635B3">
        <w:rPr>
          <w:noProof/>
        </w:rPr>
        <w:t>UE will monitor C-RNTI</w:t>
      </w:r>
      <w:r w:rsidR="00E22C48">
        <w:rPr>
          <w:noProof/>
        </w:rPr>
        <w:t xml:space="preserve"> in both the cases</w:t>
      </w:r>
      <w:r w:rsidR="001635B3">
        <w:rPr>
          <w:noProof/>
        </w:rPr>
        <w:t xml:space="preserve">. </w:t>
      </w:r>
      <w:r w:rsidR="008341AC">
        <w:rPr>
          <w:noProof/>
        </w:rPr>
        <w:t xml:space="preserve">The </w:t>
      </w:r>
      <w:r w:rsidR="001635B3">
        <w:rPr>
          <w:noProof/>
        </w:rPr>
        <w:t xml:space="preserve">main difference between them </w:t>
      </w:r>
      <w:r w:rsidR="008341AC">
        <w:rPr>
          <w:noProof/>
        </w:rPr>
        <w:t xml:space="preserve">is that </w:t>
      </w:r>
      <w:r w:rsidR="009C7AAE">
        <w:rPr>
          <w:noProof/>
        </w:rPr>
        <w:t xml:space="preserve">unicast </w:t>
      </w:r>
      <w:r w:rsidR="008341AC">
        <w:rPr>
          <w:noProof/>
        </w:rPr>
        <w:t>DRB and PTP</w:t>
      </w:r>
      <w:r w:rsidR="001635B3">
        <w:rPr>
          <w:noProof/>
        </w:rPr>
        <w:t xml:space="preserve"> MRB</w:t>
      </w:r>
      <w:r w:rsidR="008341AC">
        <w:rPr>
          <w:noProof/>
        </w:rPr>
        <w:t xml:space="preserve"> security will be different</w:t>
      </w:r>
      <w:r w:rsidR="00570A45">
        <w:rPr>
          <w:noProof/>
        </w:rPr>
        <w:t xml:space="preserve"> and may use different lengths of PDCP SNs</w:t>
      </w:r>
      <w:r w:rsidR="008341AC">
        <w:rPr>
          <w:noProof/>
        </w:rPr>
        <w:t>.</w:t>
      </w:r>
      <w:r w:rsidR="001635B3">
        <w:rPr>
          <w:noProof/>
        </w:rPr>
        <w:t xml:space="preserve"> So, DRB and MRB have different characteristics </w:t>
      </w:r>
      <w:r w:rsidR="003F241C">
        <w:rPr>
          <w:noProof/>
        </w:rPr>
        <w:t>from stage-2 point of view. S</w:t>
      </w:r>
      <w:r w:rsidR="001635B3">
        <w:rPr>
          <w:noProof/>
        </w:rPr>
        <w:t xml:space="preserve">tage-3 description may </w:t>
      </w:r>
      <w:r w:rsidR="003F241C">
        <w:rPr>
          <w:noProof/>
        </w:rPr>
        <w:t>treat</w:t>
      </w:r>
      <w:r w:rsidR="001635B3">
        <w:rPr>
          <w:noProof/>
        </w:rPr>
        <w:t xml:space="preserve"> MRB </w:t>
      </w:r>
      <w:r w:rsidR="003F241C">
        <w:rPr>
          <w:noProof/>
        </w:rPr>
        <w:t>as</w:t>
      </w:r>
      <w:r w:rsidR="001635B3">
        <w:rPr>
          <w:noProof/>
        </w:rPr>
        <w:t xml:space="preserve"> a special type of DRB.</w:t>
      </w:r>
    </w:p>
    <w:p w14:paraId="7B95A530" w14:textId="364BCDC7" w:rsidR="00441294" w:rsidRDefault="008341AC" w:rsidP="00503C73">
      <w:r>
        <w:rPr>
          <w:noProof/>
        </w:rPr>
        <w:t>MBS delivery via DRB is</w:t>
      </w:r>
      <w:r w:rsidR="009C7AAE">
        <w:rPr>
          <w:noProof/>
        </w:rPr>
        <w:t xml:space="preserve"> a</w:t>
      </w:r>
      <w:r w:rsidR="00BF09A3">
        <w:rPr>
          <w:noProof/>
        </w:rPr>
        <w:t xml:space="preserve"> </w:t>
      </w:r>
      <w:r w:rsidR="009C7AAE">
        <w:rPr>
          <w:noProof/>
        </w:rPr>
        <w:t xml:space="preserve">valid option and </w:t>
      </w:r>
      <w:r>
        <w:rPr>
          <w:noProof/>
        </w:rPr>
        <w:t xml:space="preserve">also required e.g. if PTP MRB reliability is not compareable to DRB </w:t>
      </w:r>
      <w:r w:rsidR="001635B3">
        <w:rPr>
          <w:noProof/>
        </w:rPr>
        <w:t>or PTP MRB is no</w:t>
      </w:r>
      <w:r w:rsidR="009C7AAE">
        <w:rPr>
          <w:noProof/>
        </w:rPr>
        <w:t>t</w:t>
      </w:r>
      <w:r w:rsidR="001635B3">
        <w:rPr>
          <w:noProof/>
        </w:rPr>
        <w:t xml:space="preserve"> supported</w:t>
      </w:r>
      <w:r w:rsidR="009C7AAE">
        <w:rPr>
          <w:noProof/>
        </w:rPr>
        <w:t xml:space="preserve"> in a cell.</w:t>
      </w:r>
      <w:r w:rsidR="001635B3">
        <w:rPr>
          <w:noProof/>
        </w:rPr>
        <w:t xml:space="preserve"> </w:t>
      </w:r>
      <w:r w:rsidR="009C7AAE">
        <w:rPr>
          <w:noProof/>
        </w:rPr>
        <w:t>T</w:t>
      </w:r>
      <w:r>
        <w:rPr>
          <w:noProof/>
        </w:rPr>
        <w:t xml:space="preserve">hen either </w:t>
      </w:r>
      <w:r w:rsidR="009C7AAE">
        <w:rPr>
          <w:noProof/>
        </w:rPr>
        <w:t xml:space="preserve">the </w:t>
      </w:r>
      <w:r>
        <w:rPr>
          <w:noProof/>
        </w:rPr>
        <w:t xml:space="preserve">UE or </w:t>
      </w:r>
      <w:r w:rsidR="009C7AAE">
        <w:rPr>
          <w:noProof/>
        </w:rPr>
        <w:t xml:space="preserve">the </w:t>
      </w:r>
      <w:r>
        <w:rPr>
          <w:noProof/>
        </w:rPr>
        <w:t xml:space="preserve">network may </w:t>
      </w:r>
      <w:r w:rsidR="00C63B69">
        <w:rPr>
          <w:noProof/>
        </w:rPr>
        <w:t>trigger the</w:t>
      </w:r>
      <w:bookmarkStart w:id="13" w:name="_GoBack"/>
      <w:bookmarkEnd w:id="13"/>
      <w:r>
        <w:rPr>
          <w:noProof/>
        </w:rPr>
        <w:t xml:space="preserve"> delivery </w:t>
      </w:r>
      <w:r w:rsidR="009C7AAE">
        <w:rPr>
          <w:noProof/>
        </w:rPr>
        <w:t xml:space="preserve">mechanism </w:t>
      </w:r>
      <w:r>
        <w:rPr>
          <w:noProof/>
        </w:rPr>
        <w:t>from MRB to DRB</w:t>
      </w:r>
      <w:r w:rsidR="009C7AAE">
        <w:rPr>
          <w:noProof/>
        </w:rPr>
        <w:t xml:space="preserve"> and vice versa</w:t>
      </w:r>
      <w:r>
        <w:rPr>
          <w:noProof/>
        </w:rPr>
        <w:t>. This may happen in the same cell or during HO</w:t>
      </w:r>
      <w:r w:rsidR="00570A45">
        <w:rPr>
          <w:noProof/>
        </w:rPr>
        <w:t xml:space="preserve"> or before HO to a cell not supporting PTP/PTM delivery</w:t>
      </w:r>
      <w:r>
        <w:rPr>
          <w:noProof/>
        </w:rPr>
        <w:t>. Since the procedure will require change of security keys</w:t>
      </w:r>
      <w:r w:rsidR="009C7AAE">
        <w:rPr>
          <w:noProof/>
        </w:rPr>
        <w:t xml:space="preserve"> and establishment of PDCP entity</w:t>
      </w:r>
      <w:r>
        <w:rPr>
          <w:noProof/>
        </w:rPr>
        <w:t>, we think RRC based semi static approach is suitable</w:t>
      </w:r>
      <w:r w:rsidR="00411C85">
        <w:rPr>
          <w:noProof/>
        </w:rPr>
        <w:t xml:space="preserve"> for swi</w:t>
      </w:r>
      <w:r w:rsidR="00D8362B">
        <w:rPr>
          <w:noProof/>
        </w:rPr>
        <w:t>tching between PTP MRB and Unicast DRB</w:t>
      </w:r>
      <w:r>
        <w:rPr>
          <w:noProof/>
        </w:rPr>
        <w:t>.</w:t>
      </w:r>
      <w:r w:rsidR="009C7AAE">
        <w:rPr>
          <w:noProof/>
        </w:rPr>
        <w:t xml:space="preserve"> RAN2 probably need to specify the MBS delivery </w:t>
      </w:r>
      <w:r w:rsidR="00D8362B">
        <w:rPr>
          <w:noProof/>
        </w:rPr>
        <w:t xml:space="preserve">switching </w:t>
      </w:r>
      <w:r w:rsidR="009C7AAE">
        <w:rPr>
          <w:noProof/>
        </w:rPr>
        <w:t xml:space="preserve">involving </w:t>
      </w:r>
      <w:r w:rsidR="00441294">
        <w:t>both semi static and dynamic switch</w:t>
      </w:r>
      <w:r w:rsidR="009C7AAE">
        <w:t>ing</w:t>
      </w:r>
      <w:r w:rsidR="00257C6F">
        <w:t>.</w:t>
      </w:r>
    </w:p>
    <w:p w14:paraId="34214365" w14:textId="082AC3A3" w:rsidR="00074A1F" w:rsidRDefault="00074A1F" w:rsidP="00503C73">
      <w:bookmarkStart w:id="14" w:name="_Hlk68161427"/>
      <w:r w:rsidRPr="00570A45">
        <w:rPr>
          <w:b/>
          <w:bCs/>
        </w:rPr>
        <w:t>Proposal</w:t>
      </w:r>
      <w:r w:rsidR="003E0ACE">
        <w:rPr>
          <w:b/>
          <w:bCs/>
        </w:rPr>
        <w:t xml:space="preserve"> 1</w:t>
      </w:r>
      <w:r w:rsidRPr="00570A45">
        <w:rPr>
          <w:b/>
          <w:bCs/>
        </w:rPr>
        <w:t xml:space="preserve">: </w:t>
      </w:r>
      <w:r w:rsidR="00376974">
        <w:rPr>
          <w:b/>
          <w:bCs/>
        </w:rPr>
        <w:t xml:space="preserve">Both MRB (PTP/PTM) and DRB radio bearers are supported for MBS and any switching between them is realised by RRC signalling. </w:t>
      </w:r>
    </w:p>
    <w:bookmarkEnd w:id="14"/>
    <w:p w14:paraId="0293645F" w14:textId="7BE76675" w:rsidR="00983C85" w:rsidRDefault="002673F0" w:rsidP="00515691">
      <w:pPr>
        <w:rPr>
          <w:b/>
        </w:rPr>
      </w:pPr>
      <w:r>
        <w:rPr>
          <w:b/>
        </w:rPr>
        <w:t>MRB and RLM</w:t>
      </w:r>
    </w:p>
    <w:p w14:paraId="7752A145" w14:textId="2ECC5005" w:rsidR="002673F0" w:rsidRDefault="002673F0" w:rsidP="00515691">
      <w:pPr>
        <w:rPr>
          <w:bCs/>
        </w:rPr>
      </w:pPr>
      <w:r w:rsidRPr="002673F0">
        <w:rPr>
          <w:bCs/>
        </w:rPr>
        <w:t xml:space="preserve">If </w:t>
      </w:r>
      <w:r w:rsidR="00FA5C2F">
        <w:rPr>
          <w:bCs/>
        </w:rPr>
        <w:t xml:space="preserve">MRB and DRB configurations are different then one possibility is that </w:t>
      </w:r>
      <w:r w:rsidR="00C0180A">
        <w:rPr>
          <w:bCs/>
        </w:rPr>
        <w:t xml:space="preserve">PTP </w:t>
      </w:r>
      <w:r w:rsidR="00FA5C2F">
        <w:rPr>
          <w:bCs/>
        </w:rPr>
        <w:t xml:space="preserve">MRB supports </w:t>
      </w:r>
      <w:r w:rsidR="00C0180A">
        <w:rPr>
          <w:bCs/>
        </w:rPr>
        <w:t xml:space="preserve">the </w:t>
      </w:r>
      <w:r w:rsidR="00FA5C2F">
        <w:rPr>
          <w:bCs/>
        </w:rPr>
        <w:t>same set of features as DRB i.e. RLM, RLF</w:t>
      </w:r>
      <w:r w:rsidR="005323BF">
        <w:rPr>
          <w:bCs/>
        </w:rPr>
        <w:t>,</w:t>
      </w:r>
      <w:r w:rsidR="00FA5C2F">
        <w:rPr>
          <w:bCs/>
        </w:rPr>
        <w:t xml:space="preserve"> and re-establishment procedure</w:t>
      </w:r>
      <w:r w:rsidR="00A121D8">
        <w:rPr>
          <w:bCs/>
        </w:rPr>
        <w:t>s are supported for MRB</w:t>
      </w:r>
      <w:r w:rsidR="00FA5C2F">
        <w:rPr>
          <w:bCs/>
        </w:rPr>
        <w:t xml:space="preserve"> like DRB</w:t>
      </w:r>
      <w:r w:rsidR="00C0180A">
        <w:rPr>
          <w:bCs/>
        </w:rPr>
        <w:t>. This is beca</w:t>
      </w:r>
      <w:r w:rsidR="00FA5C2F">
        <w:rPr>
          <w:bCs/>
        </w:rPr>
        <w:t xml:space="preserve">use PTP should be </w:t>
      </w:r>
      <w:r w:rsidR="00FA5C2F">
        <w:rPr>
          <w:bCs/>
        </w:rPr>
        <w:lastRenderedPageBreak/>
        <w:t xml:space="preserve">configured </w:t>
      </w:r>
      <w:r w:rsidR="00C0180A">
        <w:rPr>
          <w:bCs/>
        </w:rPr>
        <w:t xml:space="preserve">for services requiring high performance and to </w:t>
      </w:r>
      <w:r w:rsidR="00FA5C2F">
        <w:rPr>
          <w:bCs/>
        </w:rPr>
        <w:t xml:space="preserve">ensure service continuity. However, </w:t>
      </w:r>
      <w:r w:rsidR="00C0180A">
        <w:rPr>
          <w:bCs/>
        </w:rPr>
        <w:t xml:space="preserve">PTM </w:t>
      </w:r>
      <w:r w:rsidR="00FA5C2F">
        <w:rPr>
          <w:bCs/>
        </w:rPr>
        <w:t xml:space="preserve">MRB </w:t>
      </w:r>
      <w:r w:rsidR="00C0180A">
        <w:rPr>
          <w:bCs/>
        </w:rPr>
        <w:t xml:space="preserve">in connected mode may be </w:t>
      </w:r>
      <w:r w:rsidR="00A121D8">
        <w:rPr>
          <w:bCs/>
        </w:rPr>
        <w:t>exempt</w:t>
      </w:r>
      <w:r w:rsidR="00C0180A">
        <w:rPr>
          <w:bCs/>
        </w:rPr>
        <w:t xml:space="preserve"> from performing RLM and </w:t>
      </w:r>
      <w:r w:rsidR="00A121D8">
        <w:rPr>
          <w:bCs/>
        </w:rPr>
        <w:t>lightweight</w:t>
      </w:r>
      <w:r w:rsidR="00C0180A">
        <w:rPr>
          <w:bCs/>
        </w:rPr>
        <w:t xml:space="preserve"> function</w:t>
      </w:r>
      <w:r w:rsidR="00A121D8">
        <w:rPr>
          <w:bCs/>
        </w:rPr>
        <w:t>s</w:t>
      </w:r>
      <w:r w:rsidR="00C0180A">
        <w:rPr>
          <w:bCs/>
        </w:rPr>
        <w:t xml:space="preserve"> of DRB could be supported for PTM </w:t>
      </w:r>
      <w:r w:rsidR="00A121D8">
        <w:rPr>
          <w:bCs/>
        </w:rPr>
        <w:t>M</w:t>
      </w:r>
      <w:r w:rsidR="00C0180A">
        <w:rPr>
          <w:bCs/>
        </w:rPr>
        <w:t>RB</w:t>
      </w:r>
      <w:r w:rsidR="003A43CB">
        <w:rPr>
          <w:bCs/>
        </w:rPr>
        <w:t xml:space="preserve"> and result in UE power saving by not performing RLM.</w:t>
      </w:r>
      <w:r w:rsidR="0048408D">
        <w:rPr>
          <w:bCs/>
        </w:rPr>
        <w:t xml:space="preserve"> </w:t>
      </w:r>
      <w:r w:rsidR="008E651B">
        <w:rPr>
          <w:bCs/>
        </w:rPr>
        <w:t>In other</w:t>
      </w:r>
      <w:r w:rsidR="0048408D">
        <w:rPr>
          <w:bCs/>
        </w:rPr>
        <w:t xml:space="preserve"> words, </w:t>
      </w:r>
      <w:r w:rsidR="008E651B">
        <w:rPr>
          <w:bCs/>
        </w:rPr>
        <w:t xml:space="preserve">reception for </w:t>
      </w:r>
      <w:r w:rsidR="0048408D">
        <w:rPr>
          <w:bCs/>
        </w:rPr>
        <w:t xml:space="preserve">PTM </w:t>
      </w:r>
      <w:r w:rsidR="000369C6">
        <w:rPr>
          <w:bCs/>
        </w:rPr>
        <w:t>in Connected mode is similar to PTM in IDLE mode</w:t>
      </w:r>
      <w:r w:rsidR="008E651B">
        <w:rPr>
          <w:bCs/>
        </w:rPr>
        <w:t>.</w:t>
      </w:r>
    </w:p>
    <w:p w14:paraId="71D138F2" w14:textId="77777777" w:rsidR="0020504E" w:rsidRDefault="00C0180A" w:rsidP="00515691">
      <w:pPr>
        <w:rPr>
          <w:b/>
        </w:rPr>
      </w:pPr>
      <w:r w:rsidRPr="00A121D8">
        <w:rPr>
          <w:b/>
        </w:rPr>
        <w:t xml:space="preserve">Proposal 2: PTM MRB </w:t>
      </w:r>
      <w:r w:rsidR="000369C6">
        <w:rPr>
          <w:b/>
        </w:rPr>
        <w:t xml:space="preserve">reception </w:t>
      </w:r>
      <w:r w:rsidRPr="00A121D8">
        <w:rPr>
          <w:b/>
        </w:rPr>
        <w:t>in connected mode</w:t>
      </w:r>
      <w:r w:rsidR="000369C6">
        <w:rPr>
          <w:b/>
        </w:rPr>
        <w:t xml:space="preserve"> has similar requirements as PTM MRB in IDLE mode i.e </w:t>
      </w:r>
      <w:r w:rsidR="00D14F17">
        <w:rPr>
          <w:b/>
        </w:rPr>
        <w:t>if UE is in RRC_Connected and receiving PTM MRB only then it may skip few</w:t>
      </w:r>
      <w:r w:rsidR="00DD10FE">
        <w:rPr>
          <w:b/>
        </w:rPr>
        <w:t xml:space="preserve"> connected mode procedures</w:t>
      </w:r>
      <w:r w:rsidRPr="00A121D8">
        <w:rPr>
          <w:b/>
        </w:rPr>
        <w:t>.</w:t>
      </w:r>
      <w:r w:rsidR="00DD10FE">
        <w:rPr>
          <w:b/>
        </w:rPr>
        <w:t xml:space="preserve"> </w:t>
      </w:r>
    </w:p>
    <w:p w14:paraId="5F4F719E" w14:textId="4F2570C4" w:rsidR="00C0180A" w:rsidRPr="0020504E" w:rsidRDefault="00DD10FE" w:rsidP="00515691">
      <w:pPr>
        <w:rPr>
          <w:bCs/>
        </w:rPr>
      </w:pPr>
      <w:r w:rsidRPr="0020504E">
        <w:rPr>
          <w:bCs/>
        </w:rPr>
        <w:t>This depends on the support of INACTIVE state</w:t>
      </w:r>
      <w:r w:rsidR="0020504E">
        <w:rPr>
          <w:bCs/>
        </w:rPr>
        <w:t xml:space="preserve"> for </w:t>
      </w:r>
      <w:r w:rsidR="00A6166C">
        <w:rPr>
          <w:bCs/>
        </w:rPr>
        <w:t>multicast</w:t>
      </w:r>
      <w:r w:rsidRPr="0020504E">
        <w:rPr>
          <w:bCs/>
        </w:rPr>
        <w:t>.</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72D7B727" w14:textId="77777777" w:rsidR="00DD10FE" w:rsidRDefault="00DD10FE" w:rsidP="00DD10FE">
      <w:r w:rsidRPr="00570A45">
        <w:rPr>
          <w:b/>
          <w:bCs/>
        </w:rPr>
        <w:t>Proposal</w:t>
      </w:r>
      <w:r>
        <w:rPr>
          <w:b/>
          <w:bCs/>
        </w:rPr>
        <w:t xml:space="preserve"> 1</w:t>
      </w:r>
      <w:r w:rsidRPr="00570A45">
        <w:rPr>
          <w:b/>
          <w:bCs/>
        </w:rPr>
        <w:t xml:space="preserve">: </w:t>
      </w:r>
      <w:r>
        <w:rPr>
          <w:b/>
          <w:bCs/>
        </w:rPr>
        <w:t xml:space="preserve">Both MRB (PTP/PTM) and DRB radio bearers are supported for MBS and any switching between them is realised by RRC signalling. </w:t>
      </w:r>
    </w:p>
    <w:p w14:paraId="2A8C40EB" w14:textId="4E99AB53" w:rsidR="00DD10FE" w:rsidRPr="00A121D8" w:rsidRDefault="00DD10FE" w:rsidP="00DD10FE">
      <w:pPr>
        <w:rPr>
          <w:b/>
        </w:rPr>
      </w:pPr>
      <w:r w:rsidRPr="00A121D8">
        <w:rPr>
          <w:b/>
        </w:rPr>
        <w:t xml:space="preserve">Proposal 2: PTM MRB </w:t>
      </w:r>
      <w:r>
        <w:rPr>
          <w:b/>
        </w:rPr>
        <w:t xml:space="preserve">reception </w:t>
      </w:r>
      <w:r w:rsidRPr="00A121D8">
        <w:rPr>
          <w:b/>
        </w:rPr>
        <w:t>in connected mode</w:t>
      </w:r>
      <w:r>
        <w:rPr>
          <w:b/>
        </w:rPr>
        <w:t xml:space="preserve"> has similar requirements as PTM MRB in IDLE mode i.e if UE is in RRC_Connected and receiving PTM MRB only then it may skip few connected mode procedures</w:t>
      </w:r>
      <w:r w:rsidRPr="00A121D8">
        <w:rPr>
          <w:b/>
        </w:rPr>
        <w:t>.</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t>References</w:t>
      </w:r>
    </w:p>
    <w:p w14:paraId="64E71488" w14:textId="3E1E62A6" w:rsidR="00515691" w:rsidRPr="0055135B" w:rsidRDefault="00515691" w:rsidP="00515691">
      <w:pPr>
        <w:rPr>
          <w:rFonts w:eastAsia="MS Mincho"/>
          <w:lang w:val="en-US" w:eastAsia="en-US"/>
        </w:rPr>
      </w:pPr>
      <w:r>
        <w:t xml:space="preserve"> [1]</w:t>
      </w:r>
      <w:r>
        <w:tab/>
        <w:t>RP-</w:t>
      </w:r>
      <w:r w:rsidR="00773BE4">
        <w:t>201038</w:t>
      </w:r>
      <w:r>
        <w:t xml:space="preserve">: </w:t>
      </w:r>
      <w:r w:rsidRPr="00D26C2A">
        <w:t xml:space="preserve">New WID: </w:t>
      </w:r>
      <w:r w:rsidR="00773BE4" w:rsidRPr="00773BE4">
        <w:t>NR Multicast and Broadcast Services</w:t>
      </w:r>
      <w:r>
        <w:t>,</w:t>
      </w:r>
      <w:r w:rsidR="00773BE4">
        <w:t xml:space="preserve"> Huawei</w:t>
      </w:r>
      <w:r>
        <w:t xml:space="preserve"> </w:t>
      </w:r>
    </w:p>
    <w:p w14:paraId="100B9521" w14:textId="3951EA25" w:rsidR="00515691" w:rsidRDefault="00257C6F" w:rsidP="00515691">
      <w:pPr>
        <w:rPr>
          <w:rFonts w:eastAsia="MS Mincho"/>
          <w:lang w:val="en-US" w:eastAsia="en-US"/>
        </w:rPr>
      </w:pPr>
      <w:r>
        <w:rPr>
          <w:rFonts w:eastAsia="MS Mincho"/>
          <w:lang w:val="en-US" w:eastAsia="en-US"/>
        </w:rPr>
        <w:t xml:space="preserve">[2] </w:t>
      </w:r>
      <w:r>
        <w:rPr>
          <w:rFonts w:eastAsia="MS Mincho"/>
          <w:lang w:val="en-US" w:eastAsia="en-US"/>
        </w:rPr>
        <w:tab/>
        <w:t xml:space="preserve">R2-210xxxx: </w:t>
      </w:r>
      <w:r>
        <w:t>[Post113-e][054][MBS17] PTP/PTM dynamic switch and MRB type change, Ericsson</w:t>
      </w:r>
    </w:p>
    <w:p w14:paraId="2764BFCC" w14:textId="68F6AA86" w:rsidR="00515691" w:rsidRDefault="00515691" w:rsidP="00515691">
      <w:pPr>
        <w:pStyle w:val="Heading1"/>
        <w:tabs>
          <w:tab w:val="num" w:pos="9702"/>
        </w:tabs>
        <w:ind w:left="432" w:hanging="432"/>
        <w:rPr>
          <w:lang w:val="en-US"/>
        </w:rPr>
      </w:pPr>
      <w:bookmarkStart w:id="15" w:name="_Toc4419349"/>
      <w:bookmarkEnd w:id="15"/>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1355D69"/>
    <w:multiLevelType w:val="hybridMultilevel"/>
    <w:tmpl w:val="BB7C0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8287703"/>
    <w:multiLevelType w:val="hybridMultilevel"/>
    <w:tmpl w:val="F81043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B6775FE"/>
    <w:multiLevelType w:val="hybridMultilevel"/>
    <w:tmpl w:val="57ACFC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8"/>
  </w:num>
  <w:num w:numId="4">
    <w:abstractNumId w:val="3"/>
  </w:num>
  <w:num w:numId="5">
    <w:abstractNumId w:val="7"/>
  </w:num>
  <w:num w:numId="6">
    <w:abstractNumId w:val="6"/>
  </w:num>
  <w:num w:numId="7">
    <w:abstractNumId w:val="12"/>
  </w:num>
  <w:num w:numId="8">
    <w:abstractNumId w:val="10"/>
  </w:num>
  <w:num w:numId="9">
    <w:abstractNumId w:val="11"/>
  </w:num>
  <w:num w:numId="10">
    <w:abstractNumId w:val="2"/>
  </w:num>
  <w:num w:numId="11">
    <w:abstractNumId w:val="9"/>
  </w:num>
  <w:num w:numId="12">
    <w:abstractNumId w:val="13"/>
  </w:num>
  <w:num w:numId="13">
    <w:abstractNumId w:val="5"/>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369C6"/>
    <w:rsid w:val="000651A5"/>
    <w:rsid w:val="000705F9"/>
    <w:rsid w:val="00074A1F"/>
    <w:rsid w:val="000758E3"/>
    <w:rsid w:val="0008070B"/>
    <w:rsid w:val="00082A46"/>
    <w:rsid w:val="000971F1"/>
    <w:rsid w:val="000A0C9C"/>
    <w:rsid w:val="000A109F"/>
    <w:rsid w:val="000A39A5"/>
    <w:rsid w:val="000A41A0"/>
    <w:rsid w:val="000A44E1"/>
    <w:rsid w:val="000F59F0"/>
    <w:rsid w:val="0010166F"/>
    <w:rsid w:val="00111949"/>
    <w:rsid w:val="00160B92"/>
    <w:rsid w:val="001635B3"/>
    <w:rsid w:val="00181392"/>
    <w:rsid w:val="00183FED"/>
    <w:rsid w:val="001A448D"/>
    <w:rsid w:val="001B0909"/>
    <w:rsid w:val="001C603B"/>
    <w:rsid w:val="001C77DF"/>
    <w:rsid w:val="001E4BD5"/>
    <w:rsid w:val="001E5A63"/>
    <w:rsid w:val="001F1E33"/>
    <w:rsid w:val="001F2717"/>
    <w:rsid w:val="002032BB"/>
    <w:rsid w:val="002038DF"/>
    <w:rsid w:val="0020504E"/>
    <w:rsid w:val="0020643F"/>
    <w:rsid w:val="00210B60"/>
    <w:rsid w:val="002260D5"/>
    <w:rsid w:val="00234F0B"/>
    <w:rsid w:val="00235EE9"/>
    <w:rsid w:val="002402A3"/>
    <w:rsid w:val="00241D9C"/>
    <w:rsid w:val="00242D5A"/>
    <w:rsid w:val="00257C6F"/>
    <w:rsid w:val="00261675"/>
    <w:rsid w:val="00266474"/>
    <w:rsid w:val="002673F0"/>
    <w:rsid w:val="00274CCF"/>
    <w:rsid w:val="0027782C"/>
    <w:rsid w:val="002824F3"/>
    <w:rsid w:val="002A4859"/>
    <w:rsid w:val="002B2779"/>
    <w:rsid w:val="002B5660"/>
    <w:rsid w:val="002C633F"/>
    <w:rsid w:val="002D70B3"/>
    <w:rsid w:val="00307439"/>
    <w:rsid w:val="00320757"/>
    <w:rsid w:val="003243D7"/>
    <w:rsid w:val="00353C08"/>
    <w:rsid w:val="003632FE"/>
    <w:rsid w:val="00364319"/>
    <w:rsid w:val="00365CF6"/>
    <w:rsid w:val="00376974"/>
    <w:rsid w:val="003855F8"/>
    <w:rsid w:val="0039046D"/>
    <w:rsid w:val="003908E7"/>
    <w:rsid w:val="00391839"/>
    <w:rsid w:val="003928D9"/>
    <w:rsid w:val="003A43CB"/>
    <w:rsid w:val="003C480A"/>
    <w:rsid w:val="003D13A8"/>
    <w:rsid w:val="003E0ACE"/>
    <w:rsid w:val="003E4846"/>
    <w:rsid w:val="003F241C"/>
    <w:rsid w:val="003F46B2"/>
    <w:rsid w:val="003F74BA"/>
    <w:rsid w:val="00411C85"/>
    <w:rsid w:val="004157C9"/>
    <w:rsid w:val="00426658"/>
    <w:rsid w:val="00433AD7"/>
    <w:rsid w:val="00441294"/>
    <w:rsid w:val="00442083"/>
    <w:rsid w:val="00477BE7"/>
    <w:rsid w:val="0048408D"/>
    <w:rsid w:val="004A3939"/>
    <w:rsid w:val="004B689F"/>
    <w:rsid w:val="004C21F1"/>
    <w:rsid w:val="004C33A8"/>
    <w:rsid w:val="004E0BD7"/>
    <w:rsid w:val="004E725E"/>
    <w:rsid w:val="004F538B"/>
    <w:rsid w:val="00503C73"/>
    <w:rsid w:val="00515691"/>
    <w:rsid w:val="005323BF"/>
    <w:rsid w:val="00543187"/>
    <w:rsid w:val="00546E90"/>
    <w:rsid w:val="0055021E"/>
    <w:rsid w:val="005540AB"/>
    <w:rsid w:val="0056541C"/>
    <w:rsid w:val="00567A99"/>
    <w:rsid w:val="00570A45"/>
    <w:rsid w:val="00584AC3"/>
    <w:rsid w:val="0059529B"/>
    <w:rsid w:val="005A7D95"/>
    <w:rsid w:val="005B3066"/>
    <w:rsid w:val="005B3BB9"/>
    <w:rsid w:val="005D2DB8"/>
    <w:rsid w:val="005D4D65"/>
    <w:rsid w:val="005E0E13"/>
    <w:rsid w:val="005E172C"/>
    <w:rsid w:val="00604787"/>
    <w:rsid w:val="00612340"/>
    <w:rsid w:val="0063085B"/>
    <w:rsid w:val="00635DF3"/>
    <w:rsid w:val="00636646"/>
    <w:rsid w:val="006474BE"/>
    <w:rsid w:val="006B5838"/>
    <w:rsid w:val="006C4047"/>
    <w:rsid w:val="006C7204"/>
    <w:rsid w:val="006E1C14"/>
    <w:rsid w:val="006E6BBE"/>
    <w:rsid w:val="0070372F"/>
    <w:rsid w:val="007061C0"/>
    <w:rsid w:val="00707089"/>
    <w:rsid w:val="00713EA4"/>
    <w:rsid w:val="007273FC"/>
    <w:rsid w:val="00730767"/>
    <w:rsid w:val="00751B96"/>
    <w:rsid w:val="00762FE5"/>
    <w:rsid w:val="007711C0"/>
    <w:rsid w:val="00772B88"/>
    <w:rsid w:val="00773BE4"/>
    <w:rsid w:val="00791287"/>
    <w:rsid w:val="007A0188"/>
    <w:rsid w:val="007A6E94"/>
    <w:rsid w:val="007B44E2"/>
    <w:rsid w:val="007C29B4"/>
    <w:rsid w:val="007C496D"/>
    <w:rsid w:val="007C6345"/>
    <w:rsid w:val="007E12E9"/>
    <w:rsid w:val="007F2713"/>
    <w:rsid w:val="007F6CC5"/>
    <w:rsid w:val="00801E2A"/>
    <w:rsid w:val="00811CC1"/>
    <w:rsid w:val="00816814"/>
    <w:rsid w:val="008341AC"/>
    <w:rsid w:val="0085236D"/>
    <w:rsid w:val="00881157"/>
    <w:rsid w:val="00890856"/>
    <w:rsid w:val="008A48BD"/>
    <w:rsid w:val="008A74EA"/>
    <w:rsid w:val="008C0054"/>
    <w:rsid w:val="008C30E7"/>
    <w:rsid w:val="008D5537"/>
    <w:rsid w:val="008E651B"/>
    <w:rsid w:val="008F305A"/>
    <w:rsid w:val="00951CC5"/>
    <w:rsid w:val="00961521"/>
    <w:rsid w:val="0097408E"/>
    <w:rsid w:val="009818EA"/>
    <w:rsid w:val="00983C85"/>
    <w:rsid w:val="009B0F9A"/>
    <w:rsid w:val="009B5B6C"/>
    <w:rsid w:val="009C1957"/>
    <w:rsid w:val="009C7AAE"/>
    <w:rsid w:val="00A06E0B"/>
    <w:rsid w:val="00A121D8"/>
    <w:rsid w:val="00A204E2"/>
    <w:rsid w:val="00A21A0F"/>
    <w:rsid w:val="00A22064"/>
    <w:rsid w:val="00A31299"/>
    <w:rsid w:val="00A31E7A"/>
    <w:rsid w:val="00A338DE"/>
    <w:rsid w:val="00A52793"/>
    <w:rsid w:val="00A6166C"/>
    <w:rsid w:val="00A900CE"/>
    <w:rsid w:val="00AA36BD"/>
    <w:rsid w:val="00AB3DED"/>
    <w:rsid w:val="00AE3ABE"/>
    <w:rsid w:val="00AF6717"/>
    <w:rsid w:val="00B22CD3"/>
    <w:rsid w:val="00B27802"/>
    <w:rsid w:val="00B42151"/>
    <w:rsid w:val="00B67643"/>
    <w:rsid w:val="00B70639"/>
    <w:rsid w:val="00B82A47"/>
    <w:rsid w:val="00B85320"/>
    <w:rsid w:val="00BA35B5"/>
    <w:rsid w:val="00BC6573"/>
    <w:rsid w:val="00BE4F55"/>
    <w:rsid w:val="00BF09A3"/>
    <w:rsid w:val="00C0180A"/>
    <w:rsid w:val="00C13183"/>
    <w:rsid w:val="00C144DB"/>
    <w:rsid w:val="00C42007"/>
    <w:rsid w:val="00C46E0C"/>
    <w:rsid w:val="00C50063"/>
    <w:rsid w:val="00C50C44"/>
    <w:rsid w:val="00C53C1D"/>
    <w:rsid w:val="00C63B69"/>
    <w:rsid w:val="00C777E1"/>
    <w:rsid w:val="00C82D23"/>
    <w:rsid w:val="00C8475C"/>
    <w:rsid w:val="00C85C7E"/>
    <w:rsid w:val="00C92548"/>
    <w:rsid w:val="00CA301B"/>
    <w:rsid w:val="00CB14F2"/>
    <w:rsid w:val="00CC1966"/>
    <w:rsid w:val="00CC34CC"/>
    <w:rsid w:val="00CE1A9D"/>
    <w:rsid w:val="00D04784"/>
    <w:rsid w:val="00D14F17"/>
    <w:rsid w:val="00D2366D"/>
    <w:rsid w:val="00D31927"/>
    <w:rsid w:val="00D51140"/>
    <w:rsid w:val="00D707EB"/>
    <w:rsid w:val="00D74BC1"/>
    <w:rsid w:val="00D8362B"/>
    <w:rsid w:val="00D83992"/>
    <w:rsid w:val="00D85D30"/>
    <w:rsid w:val="00DC404A"/>
    <w:rsid w:val="00DD049A"/>
    <w:rsid w:val="00DD10FE"/>
    <w:rsid w:val="00DE300D"/>
    <w:rsid w:val="00DE7BB7"/>
    <w:rsid w:val="00E06330"/>
    <w:rsid w:val="00E22C48"/>
    <w:rsid w:val="00E304DF"/>
    <w:rsid w:val="00E4364B"/>
    <w:rsid w:val="00E900FA"/>
    <w:rsid w:val="00E90643"/>
    <w:rsid w:val="00E91DDD"/>
    <w:rsid w:val="00EA532F"/>
    <w:rsid w:val="00EB7940"/>
    <w:rsid w:val="00EB7F09"/>
    <w:rsid w:val="00ED0606"/>
    <w:rsid w:val="00ED270A"/>
    <w:rsid w:val="00EE0DCB"/>
    <w:rsid w:val="00F3503C"/>
    <w:rsid w:val="00F378D3"/>
    <w:rsid w:val="00F60137"/>
    <w:rsid w:val="00F61470"/>
    <w:rsid w:val="00F75010"/>
    <w:rsid w:val="00F817AF"/>
    <w:rsid w:val="00FA25EE"/>
    <w:rsid w:val="00FA5C2F"/>
    <w:rsid w:val="00FA7A98"/>
    <w:rsid w:val="00FC4CFE"/>
    <w:rsid w:val="00FC5B34"/>
    <w:rsid w:val="00FD506D"/>
    <w:rsid w:val="00FD69AB"/>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CA301B"/>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CA301B"/>
    <w:rPr>
      <w:rFonts w:ascii="Arial" w:eastAsia="SimSun" w:hAnsi="Arial" w:cs="Times New Roman"/>
      <w:sz w:val="20"/>
      <w:szCs w:val="20"/>
      <w:lang w:eastAsia="zh-CN"/>
    </w:rPr>
  </w:style>
  <w:style w:type="paragraph" w:customStyle="1" w:styleId="TH">
    <w:name w:val="TH"/>
    <w:basedOn w:val="Normal"/>
    <w:link w:val="THChar"/>
    <w:qFormat/>
    <w:rsid w:val="00CA301B"/>
    <w:pPr>
      <w:keepNext/>
      <w:keepLines/>
      <w:spacing w:before="60"/>
      <w:jc w:val="center"/>
    </w:pPr>
    <w:rPr>
      <w:rFonts w:ascii="Arial" w:eastAsia="SimSun" w:hAnsi="Arial"/>
      <w:b/>
      <w:lang w:val="zh-CN" w:eastAsia="zh-CN"/>
    </w:rPr>
  </w:style>
  <w:style w:type="character" w:customStyle="1" w:styleId="B1Char1">
    <w:name w:val="B1 Char1"/>
    <w:qFormat/>
    <w:rsid w:val="00CA301B"/>
    <w:rPr>
      <w:rFonts w:ascii="Times New Roman" w:hAnsi="Times New Roman"/>
      <w:lang w:eastAsia="zh-CN"/>
    </w:rPr>
  </w:style>
  <w:style w:type="character" w:customStyle="1" w:styleId="THChar">
    <w:name w:val="TH Char"/>
    <w:link w:val="TH"/>
    <w:qFormat/>
    <w:rsid w:val="00CA301B"/>
    <w:rPr>
      <w:rFonts w:ascii="Arial" w:eastAsia="SimSun" w:hAnsi="Arial" w:cs="Times New Roman"/>
      <w:b/>
      <w:sz w:val="20"/>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4C3C3DA7-4876-4872-A0A4-9C405FEADB1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885AE8-EEA1-41B8-AFEE-DEEAD2488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733</Words>
  <Characters>4182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3</cp:revision>
  <dcterms:created xsi:type="dcterms:W3CDTF">2021-04-01T14:33:00Z</dcterms:created>
  <dcterms:modified xsi:type="dcterms:W3CDTF">2021-04-01T14:45:00Z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