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02AC23" w14:textId="5E8C62E2" w:rsidR="00683811" w:rsidRDefault="00683811" w:rsidP="0068381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92190689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R2-2102625</w:t>
      </w:r>
    </w:p>
    <w:p w14:paraId="1C928CB0" w14:textId="77777777" w:rsidR="00683811" w:rsidRDefault="00683811" w:rsidP="0068381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3D2C0AD6" w14:textId="77777777" w:rsidR="00683811" w:rsidRDefault="00683811" w:rsidP="0068381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DA897D8" w14:textId="77777777" w:rsidR="00683811" w:rsidRDefault="00683811" w:rsidP="0068381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B0E4701" w14:textId="75D48B92" w:rsidR="00E93E89" w:rsidRPr="008F3CAE" w:rsidRDefault="001D6199" w:rsidP="009E1428">
      <w:pPr>
        <w:tabs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1B0678">
        <w:rPr>
          <w:rFonts w:ascii="Arial" w:eastAsia="Batang" w:hAnsi="Arial" w:cs="Arial"/>
          <w:b/>
          <w:bCs/>
          <w:sz w:val="24"/>
          <w:szCs w:val="24"/>
        </w:rPr>
        <w:t>4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R1-2</w:t>
      </w:r>
      <w:r w:rsidR="000C2864">
        <w:rPr>
          <w:rFonts w:ascii="Arial" w:eastAsia="Batang" w:hAnsi="Arial" w:cs="Arial"/>
          <w:b/>
          <w:bCs/>
          <w:sz w:val="24"/>
          <w:szCs w:val="24"/>
        </w:rPr>
        <w:t>1</w:t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0</w:t>
      </w:r>
      <w:r w:rsidR="003F2338">
        <w:rPr>
          <w:rFonts w:ascii="Arial" w:eastAsia="Batang" w:hAnsi="Arial" w:cs="Arial"/>
          <w:b/>
          <w:bCs/>
          <w:sz w:val="24"/>
          <w:szCs w:val="24"/>
        </w:rPr>
        <w:t>22</w:t>
      </w:r>
      <w:r w:rsidR="00DE4271">
        <w:rPr>
          <w:rFonts w:ascii="Arial" w:eastAsia="Batang" w:hAnsi="Arial" w:cs="Arial"/>
          <w:b/>
          <w:bCs/>
          <w:sz w:val="24"/>
          <w:szCs w:val="24"/>
        </w:rPr>
        <w:t>09</w:t>
      </w:r>
    </w:p>
    <w:p w14:paraId="4DC6E547" w14:textId="75FB5AD8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9F1C51" w:rsidRPr="009F1C51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25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February 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2"/>
    <w:p w14:paraId="1168DA2F" w14:textId="008931EF" w:rsidR="00115C5B" w:rsidRDefault="00A0385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 o</w:t>
      </w:r>
      <w:r w:rsidR="00E800D2" w:rsidRPr="00A835EE">
        <w:rPr>
          <w:rFonts w:ascii="Arial" w:hAnsi="Arial" w:cs="Arial"/>
        </w:rPr>
        <w:t xml:space="preserve">n </w:t>
      </w:r>
      <w:r w:rsidR="00890B51">
        <w:rPr>
          <w:rFonts w:ascii="Arial" w:hAnsi="Arial" w:cs="Arial"/>
        </w:rPr>
        <w:t>Agreements Pertaining to L1/L2-Centric Inter-Cell Mobility</w:t>
      </w: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17595D0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</w:t>
      </w:r>
      <w:r>
        <w:rPr>
          <w:rFonts w:ascii="Arial" w:hAnsi="Arial" w:cs="Arial"/>
          <w:bCs/>
          <w:lang w:eastAsia="zh-CN"/>
        </w:rPr>
        <w:t>f</w:t>
      </w:r>
      <w:r w:rsidR="009F0063">
        <w:rPr>
          <w:rFonts w:ascii="Arial" w:hAnsi="Arial" w:cs="Arial"/>
          <w:bCs/>
          <w:lang w:eastAsia="zh-CN"/>
        </w:rPr>
        <w:t>eMIMO</w:t>
      </w:r>
      <w:r w:rsidR="00BA6C48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17E0EEA3" w:rsidR="00E800D2" w:rsidRPr="009E1428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9E1428">
        <w:rPr>
          <w:rFonts w:ascii="Arial" w:hAnsi="Arial" w:cs="Arial"/>
          <w:b/>
        </w:rPr>
        <w:t>Source:</w:t>
      </w:r>
      <w:r w:rsidRPr="009E1428">
        <w:rPr>
          <w:rFonts w:ascii="Arial" w:hAnsi="Arial" w:cs="Arial"/>
          <w:bCs/>
        </w:rPr>
        <w:tab/>
      </w:r>
      <w:r w:rsidR="00DE4271" w:rsidRPr="009E1428">
        <w:rPr>
          <w:rFonts w:ascii="Arial" w:hAnsi="Arial" w:cs="Arial"/>
          <w:bCs/>
        </w:rPr>
        <w:t xml:space="preserve">RAN1, </w:t>
      </w:r>
      <w:r w:rsidR="00E06C2B" w:rsidRPr="009E1428">
        <w:rPr>
          <w:rFonts w:ascii="Arial" w:hAnsi="Arial" w:cs="Arial"/>
          <w:bCs/>
        </w:rPr>
        <w:t>Samsung</w:t>
      </w:r>
    </w:p>
    <w:p w14:paraId="2C7502EB" w14:textId="0D10125B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</w:p>
    <w:p w14:paraId="1FFDAC0B" w14:textId="361C26E0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RAN3, </w:t>
      </w:r>
      <w:r w:rsidR="008E333F">
        <w:rPr>
          <w:rFonts w:ascii="Arial" w:hAnsi="Arial" w:cs="Arial"/>
          <w:bCs/>
        </w:rPr>
        <w:t>RAN4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4F5D04B4" w:rsidR="00C00B6E" w:rsidRPr="00A92890" w:rsidRDefault="0047208B" w:rsidP="007F1A8A">
      <w:pPr>
        <w:snapToGrid w:val="0"/>
        <w:jc w:val="both"/>
      </w:pPr>
      <w:r w:rsidRPr="00A92890">
        <w:t>RAN</w:t>
      </w:r>
      <w:r w:rsidR="00835858" w:rsidRPr="00A92890">
        <w:t>1</w:t>
      </w:r>
      <w:r w:rsidRPr="00A92890">
        <w:t xml:space="preserve"> </w:t>
      </w:r>
      <w:r w:rsidR="00766CE8" w:rsidRPr="00A92890">
        <w:t xml:space="preserve">discussed </w:t>
      </w:r>
      <w:r w:rsidR="009F0063" w:rsidRPr="00A92890">
        <w:t xml:space="preserve">the support of </w:t>
      </w:r>
      <w:r w:rsidR="00D34688" w:rsidRPr="00A92890">
        <w:t>L1/L2-centric inter-cell mobility</w:t>
      </w:r>
      <w:r w:rsidR="009F0063" w:rsidRPr="00A92890">
        <w:t xml:space="preserve">. </w:t>
      </w:r>
    </w:p>
    <w:p w14:paraId="3E8A3C11" w14:textId="77777777" w:rsidR="007F1A8A" w:rsidRPr="00A92890" w:rsidRDefault="007F1A8A" w:rsidP="007F1A8A">
      <w:pPr>
        <w:snapToGrid w:val="0"/>
        <w:jc w:val="both"/>
      </w:pPr>
    </w:p>
    <w:p w14:paraId="723F436D" w14:textId="582F2760" w:rsidR="009F0063" w:rsidRPr="00A92890" w:rsidRDefault="009F0063" w:rsidP="007F1A8A">
      <w:pPr>
        <w:snapToGrid w:val="0"/>
        <w:jc w:val="both"/>
      </w:pPr>
      <w:r w:rsidRPr="00A92890">
        <w:t xml:space="preserve">The following </w:t>
      </w:r>
      <w:r w:rsidR="00917097" w:rsidRPr="00A92890">
        <w:t>agreement</w:t>
      </w:r>
      <w:r w:rsidR="00C00B6E" w:rsidRPr="00A92890">
        <w:t>s</w:t>
      </w:r>
      <w:r w:rsidR="00917097" w:rsidRPr="00A92890">
        <w:t xml:space="preserve"> were made </w:t>
      </w:r>
      <w:r w:rsidR="00D34688" w:rsidRPr="00A92890">
        <w:t>in RAN1 #102</w:t>
      </w:r>
      <w:r w:rsidR="00C00B6E" w:rsidRPr="00A92890">
        <w:t>-e</w:t>
      </w:r>
      <w:r w:rsidR="00D34688" w:rsidRPr="00A92890">
        <w:t>, #103-e, and 104-e</w:t>
      </w:r>
      <w:r w:rsidR="00C00B6E" w:rsidRPr="00A92890">
        <w:t xml:space="preserve"> meeting</w:t>
      </w:r>
      <w:r w:rsidR="00D34688" w:rsidRPr="00A92890">
        <w:t>s</w:t>
      </w:r>
      <w:r w:rsidR="00C00B6E" w:rsidRPr="00A92890">
        <w:t xml:space="preserve"> </w:t>
      </w:r>
      <w:r w:rsidR="00D34688" w:rsidRPr="00A92890">
        <w:t>related to the support of L1/L2-centric inter-cell mobility</w:t>
      </w:r>
      <w:r w:rsidR="00917097" w:rsidRPr="00A92890">
        <w:t>.</w:t>
      </w:r>
    </w:p>
    <w:p w14:paraId="2406677E" w14:textId="77777777" w:rsidR="007F1A8A" w:rsidRPr="00A92890" w:rsidRDefault="007F1A8A" w:rsidP="007F1A8A">
      <w:pPr>
        <w:snapToGrid w:val="0"/>
        <w:jc w:val="both"/>
      </w:pPr>
    </w:p>
    <w:p w14:paraId="4C070391" w14:textId="77777777" w:rsidR="00C829AC" w:rsidRPr="00A92890" w:rsidRDefault="00C829AC" w:rsidP="007F1A8A">
      <w:pPr>
        <w:pStyle w:val="ListParagraph"/>
        <w:numPr>
          <w:ilvl w:val="0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 xml:space="preserve">[Issue 2] For Rel.17 NR FeMIMO, on L1/L2-centric inter-cell mobility: </w:t>
      </w:r>
    </w:p>
    <w:p w14:paraId="4420A033" w14:textId="77777777" w:rsidR="00C829AC" w:rsidRPr="00A92890" w:rsidRDefault="00C829AC" w:rsidP="007F1A8A">
      <w:pPr>
        <w:pStyle w:val="ListParagraph"/>
        <w:numPr>
          <w:ilvl w:val="1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 xml:space="preserve">In RAN1#103-e, finalize scope and use cases for L1/L2-centric inter-cell mobility, including: </w:t>
      </w:r>
    </w:p>
    <w:p w14:paraId="32AEAC28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Applicability in various non-CA and CA setups such as intra-band and inter-band CA</w:t>
      </w:r>
    </w:p>
    <w:p w14:paraId="720F3606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Use cases in comparison to Rel.15 L3-based handover (HO) taking into account potential extension of DAPS-based Rel.16 mobility enhancement to FR2-FR2 HO</w:t>
      </w:r>
    </w:p>
    <w:p w14:paraId="4C98668F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The extent of RAN2 impact (MAC CE, RRC, user plane protocols)</w:t>
      </w:r>
    </w:p>
    <w:p w14:paraId="0DA368D3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Network architecture, e.g. NSA vs. SA, inter-RAT scenarios</w:t>
      </w:r>
    </w:p>
    <w:p w14:paraId="50F91735" w14:textId="77777777" w:rsidR="00C829AC" w:rsidRPr="00A92890" w:rsidRDefault="00C829AC" w:rsidP="007F1A8A">
      <w:pPr>
        <w:pStyle w:val="ListParagraph"/>
        <w:numPr>
          <w:ilvl w:val="1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In RAN1#103-e, depending on the outcome of 2a), further identify additional components –along with the associated alternatives –required for supporting inter-cell mobility based on the same unified TCI framework as that for intra-cell mobility (including dynamic TCI state update signaling), including</w:t>
      </w:r>
    </w:p>
    <w:p w14:paraId="7EFC1AB3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Method(s) for incorporating non-serving cell information associated with TCI</w:t>
      </w:r>
    </w:p>
    <w:p w14:paraId="28994C0D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Method(s) for DL measurements and UE reporting (e.g. L1-RSRP) associated with non-serving cell(s)</w:t>
      </w:r>
    </w:p>
    <w:p w14:paraId="1C074E7D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bookmarkStart w:id="3" w:name="_Hlk49275654"/>
      <w:r w:rsidRPr="00A92890">
        <w:rPr>
          <w:sz w:val="20"/>
          <w:szCs w:val="20"/>
        </w:rPr>
        <w:t>UE behavior for reception of signals and non-UE-specific control and data channels associated with non-serving cell(s)</w:t>
      </w:r>
      <w:bookmarkEnd w:id="3"/>
      <w:r w:rsidRPr="00A92890">
        <w:rPr>
          <w:sz w:val="20"/>
          <w:szCs w:val="20"/>
        </w:rPr>
        <w:t xml:space="preserve"> </w:t>
      </w:r>
    </w:p>
    <w:p w14:paraId="5F5ADAFD" w14:textId="77777777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UL-related enhancements, e.g. related to RA procedure including TA</w:t>
      </w:r>
    </w:p>
    <w:p w14:paraId="1EF5BFDA" w14:textId="60A0E35E" w:rsidR="00C829AC" w:rsidRPr="00A92890" w:rsidRDefault="00C829AC" w:rsidP="007F1A8A">
      <w:pPr>
        <w:pStyle w:val="ListParagraph"/>
        <w:numPr>
          <w:ilvl w:val="2"/>
          <w:numId w:val="27"/>
        </w:numPr>
        <w:suppressAutoHyphens/>
        <w:autoSpaceDN w:val="0"/>
        <w:snapToGrid w:val="0"/>
        <w:contextualSpacing w:val="0"/>
        <w:textAlignment w:val="baseline"/>
        <w:rPr>
          <w:sz w:val="20"/>
          <w:szCs w:val="20"/>
        </w:rPr>
      </w:pPr>
      <w:r w:rsidRPr="00A92890">
        <w:rPr>
          <w:sz w:val="20"/>
          <w:szCs w:val="20"/>
        </w:rPr>
        <w:t>Beam-level event-driven mechanism for L1/L2-centric inter-cell mobility</w:t>
      </w:r>
    </w:p>
    <w:p w14:paraId="173F81E4" w14:textId="77777777" w:rsidR="007F1A8A" w:rsidRPr="00A92890" w:rsidRDefault="007F1A8A" w:rsidP="00FB5951">
      <w:pPr>
        <w:pStyle w:val="ListParagraph"/>
        <w:suppressAutoHyphens/>
        <w:autoSpaceDN w:val="0"/>
        <w:snapToGrid w:val="0"/>
        <w:ind w:left="2160"/>
        <w:contextualSpacing w:val="0"/>
        <w:textAlignment w:val="baseline"/>
        <w:rPr>
          <w:sz w:val="20"/>
          <w:szCs w:val="20"/>
        </w:rPr>
      </w:pPr>
    </w:p>
    <w:p w14:paraId="2E01C147" w14:textId="77777777" w:rsidR="00C829AC" w:rsidRPr="00A92890" w:rsidRDefault="00C829AC" w:rsidP="007F1A8A">
      <w:pPr>
        <w:snapToGrid w:val="0"/>
        <w:jc w:val="both"/>
        <w:rPr>
          <w:color w:val="000000"/>
        </w:rPr>
      </w:pPr>
    </w:p>
    <w:p w14:paraId="54CDD7D9" w14:textId="77777777" w:rsidR="00C829AC" w:rsidRPr="00A92890" w:rsidRDefault="00C829AC" w:rsidP="007F1A8A">
      <w:pPr>
        <w:snapToGrid w:val="0"/>
        <w:jc w:val="both"/>
        <w:rPr>
          <w:rFonts w:eastAsia="Batang"/>
        </w:rPr>
      </w:pPr>
      <w:r w:rsidRPr="00A92890">
        <w:rPr>
          <w:rFonts w:eastAsia="Batang"/>
        </w:rPr>
        <w:t xml:space="preserve">On Rel-17 enhancements to enable L1/L2-centric inter-cell mobility: </w:t>
      </w:r>
    </w:p>
    <w:p w14:paraId="77DE8EDF" w14:textId="77777777" w:rsidR="00C829AC" w:rsidRPr="00A92890" w:rsidRDefault="00C829AC" w:rsidP="007F1A8A">
      <w:pPr>
        <w:numPr>
          <w:ilvl w:val="0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The following use cases are assumed: </w:t>
      </w:r>
    </w:p>
    <w:p w14:paraId="301C088F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Network architecture: </w:t>
      </w:r>
    </w:p>
    <w:p w14:paraId="3E81200E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NSA, i.e. LTE PCell and NR-PSCell </w:t>
      </w:r>
    </w:p>
    <w:p w14:paraId="7AB78536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SA</w:t>
      </w:r>
    </w:p>
    <w:p w14:paraId="6D7E576F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Intra-band CA </w:t>
      </w:r>
    </w:p>
    <w:p w14:paraId="22ED300B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If inter-band CA is also included</w:t>
      </w:r>
    </w:p>
    <w:p w14:paraId="0058CD13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Intra- RAT (excluding inter-RAT) </w:t>
      </w:r>
    </w:p>
    <w:p w14:paraId="69BFF26B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Intra-frequency scenario: </w:t>
      </w:r>
    </w:p>
    <w:p w14:paraId="03C3ECA3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The SSBs of non-serving cells have the same center frequency and SCS as the SSBs of the serving cell</w:t>
      </w:r>
    </w:p>
    <w:p w14:paraId="0E59CB16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An SSB of a non-serving cell is associated with a PCI different from the PCI of the serving cell</w:t>
      </w:r>
    </w:p>
    <w:p w14:paraId="25D0C25E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Support for inter-frequency scenario</w:t>
      </w:r>
    </w:p>
    <w:p w14:paraId="54BD4C8A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lastRenderedPageBreak/>
        <w:t>FFS: Whether to support intra-DU only operation, or whether inter-DU is also allowed</w:t>
      </w:r>
    </w:p>
    <w:p w14:paraId="7D2E3367" w14:textId="77777777" w:rsidR="00C829AC" w:rsidRPr="00A92890" w:rsidRDefault="00C829AC" w:rsidP="007F1A8A">
      <w:pPr>
        <w:numPr>
          <w:ilvl w:val="0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The following enhancement scope is assumed: </w:t>
      </w:r>
    </w:p>
    <w:p w14:paraId="7076FE7C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Facilitating measurement and reporting of non-serving RSs via incorporating non-serving cell info with some TCI(s), along with the necessary measurement and reporting scheme(s) </w:t>
      </w:r>
    </w:p>
    <w:p w14:paraId="200DD5DB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Detailed/exact method(s)</w:t>
      </w:r>
    </w:p>
    <w:p w14:paraId="4DD2014F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Whether this also implies the support of beam indication (TCI state update along with the necessary TCI state activation) for TCI(s) associated with non-serving cell RS(s)</w:t>
      </w:r>
    </w:p>
    <w:p w14:paraId="0C8909DF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Metric for the measurement and reporting, e.g. L1-RSRP or L3-RSRP or time- or spatial-domain-filtered L1-RSRP</w:t>
      </w:r>
    </w:p>
    <w:p w14:paraId="004C5F25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Beam-level event-driven mechanism, using serving cell RS and/or non-serving cell RS</w:t>
      </w:r>
    </w:p>
    <w:p w14:paraId="0CEACB96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Facilitate serving cell to provide configurations for non-serving cell SSBs via RRC </w:t>
      </w:r>
    </w:p>
    <w:p w14:paraId="2690F55D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details for the configurations, e.g. time/frequency location, transmission power, etc.</w:t>
      </w:r>
    </w:p>
    <w:p w14:paraId="2221B7A9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FFS: other information needed for inter-cell mobility</w:t>
      </w:r>
    </w:p>
    <w:p w14:paraId="028F928C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Note: In RAN1's understanding, non-serving cell SSB and non-serving cell RS can be part of the serving cell configuration</w:t>
      </w:r>
    </w:p>
    <w:p w14:paraId="58F5ACE8" w14:textId="77777777" w:rsidR="00C829AC" w:rsidRPr="00A92890" w:rsidRDefault="00C829AC" w:rsidP="007F1A8A">
      <w:pPr>
        <w:numPr>
          <w:ilvl w:val="0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</w:rPr>
        <w:t xml:space="preserve">FFS: The following enhancement scope is assumed by RAN1: </w:t>
      </w:r>
    </w:p>
    <w:p w14:paraId="63F730A3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Whether RRC reconfiguration signaling is needed or not when a TCI associated with non-serving cell RS is indicated </w:t>
      </w:r>
    </w:p>
    <w:p w14:paraId="1D11C90A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A non-serving cell RS is an RS that is or has an SSB of a non-serving cell as direct or indirect QCL source </w:t>
      </w:r>
    </w:p>
    <w:p w14:paraId="4E5A46B8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 xml:space="preserve">This implies no C-RNTI update when UE receives DL channel RS associated to non-serving cell RS as QCL source. </w:t>
      </w:r>
    </w:p>
    <w:p w14:paraId="7857E29F" w14:textId="77777777" w:rsidR="00C829AC" w:rsidRPr="00A92890" w:rsidRDefault="00C829AC" w:rsidP="007F1A8A">
      <w:pPr>
        <w:numPr>
          <w:ilvl w:val="2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  <w:lang w:eastAsia="zh-CN"/>
        </w:rPr>
        <w:t>FFS whether TCI associated with non-serving cell can be indicated to or are applicable for all channels.</w:t>
      </w:r>
    </w:p>
    <w:p w14:paraId="5E9DEF89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  <w:lang w:eastAsia="zh-CN"/>
        </w:rPr>
        <w:t>Whether some RRC parameters need to be updated without additional RRC signaling, e.g. some RRC parameters are pre-configured, which are associated with TCI states with neighbor cell RS as QCL source</w:t>
      </w:r>
    </w:p>
    <w:p w14:paraId="6BFB4BAF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</w:pPr>
      <w:r w:rsidRPr="00A92890">
        <w:rPr>
          <w:rFonts w:eastAsia="Batang"/>
          <w:lang w:eastAsia="zh-CN"/>
        </w:rPr>
        <w:t>Whether UE needs/can change serving cell during L1/L2-centric inter-cell mobility.</w:t>
      </w:r>
    </w:p>
    <w:p w14:paraId="22936E83" w14:textId="77777777" w:rsidR="00C829AC" w:rsidRPr="00A92890" w:rsidRDefault="00C829AC" w:rsidP="007F1A8A">
      <w:pPr>
        <w:numPr>
          <w:ilvl w:val="1"/>
          <w:numId w:val="28"/>
        </w:numPr>
        <w:suppressAutoHyphens/>
        <w:autoSpaceDN w:val="0"/>
        <w:snapToGrid w:val="0"/>
        <w:jc w:val="both"/>
        <w:textAlignment w:val="baseline"/>
        <w:rPr>
          <w:rFonts w:eastAsia="Batang"/>
        </w:rPr>
      </w:pPr>
      <w:r w:rsidRPr="00A92890">
        <w:rPr>
          <w:rFonts w:eastAsia="Batang"/>
        </w:rPr>
        <w:t>The above assumption to be verified by RAN2</w:t>
      </w:r>
    </w:p>
    <w:p w14:paraId="0D036DD6" w14:textId="77777777" w:rsidR="00C829AC" w:rsidRPr="00A92890" w:rsidRDefault="00C829AC" w:rsidP="007F1A8A">
      <w:pPr>
        <w:snapToGrid w:val="0"/>
        <w:jc w:val="both"/>
        <w:rPr>
          <w:color w:val="000000"/>
        </w:rPr>
      </w:pPr>
    </w:p>
    <w:p w14:paraId="579960D7" w14:textId="77777777" w:rsidR="00C829AC" w:rsidRPr="00A92890" w:rsidRDefault="00C829AC" w:rsidP="007F1A8A">
      <w:pPr>
        <w:snapToGrid w:val="0"/>
        <w:jc w:val="both"/>
        <w:rPr>
          <w:color w:val="000000"/>
        </w:rPr>
      </w:pPr>
    </w:p>
    <w:p w14:paraId="3224F77E" w14:textId="77777777" w:rsidR="00C829AC" w:rsidRPr="00A92890" w:rsidRDefault="00C829AC" w:rsidP="007F1A8A">
      <w:pPr>
        <w:snapToGrid w:val="0"/>
        <w:jc w:val="both"/>
      </w:pPr>
      <w:r w:rsidRPr="00A92890">
        <w:t xml:space="preserve">On Rel.17 multi beam measurement/reporting enhancements </w:t>
      </w:r>
      <w:r w:rsidRPr="00A92890">
        <w:rPr>
          <w:color w:val="000000"/>
        </w:rPr>
        <w:t>for L1/L2-centric inter-cell mobility and inter-cell mTRP</w:t>
      </w:r>
      <w:r w:rsidRPr="00A92890">
        <w:t>:</w:t>
      </w:r>
    </w:p>
    <w:p w14:paraId="4F375904" w14:textId="77777777" w:rsidR="00C829AC" w:rsidRPr="00A92890" w:rsidRDefault="00C829AC" w:rsidP="007F1A8A">
      <w:pPr>
        <w:pStyle w:val="ListParagraph"/>
        <w:numPr>
          <w:ilvl w:val="0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A quality of up to K beams associated at least with non-serving cell(s) can be reported in a single CSI reporting instance </w:t>
      </w:r>
    </w:p>
    <w:p w14:paraId="195EC9CB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>For each beam, the UE can report at least: (1) a Measured RS Indicator, and (2) a Beam Metric associated with the Measured RS Indicator</w:t>
      </w:r>
    </w:p>
    <w:p w14:paraId="64703454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FFS: Maximum value of K </w:t>
      </w:r>
    </w:p>
    <w:p w14:paraId="3F947493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FFS: If K is fixed, configured, reported by UE capability, or dynamically selected  </w:t>
      </w:r>
    </w:p>
    <w:p w14:paraId="3D49011F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 xml:space="preserve">FFS: The type of beam metric (e.g. L1-RSRP, L3-RSRP, or hybrid L1/L3-RSRP) and related measurement behavior </w:t>
      </w:r>
    </w:p>
    <w:p w14:paraId="34BCD44F" w14:textId="77777777" w:rsidR="00C829AC" w:rsidRPr="00A92890" w:rsidRDefault="00C829AC" w:rsidP="007F1A8A">
      <w:pPr>
        <w:pStyle w:val="ListParagraph"/>
        <w:numPr>
          <w:ilvl w:val="1"/>
          <w:numId w:val="29"/>
        </w:numPr>
        <w:autoSpaceDN w:val="0"/>
        <w:snapToGrid w:val="0"/>
        <w:contextualSpacing w:val="0"/>
        <w:jc w:val="both"/>
        <w:rPr>
          <w:sz w:val="20"/>
          <w:szCs w:val="20"/>
        </w:rPr>
      </w:pPr>
      <w:r w:rsidRPr="00A92890">
        <w:rPr>
          <w:sz w:val="20"/>
          <w:szCs w:val="20"/>
        </w:rPr>
        <w:t>FFS: Whether or not beam reporting associated with non-serving cell(s) can be mixed with that with serving-cell in one reporting instance</w:t>
      </w:r>
    </w:p>
    <w:p w14:paraId="4B29B091" w14:textId="77777777" w:rsidR="00C829AC" w:rsidRPr="00A92890" w:rsidRDefault="00C829AC" w:rsidP="007F1A8A">
      <w:pPr>
        <w:snapToGrid w:val="0"/>
        <w:jc w:val="both"/>
      </w:pPr>
      <w:r w:rsidRPr="00A92890">
        <w:t>At the end of RAN1#104-e, send an LS to RAN2 with all the RAN1-related inter-cell mobility agreements done so far during Rel17.</w:t>
      </w:r>
    </w:p>
    <w:p w14:paraId="3677E612" w14:textId="6CE396D4" w:rsidR="00141CAE" w:rsidRDefault="00141CAE" w:rsidP="007F1A8A">
      <w:pPr>
        <w:snapToGrid w:val="0"/>
        <w:jc w:val="both"/>
      </w:pPr>
    </w:p>
    <w:p w14:paraId="721E27F1" w14:textId="77777777" w:rsidR="002C7EF6" w:rsidRPr="00A92890" w:rsidRDefault="002C7EF6" w:rsidP="007F1A8A">
      <w:pPr>
        <w:snapToGrid w:val="0"/>
        <w:jc w:val="both"/>
      </w:pPr>
    </w:p>
    <w:p w14:paraId="2D3857E5" w14:textId="77777777" w:rsidR="000856AD" w:rsidRPr="003A2489" w:rsidRDefault="000856AD" w:rsidP="000856AD">
      <w:pPr>
        <w:snapToGrid w:val="0"/>
        <w:rPr>
          <w:rFonts w:eastAsia="Batang"/>
        </w:rPr>
      </w:pPr>
      <w:r w:rsidRPr="003A2489">
        <w:t xml:space="preserve">On Rel.17 multi beam measurement/reporting enhancements </w:t>
      </w:r>
      <w:r w:rsidRPr="003A2489">
        <w:rPr>
          <w:color w:val="000000"/>
        </w:rPr>
        <w:t>for L1/L2-centric inter-cell mobility and inter-cell mTRP</w:t>
      </w:r>
      <w:r w:rsidRPr="003A2489">
        <w:rPr>
          <w:rFonts w:eastAsia="Batang"/>
        </w:rPr>
        <w:t>:</w:t>
      </w:r>
    </w:p>
    <w:p w14:paraId="6590C31B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Rel.15 L1-RSRP is used as reporting quantity for measurement and reporting of non-serving-cell(s)</w:t>
      </w:r>
    </w:p>
    <w:p w14:paraId="7D99D79E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 xml:space="preserve">Support SSB as a measurement RS for </w:t>
      </w:r>
      <w:r w:rsidRPr="003A2489">
        <w:rPr>
          <w:color w:val="000000"/>
          <w:sz w:val="20"/>
          <w:szCs w:val="20"/>
        </w:rPr>
        <w:t xml:space="preserve">L1/L2-centric inter-cell mobility </w:t>
      </w:r>
      <w:r w:rsidRPr="003A2489">
        <w:rPr>
          <w:sz w:val="20"/>
          <w:szCs w:val="20"/>
        </w:rPr>
        <w:t>and inter-cell mTRP, and Rel.15 SS-RSRP calculated from SSB of non-serving cell(s)</w:t>
      </w:r>
    </w:p>
    <w:p w14:paraId="11F1CF6C" w14:textId="77777777" w:rsidR="000856AD" w:rsidRPr="003A2489" w:rsidRDefault="000856AD" w:rsidP="000856AD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bCs/>
          <w:sz w:val="20"/>
          <w:szCs w:val="20"/>
        </w:rPr>
        <w:t>FFS: Whether the measurement for SS-RSRP is limited within SMTC</w:t>
      </w:r>
    </w:p>
    <w:p w14:paraId="04AF2201" w14:textId="77777777" w:rsidR="000856AD" w:rsidRPr="003A2489" w:rsidRDefault="000856AD" w:rsidP="000856AD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rFonts w:eastAsia="Malgun Gothic"/>
          <w:sz w:val="20"/>
          <w:szCs w:val="20"/>
        </w:rPr>
        <w:t>FFS: Detailed reporting method, e.g. via including existing L1-RSRP report, UE-initiated report etc.</w:t>
      </w:r>
    </w:p>
    <w:p w14:paraId="4DB82394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 xml:space="preserve">FFS: Whether or not to support CSI-RS (for e.g. mobility and/or tracking) of non-serving cell(s) as a measurement RS for </w:t>
      </w:r>
      <w:r w:rsidRPr="003A2489">
        <w:rPr>
          <w:color w:val="000000"/>
          <w:sz w:val="20"/>
          <w:szCs w:val="20"/>
        </w:rPr>
        <w:t xml:space="preserve">L1/L2-centric inter-cell mobility </w:t>
      </w:r>
      <w:r w:rsidRPr="003A2489">
        <w:rPr>
          <w:sz w:val="20"/>
          <w:szCs w:val="20"/>
        </w:rPr>
        <w:t xml:space="preserve">and inter-cell mTRP. If the support of CSI-RS (for e.g. mobility and/or tracking) of non-serving cell(s) as a measurement RS for </w:t>
      </w:r>
      <w:r w:rsidRPr="003A2489">
        <w:rPr>
          <w:color w:val="000000"/>
          <w:sz w:val="20"/>
          <w:szCs w:val="20"/>
        </w:rPr>
        <w:t xml:space="preserve">L1/L2-centric inter-cell mobility </w:t>
      </w:r>
      <w:r w:rsidRPr="003A2489">
        <w:rPr>
          <w:sz w:val="20"/>
          <w:szCs w:val="20"/>
        </w:rPr>
        <w:t xml:space="preserve">and inter-cell mTRP is confirmed, Rel.15 CSI-RSRP is also supported  </w:t>
      </w:r>
    </w:p>
    <w:p w14:paraId="2C39CCD8" w14:textId="77777777" w:rsidR="000856AD" w:rsidRPr="003A2489" w:rsidRDefault="000856AD" w:rsidP="000856AD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Whether the support applies to CSI-RS with or without QCL source, or both</w:t>
      </w:r>
    </w:p>
    <w:p w14:paraId="40743969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 xml:space="preserve">FFS: The number of non-serving cell(s) for measurement/reporting </w:t>
      </w:r>
    </w:p>
    <w:p w14:paraId="45CB3ACD" w14:textId="77777777" w:rsidR="000856AD" w:rsidRPr="003A2489" w:rsidRDefault="000856AD" w:rsidP="000856AD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FFS: time behavior of the reporting, i.e. periodic, semi-persistent, aperiodic, or UE-initiated</w:t>
      </w:r>
    </w:p>
    <w:p w14:paraId="209B9328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sz w:val="20"/>
          <w:szCs w:val="20"/>
        </w:rPr>
        <w:t>FFS: If other reporting quantities are supported, e.g. L3-RSRP, hybrid L1/L3-RSRP</w:t>
      </w:r>
    </w:p>
    <w:p w14:paraId="0B69205A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bCs/>
          <w:sz w:val="20"/>
          <w:szCs w:val="20"/>
        </w:rPr>
        <w:t>FFS: Dynamic activation/deactivation/selection of the beam measurement on the RS(s) associated with non-serving cell(s) via MAC CE</w:t>
      </w:r>
    </w:p>
    <w:p w14:paraId="5B0AE6B9" w14:textId="77777777" w:rsidR="000856AD" w:rsidRPr="003A2489" w:rsidRDefault="000856AD" w:rsidP="000856AD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3A2489">
        <w:rPr>
          <w:bCs/>
          <w:sz w:val="20"/>
          <w:szCs w:val="20"/>
        </w:rPr>
        <w:lastRenderedPageBreak/>
        <w:t xml:space="preserve">FFS: Timing assumption </w:t>
      </w:r>
      <w:r w:rsidRPr="003A2489">
        <w:rPr>
          <w:sz w:val="20"/>
          <w:szCs w:val="20"/>
          <w:lang w:eastAsia="zh-CN"/>
        </w:rPr>
        <w:t>(e.g. time of arrival and time of the measurement)</w:t>
      </w:r>
      <w:r w:rsidRPr="003A2489">
        <w:rPr>
          <w:bCs/>
          <w:sz w:val="20"/>
          <w:szCs w:val="20"/>
        </w:rPr>
        <w:t xml:space="preserve"> for measurement of non-serving cell RS measurement</w:t>
      </w:r>
    </w:p>
    <w:p w14:paraId="0A1108D5" w14:textId="09EF3C2B" w:rsidR="000E77E9" w:rsidRPr="000856AD" w:rsidRDefault="000E77E9" w:rsidP="007F1A8A">
      <w:pPr>
        <w:snapToGrid w:val="0"/>
        <w:jc w:val="both"/>
        <w:rPr>
          <w:lang w:val="x-none"/>
        </w:rPr>
      </w:pPr>
    </w:p>
    <w:p w14:paraId="39E3FB96" w14:textId="77777777" w:rsidR="002C7EF6" w:rsidRPr="00A92890" w:rsidRDefault="002C7EF6" w:rsidP="007F1A8A">
      <w:pPr>
        <w:snapToGrid w:val="0"/>
        <w:jc w:val="both"/>
      </w:pPr>
    </w:p>
    <w:p w14:paraId="0F5DABBE" w14:textId="77777777" w:rsidR="00A4101F" w:rsidRPr="00A25726" w:rsidRDefault="00A4101F" w:rsidP="00A4101F">
      <w:pPr>
        <w:snapToGrid w:val="0"/>
      </w:pPr>
      <w:r w:rsidRPr="00A25726">
        <w:t xml:space="preserve">On Rel.17 enhancements </w:t>
      </w:r>
      <w:r w:rsidRPr="00A25726">
        <w:rPr>
          <w:color w:val="000000"/>
        </w:rPr>
        <w:t xml:space="preserve">for L1/L2-centric inter-cell mobility, </w:t>
      </w:r>
    </w:p>
    <w:p w14:paraId="17924090" w14:textId="77777777" w:rsidR="00A4101F" w:rsidRPr="00A25726" w:rsidRDefault="00A4101F" w:rsidP="00A4101F">
      <w:pPr>
        <w:numPr>
          <w:ilvl w:val="0"/>
          <w:numId w:val="31"/>
        </w:numPr>
        <w:snapToGrid w:val="0"/>
        <w:rPr>
          <w:color w:val="000000"/>
        </w:rPr>
      </w:pPr>
      <w:r w:rsidRPr="00A25726">
        <w:t xml:space="preserve">Discuss whether to support at least the source RS types already agreed for intra-cell mobility for the purpose of referencing to non-serving cell(s). Note: This implies the following source RS(s): </w:t>
      </w:r>
    </w:p>
    <w:p w14:paraId="60C3920D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CSI-RS for BM configured for non-serving cell(s) for DL QCL and UL TX spatial references</w:t>
      </w:r>
    </w:p>
    <w:p w14:paraId="49C6F056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CSI-RS for tracking (TRS) configured for non-serving cell(s) for DL QCL and UL TX spatial references</w:t>
      </w:r>
    </w:p>
    <w:p w14:paraId="6FFEF77E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SSB configured for non-serving cell(s) for UL TX spatial references</w:t>
      </w:r>
    </w:p>
    <w:p w14:paraId="23699E54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SRS for BM configured for non-serving cell(s) for UL TX spatial references</w:t>
      </w:r>
    </w:p>
    <w:p w14:paraId="25EBB23E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 xml:space="preserve">FFS: whether to support CSI-RS for mobility </w:t>
      </w:r>
    </w:p>
    <w:p w14:paraId="5E21B110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FFS: whether to support other source RS(s) potentially agreed later for intra-cell mobility</w:t>
      </w:r>
    </w:p>
    <w:p w14:paraId="4D92AA06" w14:textId="77777777" w:rsidR="00A4101F" w:rsidRPr="00A25726" w:rsidRDefault="00A4101F" w:rsidP="00A4101F">
      <w:pPr>
        <w:numPr>
          <w:ilvl w:val="1"/>
          <w:numId w:val="32"/>
        </w:numPr>
        <w:snapToGrid w:val="0"/>
      </w:pPr>
      <w:r w:rsidRPr="00A25726">
        <w:t>FFS: whether to support CSI-RS for BM and tracking configured for non-serving cell(s) and without non-serving cell SSB as QCL-TypeD source</w:t>
      </w:r>
    </w:p>
    <w:p w14:paraId="2675117B" w14:textId="77777777" w:rsidR="009916C0" w:rsidRPr="00A92890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370DECA4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</w:p>
    <w:p w14:paraId="5860058A" w14:textId="0EB7FB60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920CF2" w:rsidRPr="00115C5B">
        <w:rPr>
          <w:iCs/>
          <w:color w:val="000000"/>
          <w:sz w:val="22"/>
          <w:szCs w:val="22"/>
          <w:lang w:eastAsia="ko-KR"/>
        </w:rPr>
        <w:t>RAN</w:t>
      </w:r>
      <w:r w:rsidR="00956729">
        <w:rPr>
          <w:iCs/>
          <w:color w:val="000000"/>
          <w:sz w:val="22"/>
          <w:szCs w:val="22"/>
          <w:lang w:eastAsia="ko-KR"/>
        </w:rPr>
        <w:t>2</w:t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 to take the above into account</w:t>
      </w:r>
      <w:r w:rsidR="00956729">
        <w:rPr>
          <w:iCs/>
          <w:color w:val="000000"/>
          <w:sz w:val="22"/>
          <w:szCs w:val="22"/>
          <w:lang w:eastAsia="ko-KR"/>
        </w:rPr>
        <w:t>.</w:t>
      </w:r>
    </w:p>
    <w:p w14:paraId="76C167CE" w14:textId="08F8DD75" w:rsidR="00D33394" w:rsidRPr="006B27BE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74B84085" w14:textId="46D90595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</w:p>
    <w:p w14:paraId="730393E9" w14:textId="4E549517" w:rsidR="009D325A" w:rsidRDefault="00652802" w:rsidP="009E1428">
      <w:pPr>
        <w:tabs>
          <w:tab w:val="left" w:pos="4253"/>
          <w:tab w:val="left" w:pos="7655"/>
        </w:tabs>
        <w:spacing w:beforeLines="50" w:before="120" w:after="120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#10</w:t>
      </w:r>
      <w:r w:rsidR="00115C5B" w:rsidRPr="00115C5B">
        <w:rPr>
          <w:bCs/>
          <w:sz w:val="22"/>
          <w:szCs w:val="22"/>
        </w:rPr>
        <w:t>4</w:t>
      </w:r>
      <w:r w:rsidR="007F1A8A">
        <w:rPr>
          <w:bCs/>
          <w:sz w:val="22"/>
          <w:szCs w:val="22"/>
        </w:rPr>
        <w:t>bis</w:t>
      </w:r>
      <w:r w:rsidRPr="00115C5B">
        <w:rPr>
          <w:bCs/>
          <w:sz w:val="22"/>
          <w:szCs w:val="22"/>
        </w:rPr>
        <w:t>-e</w:t>
      </w:r>
      <w:r w:rsidR="009E1428">
        <w:rPr>
          <w:bCs/>
          <w:sz w:val="22"/>
          <w:szCs w:val="22"/>
        </w:rPr>
        <w:tab/>
      </w:r>
      <w:r w:rsidR="009D7595">
        <w:rPr>
          <w:bCs/>
          <w:sz w:val="22"/>
          <w:szCs w:val="22"/>
        </w:rPr>
        <w:t>12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20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April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p w14:paraId="1DE8670E" w14:textId="77777777" w:rsidR="009E1428" w:rsidRPr="00652802" w:rsidRDefault="009E1428" w:rsidP="009E1428">
      <w:pPr>
        <w:tabs>
          <w:tab w:val="left" w:pos="4253"/>
          <w:tab w:val="left" w:pos="7655"/>
        </w:tabs>
        <w:rPr>
          <w:rFonts w:ascii="Arial" w:hAnsi="Arial" w:cs="Arial"/>
          <w:lang w:eastAsia="zh-CN"/>
        </w:rPr>
      </w:pPr>
    </w:p>
    <w:sectPr w:rsidR="009E1428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F5015" w14:textId="77777777" w:rsidR="00C372EA" w:rsidRDefault="00C372EA" w:rsidP="00A0385F">
      <w:r>
        <w:separator/>
      </w:r>
    </w:p>
  </w:endnote>
  <w:endnote w:type="continuationSeparator" w:id="0">
    <w:p w14:paraId="38054FC9" w14:textId="77777777" w:rsidR="00C372EA" w:rsidRDefault="00C372EA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823191" w14:textId="77777777" w:rsidR="00C372EA" w:rsidRDefault="00C372EA" w:rsidP="00A0385F">
      <w:r>
        <w:separator/>
      </w:r>
    </w:p>
  </w:footnote>
  <w:footnote w:type="continuationSeparator" w:id="0">
    <w:p w14:paraId="45397737" w14:textId="77777777" w:rsidR="00C372EA" w:rsidRDefault="00C372EA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8"/>
  </w:num>
  <w:num w:numId="3">
    <w:abstractNumId w:val="14"/>
  </w:num>
  <w:num w:numId="4">
    <w:abstractNumId w:val="7"/>
  </w:num>
  <w:num w:numId="5">
    <w:abstractNumId w:val="9"/>
  </w:num>
  <w:num w:numId="6">
    <w:abstractNumId w:val="3"/>
  </w:num>
  <w:num w:numId="7">
    <w:abstractNumId w:val="16"/>
  </w:num>
  <w:num w:numId="8">
    <w:abstractNumId w:val="23"/>
  </w:num>
  <w:num w:numId="9">
    <w:abstractNumId w:val="5"/>
  </w:num>
  <w:num w:numId="10">
    <w:abstractNumId w:val="19"/>
  </w:num>
  <w:num w:numId="11">
    <w:abstractNumId w:val="24"/>
  </w:num>
  <w:num w:numId="12">
    <w:abstractNumId w:val="17"/>
  </w:num>
  <w:num w:numId="13">
    <w:abstractNumId w:val="17"/>
    <w:lvlOverride w:ilvl="0">
      <w:startOverride w:val="1"/>
    </w:lvlOverride>
  </w:num>
  <w:num w:numId="14">
    <w:abstractNumId w:val="29"/>
  </w:num>
  <w:num w:numId="15">
    <w:abstractNumId w:val="25"/>
  </w:num>
  <w:num w:numId="16">
    <w:abstractNumId w:val="10"/>
  </w:num>
  <w:num w:numId="17">
    <w:abstractNumId w:val="27"/>
  </w:num>
  <w:num w:numId="18">
    <w:abstractNumId w:val="11"/>
  </w:num>
  <w:num w:numId="19">
    <w:abstractNumId w:val="2"/>
  </w:num>
  <w:num w:numId="20">
    <w:abstractNumId w:val="4"/>
  </w:num>
  <w:num w:numId="21">
    <w:abstractNumId w:val="26"/>
  </w:num>
  <w:num w:numId="22">
    <w:abstractNumId w:val="15"/>
  </w:num>
  <w:num w:numId="23">
    <w:abstractNumId w:val="12"/>
  </w:num>
  <w:num w:numId="24">
    <w:abstractNumId w:val="21"/>
  </w:num>
  <w:num w:numId="25">
    <w:abstractNumId w:val="8"/>
  </w:num>
  <w:num w:numId="26">
    <w:abstractNumId w:val="13"/>
  </w:num>
  <w:num w:numId="27">
    <w:abstractNumId w:val="0"/>
  </w:num>
  <w:num w:numId="28">
    <w:abstractNumId w:val="20"/>
  </w:num>
  <w:num w:numId="29">
    <w:abstractNumId w:val="6"/>
  </w:num>
  <w:num w:numId="30">
    <w:abstractNumId w:val="28"/>
  </w:num>
  <w:num w:numId="31">
    <w:abstractNumId w:val="1"/>
  </w:num>
  <w:num w:numId="32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2864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727E"/>
    <w:rsid w:val="003D4688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73A5D"/>
    <w:rsid w:val="00575A04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77C7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83811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48AF"/>
    <w:rsid w:val="007E49A2"/>
    <w:rsid w:val="007F1A8A"/>
    <w:rsid w:val="007F534A"/>
    <w:rsid w:val="008151AA"/>
    <w:rsid w:val="00820AA6"/>
    <w:rsid w:val="00823081"/>
    <w:rsid w:val="008256E4"/>
    <w:rsid w:val="00832E32"/>
    <w:rsid w:val="00835824"/>
    <w:rsid w:val="00835858"/>
    <w:rsid w:val="008376FC"/>
    <w:rsid w:val="00840EFF"/>
    <w:rsid w:val="00841E09"/>
    <w:rsid w:val="0085395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5B52"/>
    <w:rsid w:val="009B75AE"/>
    <w:rsid w:val="009C2789"/>
    <w:rsid w:val="009C365A"/>
    <w:rsid w:val="009C7774"/>
    <w:rsid w:val="009D2049"/>
    <w:rsid w:val="009D325A"/>
    <w:rsid w:val="009D7595"/>
    <w:rsid w:val="009E1428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3340D"/>
    <w:rsid w:val="00B40BD9"/>
    <w:rsid w:val="00B420FD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372EA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6F23"/>
    <w:rsid w:val="00D846E6"/>
    <w:rsid w:val="00D91EEE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271"/>
    <w:rsid w:val="00DE4F5B"/>
    <w:rsid w:val="00DE7CFD"/>
    <w:rsid w:val="00DF2911"/>
    <w:rsid w:val="00E06C2B"/>
    <w:rsid w:val="00E108A4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F18C2"/>
    <w:rsid w:val="00EF2A80"/>
    <w:rsid w:val="00EF309A"/>
    <w:rsid w:val="00EF466B"/>
    <w:rsid w:val="00F058F8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A033E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683811"/>
    <w:rPr>
      <w:rFonts w:ascii="Arial" w:hAnsi="Arial" w:cs="Arial"/>
    </w:rPr>
  </w:style>
  <w:style w:type="paragraph" w:customStyle="1" w:styleId="CRCoverPage">
    <w:name w:val="CR Cover Page"/>
    <w:next w:val="Normal"/>
    <w:link w:val="CRCoverPageZchn"/>
    <w:qFormat/>
    <w:rsid w:val="00683811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0CC12-B8F9-40E6-B082-25F01B71C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Draft v2</cp:lastModifiedBy>
  <cp:revision>3</cp:revision>
  <cp:lastPrinted>2002-04-23T06:10:00Z</cp:lastPrinted>
  <dcterms:created xsi:type="dcterms:W3CDTF">2021-03-26T00:24:00Z</dcterms:created>
  <dcterms:modified xsi:type="dcterms:W3CDTF">2021-03-30T18:30:00Z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