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f4"/>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TW"/>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9"/>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TW"/>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35pt;height:167.15pt;mso-width-percent:0;mso-height-percent:0;mso-width-percent:0;mso-height-percent:0" o:ole="">
            <v:imagedata r:id="rId16" o:title=""/>
            <o:lock v:ext="edit" aspectratio="f"/>
          </v:shape>
          <o:OLEObject Type="Embed" ProgID="VisioViewer.Viewer.1" ShapeID="_x0000_i1025" DrawAspect="Content" ObjectID="_1673704338"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85pt;height:219.45pt;mso-width-percent:0;mso-height-percent:0;mso-width-percent:0;mso-height-percent:0" o:ole="">
                  <v:imagedata r:id="rId18" o:title=""/>
                  <o:lock v:ext="edit" aspectratio="f"/>
                </v:shape>
                <o:OLEObject Type="Embed" ProgID="Visio.Drawing.15" ShapeID="_x0000_i1026" DrawAspect="Content" ObjectID="_1673704339"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2pt;height:322.05pt;mso-width-percent:0;mso-height-percent:0;mso-width-percent:0;mso-height-percent:0" o:ole="">
                  <v:imagedata r:id="rId20" o:title=""/>
                  <o:lock v:ext="edit" aspectratio="f"/>
                </v:shape>
                <o:OLEObject Type="Embed" ProgID="Visio.Drawing.15" ShapeID="_x0000_i1027" DrawAspect="Content" ObjectID="_1673704340"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TW"/>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590D67">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590D67">
        <w:tc>
          <w:tcPr>
            <w:tcW w:w="1555" w:type="dxa"/>
          </w:tcPr>
          <w:p w14:paraId="6A8AC13B" w14:textId="63AE93FA"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A76828B" w14:textId="77777777" w:rsidTr="00590D67">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lastRenderedPageBreak/>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2pt;height:322.05pt;mso-width-percent:0;mso-height-percent:0;mso-width-percent:0;mso-height-percent:0" o:ole="">
                  <v:imagedata r:id="rId20" o:title=""/>
                  <o:lock v:ext="edit" aspectratio="f"/>
                </v:shape>
                <o:OLEObject Type="Embed" ProgID="Visio.Drawing.15" ShapeID="_x0000_i1028" DrawAspect="Content" ObjectID="_1673704341"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983A67">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983A67">
        <w:tc>
          <w:tcPr>
            <w:tcW w:w="1555" w:type="dxa"/>
          </w:tcPr>
          <w:p w14:paraId="4287C9EF" w14:textId="5E7AB626"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7F75B7" w14:paraId="4AB0E3ED" w14:textId="77777777" w:rsidTr="00983A67">
        <w:tc>
          <w:tcPr>
            <w:tcW w:w="1555" w:type="dxa"/>
          </w:tcPr>
          <w:p w14:paraId="0159F20C" w14:textId="44F8591D" w:rsidR="007F75B7" w:rsidRDefault="007F75B7" w:rsidP="007F75B7">
            <w:pPr>
              <w:rPr>
                <w:rFonts w:ascii="Arial" w:eastAsia="Helvetica" w:hAnsi="Arial" w:cs="Arial"/>
                <w:lang w:val="en-US"/>
              </w:rPr>
            </w:pPr>
            <w:bookmarkStart w:id="2" w:name="_GoBack" w:colFirst="0" w:colLast="2"/>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bookmarkEnd w:id="2"/>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lastRenderedPageBreak/>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lastRenderedPageBreak/>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590D67">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590D67">
        <w:tc>
          <w:tcPr>
            <w:tcW w:w="1555" w:type="dxa"/>
          </w:tcPr>
          <w:p w14:paraId="0CDF6ACE" w14:textId="1121C26E"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72112671" w14:textId="572CA970"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440EB5FA" w14:textId="77777777" w:rsidTr="00590D67">
        <w:tc>
          <w:tcPr>
            <w:tcW w:w="1555" w:type="dxa"/>
          </w:tcPr>
          <w:p w14:paraId="2E3E7B16" w14:textId="3D590A2E" w:rsidR="007F75B7" w:rsidRDefault="007F75B7" w:rsidP="007F75B7">
            <w:pPr>
              <w:rPr>
                <w:rFonts w:ascii="Arial" w:eastAsia="Malgun Gothic" w:hAnsi="Arial" w:cs="Arial"/>
                <w:lang w:val="en-US" w:eastAsia="ko-KR"/>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2E04C10D" w14:textId="0728FB95" w:rsidR="007F75B7" w:rsidRDefault="007F75B7" w:rsidP="007F75B7">
            <w:pPr>
              <w:rPr>
                <w:rFonts w:ascii="Arial" w:eastAsia="Malgun Gothic" w:hAnsi="Arial" w:cs="Arial"/>
                <w:lang w:val="en-US" w:eastAsia="ko-KR"/>
              </w:rPr>
            </w:pPr>
            <w:r>
              <w:rPr>
                <w:rFonts w:ascii="Arial" w:eastAsia="新細明體" w:hAnsi="Arial" w:cs="Arial"/>
                <w:lang w:val="en-US" w:eastAsia="zh-TW"/>
              </w:rPr>
              <w:t>Both</w:t>
            </w:r>
          </w:p>
        </w:tc>
        <w:tc>
          <w:tcPr>
            <w:tcW w:w="5950" w:type="dxa"/>
          </w:tcPr>
          <w:p w14:paraId="076EE332" w14:textId="3C14DB2C" w:rsidR="007F75B7" w:rsidRDefault="007F75B7" w:rsidP="007F75B7">
            <w:pPr>
              <w:rPr>
                <w:rFonts w:ascii="Arial" w:eastAsia="Malgun Gothic" w:hAnsi="Arial" w:cs="Arial"/>
                <w:lang w:val="en-US" w:eastAsia="ko-KR"/>
              </w:rPr>
            </w:pPr>
            <w:r>
              <w:rPr>
                <w:rFonts w:ascii="Arial" w:eastAsia="新細明體" w:hAnsi="Arial" w:cs="Arial"/>
                <w:lang w:val="en-US" w:eastAsia="zh-TW"/>
              </w:rPr>
              <w:t>B</w:t>
            </w:r>
            <w:r>
              <w:rPr>
                <w:rFonts w:ascii="Arial" w:eastAsia="新細明體" w:hAnsi="Arial" w:cs="Arial" w:hint="eastAsia"/>
                <w:lang w:val="en-US" w:eastAsia="zh-TW"/>
              </w:rPr>
              <w:t>o</w:t>
            </w:r>
            <w:r>
              <w:rPr>
                <w:rFonts w:ascii="Arial" w:eastAsia="新細明體" w:hAnsi="Arial" w:cs="Arial"/>
                <w:lang w:val="en-US" w:eastAsia="zh-TW"/>
              </w:rPr>
              <w:t>th approaches need to handle the changes of broadcast TAC for earth moving scenario.</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3"/>
            <w:commentRangeEnd w:id="3"/>
            <w:r>
              <w:rPr>
                <w:rStyle w:val="af7"/>
                <w:rFonts w:ascii="Times New Roman" w:hAnsi="Times New Roman"/>
              </w:rPr>
              <w:lastRenderedPageBreak/>
              <w:commentReference w:id="3"/>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lastRenderedPageBreak/>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590D67">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4C1C1655" w14:textId="77777777" w:rsidTr="00590D67">
        <w:tc>
          <w:tcPr>
            <w:tcW w:w="1555" w:type="dxa"/>
          </w:tcPr>
          <w:p w14:paraId="69B3799C" w14:textId="743664A9"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590D67">
        <w:tc>
          <w:tcPr>
            <w:tcW w:w="1555" w:type="dxa"/>
          </w:tcPr>
          <w:p w14:paraId="55C6E427" w14:textId="2560F7D2" w:rsidR="007F75B7" w:rsidRDefault="007F75B7" w:rsidP="007F75B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新細明體" w:hAnsi="Arial" w:cs="Arial"/>
                <w:lang w:eastAsia="zh-TW"/>
              </w:rPr>
            </w:pPr>
            <w:r>
              <w:rPr>
                <w:rFonts w:ascii="Arial" w:eastAsia="新細明體" w:hAnsi="Arial" w:cs="Arial" w:hint="eastAsia"/>
                <w:lang w:eastAsia="zh-TW"/>
              </w:rPr>
              <w:t>W</w:t>
            </w:r>
            <w:r>
              <w:rPr>
                <w:rFonts w:ascii="Arial" w:eastAsia="新細明體"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新細明體" w:hAnsi="Arial" w:cs="Arial"/>
                <w:lang w:eastAsia="zh-TW"/>
              </w:rPr>
              <w:t>If UE is served by the same NTN cell without moving away from the NTN TA(s) associated with UE GNSS location, UE needs not to perform TAU even the broadcast TAI(s) changed.</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lastRenderedPageBreak/>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983A67">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983A67">
        <w:tc>
          <w:tcPr>
            <w:tcW w:w="1555" w:type="dxa"/>
          </w:tcPr>
          <w:p w14:paraId="46CA6265" w14:textId="2DE1A835"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14:paraId="60CAC485" w14:textId="77777777" w:rsidTr="00983A67">
        <w:tc>
          <w:tcPr>
            <w:tcW w:w="1555" w:type="dxa"/>
          </w:tcPr>
          <w:p w14:paraId="4FF367B8" w14:textId="0B6B3861" w:rsidR="007F75B7" w:rsidRDefault="007F75B7" w:rsidP="007F75B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新細明體" w:hAnsi="Arial" w:cs="Arial" w:hint="eastAsia"/>
                <w:lang w:val="en-US" w:eastAsia="zh-TW"/>
              </w:rPr>
              <w:t>Y</w:t>
            </w:r>
            <w:r>
              <w:rPr>
                <w:rFonts w:ascii="Arial" w:eastAsia="新細明體"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590D67">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20352FD" w14:textId="77777777" w:rsidTr="00590D67">
        <w:tc>
          <w:tcPr>
            <w:tcW w:w="1555" w:type="dxa"/>
          </w:tcPr>
          <w:p w14:paraId="2C97A4F6" w14:textId="31495018"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590D67">
        <w:tc>
          <w:tcPr>
            <w:tcW w:w="1555" w:type="dxa"/>
          </w:tcPr>
          <w:p w14:paraId="2931A650" w14:textId="2FC2A217" w:rsidR="007F75B7" w:rsidRDefault="007F75B7" w:rsidP="007F75B7">
            <w:pPr>
              <w:rPr>
                <w:rFonts w:ascii="Arial" w:eastAsia="Malgun Gothic" w:hAnsi="Arial" w:cs="Arial"/>
                <w:lang w:val="en-US" w:eastAsia="ko-KR"/>
              </w:rPr>
            </w:pPr>
            <w:r>
              <w:rPr>
                <w:rFonts w:ascii="Arial" w:eastAsia="新細明體" w:hAnsi="Arial" w:cs="Arial" w:hint="eastAsia"/>
                <w:lang w:val="en-US" w:eastAsia="zh-TW"/>
              </w:rPr>
              <w:t>I</w:t>
            </w:r>
            <w:r>
              <w:rPr>
                <w:rFonts w:ascii="Arial" w:eastAsia="新細明體" w:hAnsi="Arial" w:cs="Arial"/>
                <w:lang w:val="en-US" w:eastAsia="zh-TW"/>
              </w:rPr>
              <w:t>TRI</w:t>
            </w:r>
          </w:p>
        </w:tc>
        <w:tc>
          <w:tcPr>
            <w:tcW w:w="1842" w:type="dxa"/>
          </w:tcPr>
          <w:p w14:paraId="70C61F94" w14:textId="58D1291E" w:rsidR="007F75B7" w:rsidRDefault="007F75B7" w:rsidP="007F75B7">
            <w:pPr>
              <w:rPr>
                <w:rFonts w:ascii="Arial" w:eastAsia="Malgun Gothic" w:hAnsi="Arial" w:cs="Arial"/>
                <w:lang w:val="en-US" w:eastAsia="ko-KR"/>
              </w:rPr>
            </w:pPr>
            <w:r>
              <w:rPr>
                <w:rFonts w:ascii="Arial" w:eastAsia="新細明體" w:hAnsi="Arial" w:cs="Arial" w:hint="eastAsia"/>
                <w:lang w:val="en-US" w:eastAsia="zh-TW"/>
              </w:rPr>
              <w:t>Y</w:t>
            </w:r>
            <w:r>
              <w:rPr>
                <w:rFonts w:ascii="Arial" w:eastAsia="新細明體"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新細明體" w:hAnsi="Arial" w:cs="Arial"/>
                <w:lang w:val="en-US" w:eastAsia="zh-TW"/>
              </w:rPr>
              <w:t>We support sending an LS to CT1/SA2.</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lastRenderedPageBreak/>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COM" w:date="2021-01-28T22:01:00Z" w:initials="QC">
    <w:p w14:paraId="45E4C08A" w14:textId="77777777" w:rsidR="00983A67" w:rsidRDefault="00983A67">
      <w:pPr>
        <w:pStyle w:val="a7"/>
      </w:pPr>
      <w:r>
        <w:rPr>
          <w:rStyle w:val="af7"/>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4028A" w14:textId="77777777" w:rsidR="00C659EB" w:rsidRDefault="00C659EB">
      <w:pPr>
        <w:spacing w:after="0" w:line="240" w:lineRule="auto"/>
      </w:pPr>
      <w:r>
        <w:separator/>
      </w:r>
    </w:p>
  </w:endnote>
  <w:endnote w:type="continuationSeparator" w:id="0">
    <w:p w14:paraId="05940FF2" w14:textId="77777777" w:rsidR="00C659EB" w:rsidRDefault="00C6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0D66" w14:textId="77777777" w:rsidR="00D82778" w:rsidRDefault="00D8277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3010" w14:textId="77777777" w:rsidR="00983A67" w:rsidRDefault="00983A67">
    <w:pPr>
      <w:pStyle w:val="af0"/>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6BC2" w14:textId="77777777" w:rsidR="00D82778" w:rsidRDefault="00D8277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94E5F" w14:textId="77777777" w:rsidR="00C659EB" w:rsidRDefault="00C659EB">
      <w:pPr>
        <w:spacing w:after="0" w:line="240" w:lineRule="auto"/>
      </w:pPr>
      <w:r>
        <w:separator/>
      </w:r>
    </w:p>
  </w:footnote>
  <w:footnote w:type="continuationSeparator" w:id="0">
    <w:p w14:paraId="4BE425E6" w14:textId="77777777" w:rsidR="00C659EB" w:rsidRDefault="00C65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AF73" w14:textId="77777777" w:rsidR="00D82778" w:rsidRDefault="00D8277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C7896" w14:textId="77777777" w:rsidR="00D82778" w:rsidRDefault="00D8277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5CCE" w14:textId="77777777" w:rsidR="00D82778" w:rsidRDefault="00D8277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25B5A53A-09B7-436F-B3B7-01BD745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SimSun"/>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2"/>
    <w:next w:val="a0"/>
    <w:uiPriority w:val="39"/>
    <w:qFormat/>
    <w:rsid w:val="00E2197D"/>
    <w:pPr>
      <w:ind w:left="1418" w:hanging="1418"/>
    </w:pPr>
  </w:style>
  <w:style w:type="paragraph" w:styleId="32">
    <w:name w:val="toc 3"/>
    <w:basedOn w:val="23"/>
    <w:next w:val="a0"/>
    <w:uiPriority w:val="39"/>
    <w:qFormat/>
    <w:rsid w:val="00E2197D"/>
    <w:pPr>
      <w:ind w:left="1134" w:hanging="1134"/>
    </w:pPr>
  </w:style>
  <w:style w:type="paragraph" w:styleId="23">
    <w:name w:val="toc 2"/>
    <w:basedOn w:val="11"/>
    <w:next w:val="a0"/>
    <w:uiPriority w:val="39"/>
    <w:qFormat/>
    <w:rsid w:val="00E2197D"/>
    <w:pPr>
      <w:keepNext w:val="0"/>
      <w:spacing w:before="0"/>
      <w:ind w:left="851" w:hanging="851"/>
    </w:pPr>
    <w:rPr>
      <w:sz w:val="20"/>
    </w:rPr>
  </w:style>
  <w:style w:type="paragraph" w:styleId="11">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80">
    <w:name w:val="toc 8"/>
    <w:basedOn w:val="1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SimSun"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1"/>
    <w:qFormat/>
    <w:rsid w:val="00E2197D"/>
    <w:pPr>
      <w:ind w:left="1418"/>
    </w:pPr>
  </w:style>
  <w:style w:type="paragraph" w:styleId="90">
    <w:name w:val="toc 9"/>
    <w:basedOn w:val="80"/>
    <w:next w:val="a0"/>
    <w:semiHidden/>
    <w:qFormat/>
    <w:rsid w:val="00E2197D"/>
    <w:pPr>
      <w:ind w:left="1418" w:hanging="1418"/>
    </w:pPr>
  </w:style>
  <w:style w:type="paragraph" w:styleId="12">
    <w:name w:val="index 1"/>
    <w:basedOn w:val="a0"/>
    <w:next w:val="a0"/>
    <w:semiHidden/>
    <w:qFormat/>
    <w:rsid w:val="00E2197D"/>
    <w:pPr>
      <w:keepLines/>
      <w:spacing w:after="0"/>
    </w:pPr>
  </w:style>
  <w:style w:type="paragraph" w:styleId="24">
    <w:name w:val="index 2"/>
    <w:basedOn w:val="12"/>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SimSun"/>
      <w:color w:val="0000FF"/>
      <w:u w:val="single"/>
      <w:lang w:val="en-US" w:eastAsia="zh-CN" w:bidi="ar-SA"/>
    </w:rPr>
  </w:style>
  <w:style w:type="character" w:styleId="af7">
    <w:name w:val="annotation reference"/>
    <w:uiPriority w:val="99"/>
    <w:qFormat/>
    <w:rsid w:val="00E2197D"/>
    <w:rPr>
      <w:rFonts w:eastAsia="SimSun"/>
      <w:sz w:val="16"/>
      <w:lang w:val="en-US" w:eastAsia="zh-CN" w:bidi="ar-SA"/>
    </w:rPr>
  </w:style>
  <w:style w:type="character" w:styleId="af8">
    <w:name w:val="footnote reference"/>
    <w:semiHidden/>
    <w:qFormat/>
    <w:rsid w:val="00E2197D"/>
    <w:rPr>
      <w:rFonts w:eastAsia="SimSun"/>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0">
    <w:name w:val="標題 1 字元"/>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清單 字元"/>
    <w:link w:val="a4"/>
    <w:qFormat/>
    <w:rsid w:val="00E2197D"/>
    <w:rPr>
      <w:rFonts w:eastAsia="SimSun"/>
      <w:lang w:val="en-GB" w:eastAsia="en-US" w:bidi="ar-SA"/>
    </w:rPr>
  </w:style>
  <w:style w:type="character" w:customStyle="1" w:styleId="MSMinchoChar">
    <w:name w:val="样式 列表 + (西文) MS Mincho Char"/>
    <w:basedOn w:val="a5"/>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4">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rsid w:val="00E2197D"/>
  </w:style>
  <w:style w:type="character" w:customStyle="1" w:styleId="21">
    <w:name w:val="標題 2 字元"/>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6">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註解文字 字元"/>
    <w:link w:val="a7"/>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af2">
    <w:name w:val="頁首 字元"/>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ae">
    <w:name w:val="本文 字元"/>
    <w:link w:val="ad"/>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標題 字元"/>
    <w:link w:val="af4"/>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標號 字元"/>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清單段落 字元"/>
    <w:aliases w:val="- Bullets 字元,?? ?? 字元,????? 字元,???? 字元,Lista1 字元"/>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標題 3 字元"/>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Web">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4">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1222.vsdx"/><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333.vsdx"/><Relationship Id="rId28" Type="http://schemas.openxmlformats.org/officeDocument/2006/relationships/footer" Target="footer1.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111.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A66335-C677-48E0-912A-E8133E22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3</TotalTime>
  <Pages>17</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itri</cp:lastModifiedBy>
  <cp:revision>5</cp:revision>
  <cp:lastPrinted>2009-04-22T01:01:00Z</cp:lastPrinted>
  <dcterms:created xsi:type="dcterms:W3CDTF">2021-02-01T09:02:00Z</dcterms:created>
  <dcterms:modified xsi:type="dcterms:W3CDTF">2021-02-01T09:06:00Z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