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2"/>
        <w:tabs>
          <w:tab w:val="right" w:pos="9639"/>
        </w:tabs>
        <w:spacing w:after="0"/>
        <w:jc w:val="both"/>
        <w:rPr>
          <w:rFonts w:eastAsia="宋体"/>
          <w:b/>
          <w:i/>
          <w:sz w:val="28"/>
          <w:lang w:val="en-US" w:eastAsia="zh-CN"/>
        </w:rPr>
      </w:pPr>
      <w:r>
        <w:rPr>
          <w:b/>
          <w:sz w:val="24"/>
        </w:rPr>
        <w:t>3GPP TSG-RAN WG2 Meeting #1</w:t>
      </w:r>
      <w:r>
        <w:rPr>
          <w:rFonts w:hint="eastAsia" w:eastAsia="宋体"/>
          <w:b/>
          <w:sz w:val="24"/>
          <w:lang w:val="en-US" w:eastAsia="zh-CN"/>
        </w:rPr>
        <w:t>13-e</w:t>
      </w:r>
      <w:r>
        <w:rPr>
          <w:b/>
          <w:sz w:val="24"/>
        </w:rPr>
        <w:tab/>
      </w:r>
      <w:r>
        <w:rPr>
          <w:rFonts w:hint="eastAsia" w:eastAsia="宋体"/>
          <w:b/>
          <w:sz w:val="24"/>
          <w:lang w:val="en-US" w:eastAsia="zh-CN"/>
        </w:rPr>
        <w:t xml:space="preserve">   </w:t>
      </w:r>
      <w:r>
        <w:rPr>
          <w:b/>
          <w:i/>
          <w:sz w:val="28"/>
        </w:rPr>
        <w:t>R2-</w:t>
      </w:r>
      <w:r>
        <w:rPr>
          <w:rFonts w:hint="eastAsia" w:eastAsia="宋体"/>
          <w:b/>
          <w:i/>
          <w:sz w:val="28"/>
          <w:lang w:val="en-US" w:eastAsia="zh-CN"/>
        </w:rPr>
        <w:t>2100</w:t>
      </w:r>
      <w:bookmarkStart w:id="2" w:name="_GoBack"/>
      <w:bookmarkEnd w:id="2"/>
      <w:r>
        <w:rPr>
          <w:rFonts w:hint="eastAsia" w:eastAsia="宋体"/>
          <w:b/>
          <w:i/>
          <w:sz w:val="28"/>
          <w:lang w:val="en-US" w:eastAsia="zh-CN"/>
        </w:rPr>
        <w:t>433</w:t>
      </w:r>
    </w:p>
    <w:p>
      <w:pPr>
        <w:pStyle w:val="282"/>
        <w:tabs>
          <w:tab w:val="right" w:pos="9639"/>
        </w:tabs>
        <w:spacing w:after="0"/>
        <w:jc w:val="both"/>
        <w:rPr>
          <w:b/>
          <w:sz w:val="24"/>
          <w:szCs w:val="22"/>
          <w:lang w:val="en-US"/>
        </w:rPr>
      </w:pPr>
      <w:r>
        <w:rPr>
          <w:b/>
          <w:sz w:val="24"/>
          <w:szCs w:val="22"/>
          <w:lang w:val="de-DE" w:eastAsia="zh-CN"/>
        </w:rPr>
        <w:t xml:space="preserve">Online, </w:t>
      </w:r>
      <w:r>
        <w:rPr>
          <w:rFonts w:hint="eastAsia"/>
          <w:b/>
          <w:sz w:val="24"/>
          <w:szCs w:val="22"/>
          <w:lang w:val="en-US" w:eastAsia="zh-CN"/>
        </w:rPr>
        <w:t>Jan</w:t>
      </w:r>
      <w:r>
        <w:rPr>
          <w:b/>
          <w:sz w:val="24"/>
          <w:szCs w:val="22"/>
          <w:lang w:val="de-DE" w:eastAsia="zh-CN"/>
        </w:rPr>
        <w:t xml:space="preserve"> </w:t>
      </w:r>
      <w:r>
        <w:rPr>
          <w:rFonts w:hint="eastAsia"/>
          <w:b/>
          <w:sz w:val="24"/>
          <w:szCs w:val="22"/>
          <w:lang w:val="en-US" w:eastAsia="zh-CN"/>
        </w:rPr>
        <w:t>25</w:t>
      </w:r>
      <w:r>
        <w:rPr>
          <w:b/>
          <w:sz w:val="24"/>
          <w:szCs w:val="22"/>
          <w:lang w:val="de-DE" w:eastAsia="zh-CN"/>
        </w:rPr>
        <w:t xml:space="preserve">th - </w:t>
      </w:r>
      <w:r>
        <w:rPr>
          <w:rFonts w:hint="eastAsia"/>
          <w:b/>
          <w:sz w:val="24"/>
          <w:szCs w:val="22"/>
          <w:lang w:val="en-US" w:eastAsia="zh-CN"/>
        </w:rPr>
        <w:t>Feb 5</w:t>
      </w:r>
      <w:r>
        <w:rPr>
          <w:b/>
          <w:sz w:val="24"/>
          <w:szCs w:val="22"/>
          <w:lang w:val="de-DE" w:eastAsia="zh-CN"/>
        </w:rPr>
        <w:t>th, 202</w:t>
      </w:r>
      <w:r>
        <w:rPr>
          <w:rFonts w:hint="eastAsia"/>
          <w:b/>
          <w:sz w:val="24"/>
          <w:szCs w:val="22"/>
          <w:lang w:val="en-US" w:eastAsia="zh-CN"/>
        </w:rPr>
        <w:t>1</w:t>
      </w:r>
    </w:p>
    <w:p>
      <w:pPr>
        <w:overflowPunct w:val="0"/>
        <w:autoSpaceDE w:val="0"/>
        <w:autoSpaceDN w:val="0"/>
        <w:adjustRightInd w:val="0"/>
        <w:snapToGrid w:val="0"/>
        <w:spacing w:before="156" w:beforeLines="50" w:line="240" w:lineRule="auto"/>
        <w:textAlignment w:val="baseline"/>
        <w:rPr>
          <w:rFonts w:ascii="Arial" w:hAnsi="Arial" w:cs="Arial"/>
          <w:b/>
          <w:bCs/>
          <w:kern w:val="0"/>
          <w:sz w:val="24"/>
        </w:rPr>
      </w:pP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 xml:space="preserve">Consideration on the IMS voice and emergency services for SNPN </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8.16.4</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szCs w:val="21"/>
        </w:rPr>
      </w:pPr>
      <w:r>
        <w:rPr>
          <w:rFonts w:hint="eastAsia"/>
          <w:szCs w:val="21"/>
        </w:rPr>
        <w:t>In this paper, we focus on the objective of IMS voice and emergency service as below.</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5" w:type="dxa"/>
          </w:tcPr>
          <w:p>
            <w:pPr>
              <w:numPr>
                <w:ilvl w:val="0"/>
                <w:numId w:val="5"/>
              </w:numPr>
              <w:ind w:right="-99"/>
              <w:rPr>
                <w:lang w:eastAsia="en-US"/>
              </w:rPr>
            </w:pPr>
            <w:r>
              <w:rPr>
                <w:lang w:eastAsia="en-US"/>
              </w:rPr>
              <w:t xml:space="preserve">Support of IMS voice and emergency services for SNPN </w:t>
            </w:r>
            <w:r>
              <w:rPr>
                <w:rFonts w:hint="eastAsia"/>
                <w:lang w:eastAsia="en-US"/>
              </w:rPr>
              <w:t>[</w:t>
            </w:r>
            <w:r>
              <w:rPr>
                <w:lang w:eastAsia="en-US"/>
              </w:rPr>
              <w:t>RAN2]</w:t>
            </w:r>
          </w:p>
          <w:p>
            <w:pPr>
              <w:numPr>
                <w:ilvl w:val="1"/>
                <w:numId w:val="5"/>
              </w:numPr>
              <w:ind w:right="-99"/>
              <w:rPr>
                <w:lang w:eastAsia="en-US"/>
              </w:rPr>
            </w:pPr>
            <w:r>
              <w:rPr>
                <w:lang w:eastAsia="en-US"/>
              </w:rPr>
              <w:t>Broadcasting of relevant parameters [RAN2]</w:t>
            </w:r>
          </w:p>
        </w:tc>
      </w:tr>
    </w:tbl>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rPr>
          <w:rFonts w:hint="eastAsia"/>
        </w:rPr>
      </w:pPr>
      <w:r>
        <w:t>In this chapter, we first discuss IMS voice impact on the system information, then discuss the emergency related issues.</w:t>
      </w:r>
    </w:p>
    <w:p>
      <w:pPr>
        <w:pStyle w:val="3"/>
        <w:numPr>
          <w:ilvl w:val="2"/>
          <w:numId w:val="0"/>
        </w:numPr>
        <w:tabs>
          <w:tab w:val="left" w:pos="720"/>
          <w:tab w:val="clear" w:pos="432"/>
        </w:tabs>
        <w:rPr>
          <w:b w:val="0"/>
          <w:bCs w:val="0"/>
          <w:sz w:val="28"/>
          <w:szCs w:val="28"/>
          <w:lang w:val="en-US"/>
        </w:rPr>
      </w:pPr>
      <w:r>
        <w:rPr>
          <w:rFonts w:hint="eastAsia"/>
          <w:b w:val="0"/>
          <w:bCs w:val="0"/>
          <w:sz w:val="28"/>
          <w:szCs w:val="28"/>
          <w:lang w:val="en-US"/>
        </w:rPr>
        <w:t>2.1 IMS voice for SNPN</w:t>
      </w:r>
    </w:p>
    <w:p>
      <w:pPr>
        <w:pStyle w:val="105"/>
        <w:rPr>
          <w:rFonts w:ascii="Times New Roman" w:hAnsi="Times New Roman" w:cs="Times New Roman" w:eastAsiaTheme="minorEastAsia"/>
          <w:kern w:val="2"/>
          <w:sz w:val="21"/>
          <w:szCs w:val="21"/>
          <w:lang w:val="en-US"/>
        </w:rPr>
      </w:pPr>
      <w:r>
        <w:rPr>
          <w:rFonts w:hint="eastAsia" w:ascii="Times New Roman" w:hAnsi="Times New Roman" w:cs="Times New Roman" w:eastAsiaTheme="minorEastAsia"/>
          <w:kern w:val="2"/>
          <w:sz w:val="21"/>
          <w:szCs w:val="21"/>
          <w:lang w:val="en-US"/>
        </w:rPr>
        <w:t>About the IMS service, SA2 has achieved the following interim conclusion:</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95"/>
            </w:pPr>
            <w:r>
              <w:t>-</w:t>
            </w:r>
            <w:r>
              <w:tab/>
            </w:r>
            <w:r>
              <w:t>Solution #56 is recommended for normative work to support SNPN selection for "voice centric" UEs as the result of voice domain selection.</w:t>
            </w:r>
          </w:p>
          <w:p>
            <w:pPr>
              <w:pStyle w:val="95"/>
              <w:rPr>
                <w:lang w:val="en-US" w:eastAsia="zh-CN"/>
              </w:rPr>
            </w:pPr>
            <w:r>
              <w:rPr>
                <w:rFonts w:hint="eastAsia"/>
                <w:lang w:val="en-US" w:eastAsia="zh-CN"/>
              </w:rPr>
              <w:t>--------Solution #56</w:t>
            </w:r>
          </w:p>
          <w:p>
            <w:pPr>
              <w:pStyle w:val="95"/>
              <w:rPr>
                <w:highlight w:val="yellow"/>
                <w:lang w:eastAsia="ko-KR"/>
              </w:rPr>
            </w:pPr>
            <w:r>
              <w:rPr>
                <w:lang w:val="en-US" w:eastAsia="ko-KR"/>
              </w:rPr>
              <w:t>-</w:t>
            </w:r>
            <w:r>
              <w:rPr>
                <w:lang w:val="en-US" w:eastAsia="ko-KR"/>
              </w:rPr>
              <w:tab/>
            </w:r>
            <w:r>
              <w:rPr>
                <w:lang w:val="en-US" w:eastAsia="ko-KR"/>
              </w:rPr>
              <w:t xml:space="preserve">The "voice centric" UE should </w:t>
            </w:r>
            <w:r>
              <w:rPr>
                <w:highlight w:val="yellow"/>
                <w:lang w:val="en-US" w:eastAsia="ko-KR"/>
              </w:rPr>
              <w:t>maintain a list of SNPNs where voice service was not possible in SNPN access mode.</w:t>
            </w:r>
          </w:p>
          <w:p>
            <w:pPr>
              <w:pStyle w:val="219"/>
              <w:rPr>
                <w:highlight w:val="yellow"/>
                <w:lang w:eastAsia="ko-KR"/>
              </w:rPr>
            </w:pPr>
            <w:r>
              <w:rPr>
                <w:lang w:eastAsia="ko-KR"/>
              </w:rPr>
              <w:t>NOTE 1:</w:t>
            </w:r>
            <w:r>
              <w:rPr>
                <w:lang w:eastAsia="ko-KR"/>
              </w:rPr>
              <w:tab/>
            </w:r>
            <w:r>
              <w:rPr>
                <w:lang w:eastAsia="ko-KR"/>
              </w:rPr>
              <w:t xml:space="preserve">Since in SNPN access mode there is only support for NR and the </w:t>
            </w:r>
            <w:r>
              <w:t>"</w:t>
            </w:r>
            <w:r>
              <w:rPr>
                <w:lang w:eastAsia="ko-KR"/>
              </w:rPr>
              <w:t>voice centric</w:t>
            </w:r>
            <w:r>
              <w:t>"</w:t>
            </w:r>
            <w:r>
              <w:rPr>
                <w:lang w:eastAsia="ko-KR"/>
              </w:rPr>
              <w:t xml:space="preserve"> UE cannot reselect to another RAT in the same registered SNPN if the first TA-list that the UE tries to register from cannot support IMS voice,</w:t>
            </w:r>
            <w:r>
              <w:rPr>
                <w:highlight w:val="yellow"/>
                <w:lang w:eastAsia="ko-KR"/>
              </w:rPr>
              <w:t xml:space="preserve"> it is recommended that support for IMS voice is provided homogeneously in the whole SNPN if at all.</w:t>
            </w:r>
          </w:p>
          <w:p>
            <w:pPr>
              <w:pStyle w:val="95"/>
              <w:rPr>
                <w:highlight w:val="yellow"/>
                <w:lang w:val="en-US" w:eastAsia="ko-KR"/>
              </w:rPr>
            </w:pPr>
            <w:r>
              <w:rPr>
                <w:lang w:val="en-US" w:eastAsia="ko-KR"/>
              </w:rPr>
              <w:t>-</w:t>
            </w:r>
            <w:r>
              <w:rPr>
                <w:lang w:val="en-US" w:eastAsia="ko-KR"/>
              </w:rPr>
              <w:tab/>
            </w:r>
            <w:r>
              <w:rPr>
                <w:lang w:val="en-US" w:eastAsia="ko-KR"/>
              </w:rPr>
              <w:t xml:space="preserve">The UE may perform SNPN selection or PLMN selection (if it has PLMN subscription) as it will be defined in procedures of Key issue #1. </w:t>
            </w:r>
            <w:r>
              <w:rPr>
                <w:highlight w:val="yellow"/>
                <w:lang w:val="en-US" w:eastAsia="ko-KR"/>
              </w:rPr>
              <w:t xml:space="preserve">The UE does not </w:t>
            </w:r>
            <w:r>
              <w:rPr>
                <w:highlight w:val="yellow"/>
                <w:lang w:val="en-US"/>
              </w:rPr>
              <w:t>consider SNPNs where voice service was not possible as SNPN selection candidates</w:t>
            </w:r>
            <w:r>
              <w:rPr>
                <w:highlight w:val="yellow"/>
                <w:lang w:val="en-US" w:eastAsia="ko-KR"/>
              </w:rPr>
              <w:t>.</w:t>
            </w:r>
          </w:p>
          <w:p>
            <w:pPr>
              <w:pStyle w:val="95"/>
              <w:rPr>
                <w:lang w:val="en-US" w:eastAsia="zh-CN"/>
              </w:rPr>
            </w:pPr>
            <w:r>
              <w:rPr>
                <w:rFonts w:hint="eastAsia"/>
                <w:lang w:val="en-US" w:eastAsia="zh-CN"/>
              </w:rPr>
              <w:t>-</w:t>
            </w:r>
            <w:r>
              <w:rPr>
                <w:rFonts w:hint="eastAsia"/>
                <w:lang w:val="en-US" w:eastAsia="zh-CN"/>
              </w:rPr>
              <w:tab/>
            </w:r>
            <w:r>
              <w:rPr>
                <w:rFonts w:hint="eastAsia"/>
                <w:lang w:val="en-US" w:eastAsia="zh-CN"/>
              </w:rPr>
              <w:t xml:space="preserve">To avoid the stored SNPNs not supporting voice service never being retried again even when they support voice service later, </w:t>
            </w:r>
            <w:r>
              <w:rPr>
                <w:rFonts w:hint="eastAsia"/>
                <w:highlight w:val="yellow"/>
                <w:lang w:val="en-US" w:eastAsia="zh-CN"/>
              </w:rPr>
              <w:t>the UE may</w:t>
            </w:r>
            <w:r>
              <w:rPr>
                <w:highlight w:val="yellow"/>
                <w:lang w:val="en-US" w:eastAsia="zh-CN"/>
              </w:rPr>
              <w:t xml:space="preserve"> retry these SNPNs to verify voice services support</w:t>
            </w:r>
            <w:r>
              <w:rPr>
                <w:rFonts w:hint="eastAsia"/>
                <w:lang w:val="en-US" w:eastAsia="zh-CN"/>
              </w:rPr>
              <w:t>, e.g. when no directly available SNPN or by timer expiry</w:t>
            </w:r>
            <w:r>
              <w:rPr>
                <w:lang w:val="en-US" w:eastAsia="zh-CN"/>
              </w:rPr>
              <w:t>.</w:t>
            </w:r>
          </w:p>
        </w:tc>
      </w:tr>
    </w:tbl>
    <w:p>
      <w:pPr>
        <w:pStyle w:val="105"/>
        <w:jc w:val="both"/>
        <w:rPr>
          <w:rFonts w:ascii="Times New Roman" w:hAnsi="Times New Roman" w:cs="Times New Roman" w:eastAsiaTheme="minorEastAsia"/>
          <w:kern w:val="2"/>
          <w:sz w:val="21"/>
          <w:szCs w:val="21"/>
          <w:lang w:val="en-US"/>
        </w:rPr>
      </w:pPr>
      <w:r>
        <w:rPr>
          <w:rFonts w:hint="eastAsia" w:ascii="Times New Roman" w:hAnsi="Times New Roman" w:cs="Times New Roman" w:eastAsiaTheme="minorEastAsia"/>
          <w:kern w:val="2"/>
          <w:sz w:val="21"/>
          <w:szCs w:val="21"/>
          <w:lang w:val="en-US"/>
        </w:rPr>
        <w:t>In this chapter we discuss whether need to do some enhancement to the SNPN on the IMS voice, e.g. add an indication in the SIB to indicate the IMS voice support or not.</w:t>
      </w:r>
    </w:p>
    <w:p>
      <w:pPr>
        <w:rPr>
          <w:szCs w:val="21"/>
        </w:rPr>
      </w:pPr>
      <w:r>
        <w:rPr>
          <w:rFonts w:hint="eastAsia"/>
          <w:kern w:val="0"/>
          <w:szCs w:val="21"/>
        </w:rPr>
        <w:t>F</w:t>
      </w:r>
      <w:r>
        <w:rPr>
          <w:rFonts w:hint="eastAsia"/>
          <w:szCs w:val="21"/>
        </w:rPr>
        <w:t>or the public network, a</w:t>
      </w:r>
      <w:r>
        <w:rPr>
          <w:szCs w:val="21"/>
        </w:rPr>
        <w:t xml:space="preserve"> “</w:t>
      </w:r>
      <w:r>
        <w:rPr>
          <w:rFonts w:hint="eastAsia"/>
          <w:szCs w:val="21"/>
        </w:rPr>
        <w:t>voice centric</w:t>
      </w:r>
      <w:r>
        <w:rPr>
          <w:szCs w:val="21"/>
        </w:rPr>
        <w:t>”</w:t>
      </w:r>
      <w:r>
        <w:rPr>
          <w:rFonts w:hint="eastAsia"/>
          <w:szCs w:val="21"/>
        </w:rPr>
        <w:t xml:space="preserve"> UE will disable NR mode for the related PLMN and try another RAT once the network indicate it doesn</w:t>
      </w:r>
      <w:r>
        <w:rPr>
          <w:szCs w:val="21"/>
        </w:rPr>
        <w:t>’</w:t>
      </w:r>
      <w:r>
        <w:rPr>
          <w:rFonts w:hint="eastAsia"/>
          <w:szCs w:val="21"/>
        </w:rPr>
        <w:t>t support IMS over NR PS in the registration accept message. Similarly, in the LTE, even the network doesn</w:t>
      </w:r>
      <w:r>
        <w:rPr>
          <w:szCs w:val="21"/>
        </w:rPr>
        <w:t>’</w:t>
      </w:r>
      <w:r>
        <w:rPr>
          <w:rFonts w:hint="eastAsia"/>
          <w:szCs w:val="21"/>
        </w:rPr>
        <w:t>t support the IMS over PS, the UE still can have voice call on the other RAT. Thus</w:t>
      </w:r>
      <w:r>
        <w:rPr>
          <w:szCs w:val="21"/>
        </w:rPr>
        <w:t xml:space="preserve"> for the public network,</w:t>
      </w:r>
      <w:r>
        <w:rPr>
          <w:rFonts w:hint="eastAsia"/>
          <w:szCs w:val="21"/>
        </w:rPr>
        <w:t xml:space="preserve"> the IMS voice support or not will not affect the AS layer cell selection and reselection, there is no need to broadcast IMS support indication in the public network.</w:t>
      </w:r>
    </w:p>
    <w:p>
      <w:r>
        <w:rPr>
          <w:rFonts w:hint="eastAsia"/>
          <w:szCs w:val="21"/>
        </w:rPr>
        <w:t>However, for the SNPN, if the registered SNPN doesn</w:t>
      </w:r>
      <w:r>
        <w:rPr>
          <w:szCs w:val="21"/>
        </w:rPr>
        <w:t>’</w:t>
      </w:r>
      <w:r>
        <w:rPr>
          <w:rFonts w:hint="eastAsia"/>
          <w:szCs w:val="21"/>
        </w:rPr>
        <w:t>t support IMS voice, the UE can</w:t>
      </w:r>
      <w:r>
        <w:rPr>
          <w:szCs w:val="21"/>
        </w:rPr>
        <w:t>’</w:t>
      </w:r>
      <w:r>
        <w:rPr>
          <w:rFonts w:hint="eastAsia"/>
          <w:szCs w:val="21"/>
        </w:rPr>
        <w:t xml:space="preserve">t reselect to another RAT, the </w:t>
      </w:r>
      <w:r>
        <w:rPr>
          <w:szCs w:val="21"/>
        </w:rPr>
        <w:t>“</w:t>
      </w:r>
      <w:r>
        <w:rPr>
          <w:rFonts w:hint="eastAsia"/>
          <w:szCs w:val="21"/>
        </w:rPr>
        <w:t>voice centric</w:t>
      </w:r>
      <w:r>
        <w:rPr>
          <w:szCs w:val="21"/>
        </w:rPr>
        <w:t>”</w:t>
      </w:r>
      <w:r>
        <w:rPr>
          <w:rFonts w:hint="eastAsia"/>
          <w:szCs w:val="21"/>
        </w:rPr>
        <w:t xml:space="preserve"> UE has to try to resister with other SNPN that support IMS voice. In other words, the IMS support or not will affect the SNPN selection of the </w:t>
      </w:r>
      <w:r>
        <w:rPr>
          <w:szCs w:val="21"/>
        </w:rPr>
        <w:t>“</w:t>
      </w:r>
      <w:r>
        <w:rPr>
          <w:rFonts w:hint="eastAsia"/>
          <w:szCs w:val="21"/>
        </w:rPr>
        <w:t>voice centric</w:t>
      </w:r>
      <w:r>
        <w:rPr>
          <w:szCs w:val="21"/>
        </w:rPr>
        <w:t>”</w:t>
      </w:r>
      <w:r>
        <w:rPr>
          <w:rFonts w:hint="eastAsia"/>
          <w:szCs w:val="21"/>
        </w:rPr>
        <w:t xml:space="preserve"> UE. However, in the current mechanism, there is no IMS support indication in the system Information, the UE has to try the other SNPN blindly at the initial registration. Even the UE can </w:t>
      </w:r>
      <w:r>
        <w:rPr>
          <w:szCs w:val="21"/>
        </w:rPr>
        <w:t>“</w:t>
      </w:r>
      <w:r>
        <w:rPr>
          <w:lang w:eastAsia="ko-KR"/>
        </w:rPr>
        <w:t>maintain a list of SNPNs where voice service was not possible in SNPN access mode</w:t>
      </w:r>
      <w:r>
        <w:t>”</w:t>
      </w:r>
      <w:r>
        <w:rPr>
          <w:rFonts w:hint="eastAsia"/>
        </w:rPr>
        <w:t xml:space="preserve"> as the SA2 recommended solution #56 suggested, the UE still need to</w:t>
      </w:r>
      <w:r>
        <w:t xml:space="preserve"> retry these SNPNs to verify voice services support periodically</w:t>
      </w:r>
      <w:r>
        <w:rPr>
          <w:rFonts w:hint="eastAsia"/>
        </w:rPr>
        <w:t>. Similarly, without any indication in the system Information, such kind of re-attempt would be also blind.</w:t>
      </w:r>
    </w:p>
    <w:p>
      <w:r>
        <w:t>T</w:t>
      </w:r>
      <w:r>
        <w:rPr>
          <w:rFonts w:hint="eastAsia"/>
        </w:rPr>
        <w:t>o avoid blind attempt, an Indication can be added per SNPN to indicate whether support IMS or not.</w:t>
      </w:r>
    </w:p>
    <w:p>
      <w:pPr>
        <w:rPr>
          <w:b/>
          <w:bCs/>
          <w:szCs w:val="21"/>
        </w:rPr>
      </w:pPr>
      <w:r>
        <w:rPr>
          <w:rFonts w:hint="eastAsia"/>
          <w:b/>
          <w:bCs/>
          <w:szCs w:val="21"/>
        </w:rPr>
        <w:t xml:space="preserve">Proposal 1: For the SNPN, an indication can be added in the SIB to indicate </w:t>
      </w:r>
      <w:r>
        <w:rPr>
          <w:b/>
          <w:bCs/>
          <w:szCs w:val="21"/>
        </w:rPr>
        <w:t xml:space="preserve">whether </w:t>
      </w:r>
      <w:r>
        <w:rPr>
          <w:rFonts w:hint="eastAsia"/>
          <w:b/>
          <w:bCs/>
          <w:szCs w:val="21"/>
        </w:rPr>
        <w:t>the IMS voice</w:t>
      </w:r>
      <w:r>
        <w:rPr>
          <w:b/>
          <w:bCs/>
          <w:szCs w:val="21"/>
        </w:rPr>
        <w:t xml:space="preserve"> was supported</w:t>
      </w:r>
      <w:r>
        <w:rPr>
          <w:rFonts w:hint="eastAsia"/>
          <w:b/>
          <w:bCs/>
          <w:szCs w:val="21"/>
        </w:rPr>
        <w:t>.</w:t>
      </w:r>
    </w:p>
    <w:p>
      <w:pPr>
        <w:rPr>
          <w:szCs w:val="21"/>
        </w:rPr>
      </w:pPr>
      <w:r>
        <w:rPr>
          <w:rFonts w:hint="eastAsia"/>
          <w:szCs w:val="21"/>
        </w:rPr>
        <w:t xml:space="preserve">Whether need to extend this capability to per frequency, according to the above note 1 that </w:t>
      </w:r>
      <w:r>
        <w:rPr>
          <w:szCs w:val="21"/>
        </w:rPr>
        <w:t>“</w:t>
      </w:r>
      <w:r>
        <w:rPr>
          <w:lang w:eastAsia="ko-KR"/>
        </w:rPr>
        <w:t>it is recommended that support for IMS voice is provided homogeneously in the whole SNPN if at all</w:t>
      </w:r>
      <w:r>
        <w:rPr>
          <w:szCs w:val="21"/>
        </w:rPr>
        <w:t>”</w:t>
      </w:r>
      <w:r>
        <w:rPr>
          <w:rFonts w:hint="eastAsia"/>
          <w:szCs w:val="21"/>
        </w:rPr>
        <w:t>, there is no need to indicate this feature per frequency, instead, it shall be per SNPN.</w:t>
      </w:r>
    </w:p>
    <w:p>
      <w:pPr>
        <w:rPr>
          <w:b/>
          <w:bCs/>
          <w:szCs w:val="21"/>
        </w:rPr>
      </w:pPr>
      <w:r>
        <w:rPr>
          <w:rFonts w:hint="eastAsia"/>
          <w:b/>
          <w:bCs/>
          <w:szCs w:val="21"/>
        </w:rPr>
        <w:t>Proposal 2: No need to extend the IMS voice support Indication to per frequency.</w:t>
      </w:r>
    </w:p>
    <w:p>
      <w:pPr>
        <w:pStyle w:val="3"/>
        <w:numPr>
          <w:ilvl w:val="2"/>
          <w:numId w:val="0"/>
        </w:numPr>
        <w:tabs>
          <w:tab w:val="left" w:pos="720"/>
          <w:tab w:val="clear" w:pos="432"/>
        </w:tabs>
        <w:rPr>
          <w:b w:val="0"/>
          <w:bCs w:val="0"/>
          <w:sz w:val="28"/>
          <w:szCs w:val="28"/>
          <w:lang w:val="en-US"/>
        </w:rPr>
      </w:pPr>
      <w:r>
        <w:rPr>
          <w:rFonts w:hint="eastAsia"/>
          <w:b w:val="0"/>
          <w:bCs w:val="0"/>
          <w:sz w:val="28"/>
          <w:szCs w:val="28"/>
          <w:lang w:val="en-US"/>
        </w:rPr>
        <w:t>2.2 Emergency Services for SNPN</w:t>
      </w:r>
    </w:p>
    <w:p>
      <w:r>
        <w:rPr>
          <w:rFonts w:hint="eastAsia"/>
        </w:rPr>
        <w:t>For the emergency, there are two legacy elements in the system Information</w:t>
      </w:r>
    </w:p>
    <w:p>
      <w:pPr>
        <w:shd w:val="clear" w:color="auto" w:fill="E6E6E6"/>
        <w:tabs>
          <w:tab w:val="left" w:pos="390"/>
          <w:tab w:val="left" w:pos="765"/>
          <w:tab w:val="left" w:pos="1155"/>
          <w:tab w:val="left" w:pos="1530"/>
          <w:tab w:val="left" w:pos="1920"/>
          <w:tab w:val="left" w:pos="2310"/>
          <w:tab w:val="left" w:pos="2685"/>
          <w:tab w:val="left" w:pos="3075"/>
          <w:tab w:val="left" w:pos="3450"/>
          <w:tab w:val="left" w:pos="3840"/>
          <w:tab w:val="left" w:pos="4230"/>
          <w:tab w:val="left" w:pos="4605"/>
          <w:tab w:val="left" w:pos="4995"/>
          <w:tab w:val="left" w:pos="5370"/>
          <w:tab w:val="left" w:pos="5760"/>
          <w:tab w:val="left" w:pos="6150"/>
          <w:tab w:val="left" w:pos="6525"/>
          <w:tab w:val="left" w:pos="6915"/>
          <w:tab w:val="left" w:pos="7290"/>
          <w:tab w:val="left" w:pos="7680"/>
          <w:tab w:val="left" w:pos="8070"/>
          <w:tab w:val="left" w:pos="8445"/>
          <w:tab w:val="left" w:pos="8835"/>
          <w:tab w:val="left" w:pos="9210"/>
        </w:tabs>
        <w:rPr>
          <w:rFonts w:ascii="Courier New" w:hAnsi="Courier New"/>
          <w:color w:val="808080"/>
          <w:sz w:val="16"/>
        </w:rPr>
      </w:pPr>
      <w:r>
        <w:rPr>
          <w:rFonts w:ascii="Courier New" w:hAnsi="Courier New"/>
          <w:sz w:val="16"/>
        </w:rPr>
        <w:t xml:space="preserve">ims-EmergencySupport                </w:t>
      </w:r>
      <w:r>
        <w:rPr>
          <w:rFonts w:ascii="Courier New" w:hAnsi="Courier New"/>
          <w:color w:val="993366"/>
          <w:sz w:val="16"/>
        </w:rPr>
        <w:t>ENUMERATED</w:t>
      </w:r>
      <w:r>
        <w:rPr>
          <w:rFonts w:ascii="Courier New" w:hAnsi="Courier New"/>
          <w:sz w:val="16"/>
        </w:rPr>
        <w:t xml:space="preserve"> {true}          </w:t>
      </w:r>
      <w:r>
        <w:rPr>
          <w:rFonts w:ascii="Courier New" w:hAnsi="Courier New"/>
          <w:color w:val="993366"/>
          <w:sz w:val="16"/>
        </w:rPr>
        <w:t>OPTIONAL</w:t>
      </w:r>
      <w:r>
        <w:rPr>
          <w:rFonts w:ascii="Courier New" w:hAnsi="Courier New"/>
          <w:sz w:val="16"/>
        </w:rPr>
        <w:t xml:space="preserve">,   </w:t>
      </w:r>
      <w:r>
        <w:rPr>
          <w:rFonts w:ascii="Courier New" w:hAnsi="Courier New"/>
          <w:color w:val="808080"/>
          <w:sz w:val="16"/>
        </w:rPr>
        <w:t>-- Need R</w:t>
      </w:r>
    </w:p>
    <w:p>
      <w:pPr>
        <w:shd w:val="clear" w:color="auto" w:fill="E6E6E6"/>
        <w:tabs>
          <w:tab w:val="left" w:pos="390"/>
          <w:tab w:val="left" w:pos="765"/>
          <w:tab w:val="left" w:pos="1155"/>
          <w:tab w:val="left" w:pos="1530"/>
          <w:tab w:val="left" w:pos="1920"/>
          <w:tab w:val="left" w:pos="2310"/>
          <w:tab w:val="left" w:pos="2685"/>
          <w:tab w:val="left" w:pos="3075"/>
          <w:tab w:val="left" w:pos="3450"/>
          <w:tab w:val="left" w:pos="3840"/>
          <w:tab w:val="left" w:pos="4230"/>
          <w:tab w:val="left" w:pos="4605"/>
          <w:tab w:val="left" w:pos="4995"/>
          <w:tab w:val="left" w:pos="5370"/>
          <w:tab w:val="left" w:pos="5760"/>
          <w:tab w:val="left" w:pos="6150"/>
          <w:tab w:val="left" w:pos="6525"/>
          <w:tab w:val="left" w:pos="6915"/>
          <w:tab w:val="left" w:pos="7290"/>
          <w:tab w:val="left" w:pos="7680"/>
          <w:tab w:val="left" w:pos="8070"/>
          <w:tab w:val="left" w:pos="8445"/>
          <w:tab w:val="left" w:pos="8835"/>
          <w:tab w:val="left" w:pos="9210"/>
        </w:tabs>
        <w:rPr>
          <w:rFonts w:ascii="Courier New" w:hAnsi="Courier New"/>
          <w:sz w:val="16"/>
        </w:rPr>
      </w:pPr>
      <w:r>
        <w:rPr>
          <w:rFonts w:ascii="Courier New" w:hAnsi="Courier New"/>
          <w:sz w:val="16"/>
        </w:rPr>
        <w:t>eCallOverIMS-Support                ENUMERATED {true}          OPTIONAL,   -- Need R</w:t>
      </w:r>
    </w:p>
    <w:p>
      <w:r>
        <w:rPr>
          <w:rFonts w:hint="eastAsia"/>
        </w:rPr>
        <w:t>However, for the eNPN, according to the [1], the</w:t>
      </w:r>
      <w:r>
        <w:rPr>
          <w:rFonts w:hint="eastAsia"/>
          <w:i/>
        </w:rPr>
        <w:t xml:space="preserve"> </w:t>
      </w:r>
      <w:r>
        <w:rPr>
          <w:i/>
        </w:rPr>
        <w:t>eCallOverIMS</w:t>
      </w:r>
      <w:r>
        <w:rPr>
          <w:rFonts w:hint="eastAsia"/>
        </w:rPr>
        <w:t xml:space="preserve"> was not touched until now, thus we assume that the </w:t>
      </w:r>
      <w:r>
        <w:rPr>
          <w:rFonts w:hint="eastAsia"/>
          <w:i/>
        </w:rPr>
        <w:t>eCallOverIMS</w:t>
      </w:r>
      <w:r>
        <w:rPr>
          <w:rFonts w:hint="eastAsia"/>
        </w:rPr>
        <w:t xml:space="preserve"> is outside of the WI scope, and if companies have different views, a LS can be sent to SA2 to confirm whether </w:t>
      </w:r>
      <w:r>
        <w:rPr>
          <w:rFonts w:hint="eastAsia"/>
          <w:i/>
        </w:rPr>
        <w:t>eCalloverIMS</w:t>
      </w:r>
      <w:r>
        <w:rPr>
          <w:rFonts w:hint="eastAsia"/>
        </w:rPr>
        <w:t xml:space="preserve"> was included.</w:t>
      </w:r>
    </w:p>
    <w:p>
      <w:pPr>
        <w:rPr>
          <w:b/>
          <w:bCs/>
        </w:rPr>
      </w:pPr>
      <w:r>
        <w:rPr>
          <w:rFonts w:hint="eastAsia"/>
          <w:b/>
          <w:bCs/>
          <w:szCs w:val="21"/>
        </w:rPr>
        <w:t>Proposal 3: RAN2 confirm that the</w:t>
      </w:r>
      <w:r>
        <w:rPr>
          <w:rFonts w:hint="eastAsia"/>
          <w:b/>
          <w:bCs/>
          <w:i/>
        </w:rPr>
        <w:t xml:space="preserve"> eCalloverIMS</w:t>
      </w:r>
      <w:r>
        <w:rPr>
          <w:rFonts w:hint="eastAsia"/>
          <w:b/>
          <w:bCs/>
        </w:rPr>
        <w:t xml:space="preserve"> is outside of this WI.</w:t>
      </w:r>
    </w:p>
    <w:p>
      <w:r>
        <w:rPr>
          <w:rFonts w:hint="eastAsia"/>
        </w:rPr>
        <w:t xml:space="preserve">For the IMS emergency support, if without the network sharing, the legacy </w:t>
      </w:r>
      <w:r>
        <w:rPr>
          <w:i/>
        </w:rPr>
        <w:t>ims-EmergencySupport</w:t>
      </w:r>
      <w:r>
        <w:rPr>
          <w:rFonts w:hint="eastAsia"/>
        </w:rPr>
        <w:t xml:space="preserve"> </w:t>
      </w:r>
      <w:r>
        <w:t>can</w:t>
      </w:r>
      <w:r>
        <w:rPr>
          <w:rFonts w:hint="eastAsia"/>
        </w:rPr>
        <w:t xml:space="preserve"> be reused for the SNPN network. But for the network sharing scenario, </w:t>
      </w:r>
      <w:r>
        <w:t>a</w:t>
      </w:r>
      <w:r>
        <w:rPr>
          <w:rFonts w:hint="eastAsia"/>
        </w:rPr>
        <w:t>ccording to the SA2</w:t>
      </w:r>
      <w:r>
        <w:t>’</w:t>
      </w:r>
      <w:r>
        <w:rPr>
          <w:rFonts w:hint="eastAsia"/>
        </w:rPr>
        <w:t xml:space="preserve">s discussion, the SNPN UE can access to the public network for the emergency service, then the key question is whether the public UE especially the public legacy UE can access the SNPN for the emergency service. If can, the legacy field can be reused, then for the network sharing scenario, if at least one of the network including PLMN and SNPN support </w:t>
      </w:r>
      <w:r>
        <w:rPr>
          <w:i/>
        </w:rPr>
        <w:t>ims-EmergencySupport</w:t>
      </w:r>
      <w:r>
        <w:rPr>
          <w:rFonts w:hint="eastAsia"/>
        </w:rPr>
        <w:t xml:space="preserve">, the network can set the legacy </w:t>
      </w:r>
      <w:r>
        <w:rPr>
          <w:i/>
        </w:rPr>
        <w:t>ims-EmergencySupport</w:t>
      </w:r>
      <w:r>
        <w:rPr>
          <w:rFonts w:hint="eastAsia"/>
          <w:i/>
        </w:rPr>
        <w:t xml:space="preserve"> </w:t>
      </w:r>
      <w:r>
        <w:rPr>
          <w:rFonts w:hint="eastAsia"/>
        </w:rPr>
        <w:t xml:space="preserve">field to be supported. Otherwise, the legacy   </w:t>
      </w:r>
      <w:r>
        <w:rPr>
          <w:i/>
        </w:rPr>
        <w:t>ims-EmergencySupport</w:t>
      </w:r>
      <w:r>
        <w:rPr>
          <w:rFonts w:hint="eastAsia"/>
        </w:rPr>
        <w:t xml:space="preserve"> field can only be adopted for the public networks. For the SNPN network, a new indication shall be added for the SNPN networks. For the case that only the SNPN network support the IMS emergency, the public legacy UE </w:t>
      </w:r>
      <w:r>
        <w:t xml:space="preserve">shall not access this </w:t>
      </w:r>
      <w:r>
        <w:rPr>
          <w:rFonts w:hint="eastAsia"/>
        </w:rPr>
        <w:t>cell for the emergency service.</w:t>
      </w:r>
    </w:p>
    <w:p>
      <w:pPr>
        <w:rPr>
          <w:b/>
          <w:bCs/>
          <w:szCs w:val="21"/>
        </w:rPr>
      </w:pPr>
      <w:r>
        <w:rPr>
          <w:rFonts w:hint="eastAsia"/>
          <w:b/>
          <w:bCs/>
          <w:szCs w:val="21"/>
        </w:rPr>
        <w:t>Proposal 4: RAN2 to confirm whether the public UE especially the public legacy UE can access the SNPN for the emergency service.</w:t>
      </w:r>
    </w:p>
    <w:p>
      <w:pPr>
        <w:rPr>
          <w:szCs w:val="21"/>
        </w:rPr>
      </w:pPr>
      <w:r>
        <w:rPr>
          <w:rFonts w:hint="eastAsia"/>
          <w:szCs w:val="21"/>
        </w:rPr>
        <w:t xml:space="preserve">Similarly, if no consensus could be achieved, a </w:t>
      </w:r>
      <w:r>
        <w:rPr>
          <w:rFonts w:hint="eastAsia"/>
        </w:rPr>
        <w:t>LS can be sent to SA2.</w:t>
      </w:r>
    </w:p>
    <w:p>
      <w:r>
        <w:rPr>
          <w:rFonts w:hint="eastAsia"/>
          <w:b/>
          <w:bCs/>
          <w:szCs w:val="21"/>
        </w:rPr>
        <w:t>Proposal 5: Send a LS to SA2 if no consensus on the proposal 3/4.</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beforeLines="50"/>
      </w:pPr>
      <w:r>
        <w:rPr>
          <w:rFonts w:hint="eastAsia"/>
        </w:rPr>
        <w:t xml:space="preserve">With the above analysis, we have the following </w:t>
      </w:r>
      <w:r>
        <w:t>proposals</w:t>
      </w:r>
      <w:r>
        <w:rPr>
          <w:rFonts w:hint="eastAsia"/>
        </w:rPr>
        <w:t>:</w:t>
      </w:r>
    </w:p>
    <w:p>
      <w:pPr>
        <w:rPr>
          <w:b/>
          <w:bCs/>
          <w:szCs w:val="21"/>
        </w:rPr>
      </w:pPr>
      <w:r>
        <w:rPr>
          <w:rFonts w:hint="eastAsia"/>
          <w:b/>
          <w:bCs/>
          <w:szCs w:val="21"/>
        </w:rPr>
        <w:t xml:space="preserve">Proposal 1: For the SNPN, an indication can be added in the SIB to indicate </w:t>
      </w:r>
      <w:r>
        <w:rPr>
          <w:b/>
          <w:bCs/>
          <w:szCs w:val="21"/>
        </w:rPr>
        <w:t xml:space="preserve">whether </w:t>
      </w:r>
      <w:r>
        <w:rPr>
          <w:rFonts w:hint="eastAsia"/>
          <w:b/>
          <w:bCs/>
          <w:szCs w:val="21"/>
        </w:rPr>
        <w:t>the IMS voice</w:t>
      </w:r>
      <w:r>
        <w:rPr>
          <w:b/>
          <w:bCs/>
          <w:szCs w:val="21"/>
        </w:rPr>
        <w:t xml:space="preserve"> was supported</w:t>
      </w:r>
      <w:r>
        <w:rPr>
          <w:rFonts w:hint="eastAsia"/>
          <w:b/>
          <w:bCs/>
          <w:szCs w:val="21"/>
        </w:rPr>
        <w:t>.</w:t>
      </w:r>
    </w:p>
    <w:p>
      <w:pPr>
        <w:rPr>
          <w:b/>
          <w:bCs/>
          <w:szCs w:val="21"/>
        </w:rPr>
      </w:pPr>
      <w:r>
        <w:rPr>
          <w:rFonts w:hint="eastAsia"/>
          <w:b/>
          <w:bCs/>
          <w:szCs w:val="21"/>
        </w:rPr>
        <w:t>Proposal 2: No need to extend the IMS voice support Indication to per frequency.</w:t>
      </w:r>
    </w:p>
    <w:p>
      <w:pPr>
        <w:rPr>
          <w:b/>
          <w:bCs/>
        </w:rPr>
      </w:pPr>
      <w:r>
        <w:rPr>
          <w:rFonts w:hint="eastAsia"/>
          <w:b/>
          <w:bCs/>
          <w:szCs w:val="21"/>
        </w:rPr>
        <w:t>Proposal 3: RAN2 confirm that the</w:t>
      </w:r>
      <w:r>
        <w:rPr>
          <w:rFonts w:hint="eastAsia"/>
          <w:b/>
          <w:bCs/>
          <w:i/>
        </w:rPr>
        <w:t xml:space="preserve"> eCalloverIMS</w:t>
      </w:r>
      <w:r>
        <w:rPr>
          <w:rFonts w:hint="eastAsia"/>
          <w:b/>
          <w:bCs/>
        </w:rPr>
        <w:t xml:space="preserve"> is outside of this WI.</w:t>
      </w:r>
    </w:p>
    <w:p>
      <w:pPr>
        <w:rPr>
          <w:b/>
          <w:bCs/>
          <w:szCs w:val="21"/>
        </w:rPr>
      </w:pPr>
      <w:r>
        <w:rPr>
          <w:rFonts w:hint="eastAsia"/>
          <w:b/>
          <w:bCs/>
          <w:szCs w:val="21"/>
        </w:rPr>
        <w:t>Proposal 4: RAN2 to confirm whether the public UE especially the public legacy UE can access the SNPN for the emergency service.</w:t>
      </w:r>
    </w:p>
    <w:p>
      <w:pPr>
        <w:rPr>
          <w:rFonts w:ascii="Arial" w:hAnsi="Arial" w:cs="Arial"/>
          <w:b/>
          <w:bCs/>
          <w:kern w:val="0"/>
          <w:sz w:val="32"/>
          <w:szCs w:val="36"/>
        </w:rPr>
      </w:pPr>
      <w:r>
        <w:rPr>
          <w:rFonts w:hint="eastAsia"/>
          <w:b/>
          <w:bCs/>
          <w:szCs w:val="21"/>
        </w:rPr>
        <w:t>Proposal 5: Send a LS to SA2 if no consensus on the proposal 3/4.</w:t>
      </w:r>
    </w:p>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45D6511"/>
    <w:multiLevelType w:val="multilevel"/>
    <w:tmpl w:val="145D6511"/>
    <w:lvl w:ilvl="0" w:tentative="0">
      <w:start w:val="1"/>
      <w:numFmt w:val="bullet"/>
      <w:lvlText w:val=""/>
      <w:lvlJc w:val="left"/>
      <w:pPr>
        <w:tabs>
          <w:tab w:val="left" w:pos="720"/>
        </w:tabs>
        <w:ind w:left="720" w:hanging="360"/>
      </w:pPr>
      <w:rPr>
        <w:rFonts w:hint="default" w:ascii="Wingdings" w:hAnsi="Wingdings"/>
      </w:rPr>
    </w:lvl>
    <w:lvl w:ilvl="1" w:tentative="0">
      <w:start w:val="110"/>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565E"/>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66E"/>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0DAD"/>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5750"/>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030D"/>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4CF9"/>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881015"/>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174CB7"/>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256D1C"/>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AFE1A71"/>
    <w:rsid w:val="4B1646CF"/>
    <w:rsid w:val="4B7C1338"/>
    <w:rsid w:val="4B892A6A"/>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5FC2E85"/>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6E656E"/>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4F4443A"/>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2314"/>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6"/>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71"/>
    <w:unhideWhenUsed/>
    <w:qFormat/>
    <w:uiPriority w:val="0"/>
    <w:rPr>
      <w:rFonts w:ascii="宋体"/>
      <w:sz w:val="18"/>
      <w:szCs w:val="18"/>
    </w:rPr>
  </w:style>
  <w:style w:type="paragraph" w:styleId="24">
    <w:name w:val="annotation text"/>
    <w:basedOn w:val="1"/>
    <w:link w:val="177"/>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5"/>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9"/>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paragraph" w:customStyle="1" w:styleId="67">
    <w:name w:val="Doc-title"/>
    <w:basedOn w:val="1"/>
    <w:next w:val="68"/>
    <w:link w:val="111"/>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9">
    <w:name w:val="批注框文本 Char"/>
    <w:basedOn w:val="58"/>
    <w:link w:val="36"/>
    <w:qFormat/>
    <w:uiPriority w:val="0"/>
    <w:rPr>
      <w:kern w:val="2"/>
      <w:sz w:val="18"/>
      <w:szCs w:val="18"/>
    </w:rPr>
  </w:style>
  <w:style w:type="paragraph" w:styleId="70">
    <w:name w:val="List Paragraph"/>
    <w:basedOn w:val="1"/>
    <w:link w:val="273"/>
    <w:unhideWhenUsed/>
    <w:qFormat/>
    <w:uiPriority w:val="99"/>
    <w:pPr>
      <w:ind w:firstLine="420" w:firstLineChars="200"/>
    </w:pPr>
  </w:style>
  <w:style w:type="character" w:customStyle="1" w:styleId="71">
    <w:name w:val="文档结构图 Char"/>
    <w:basedOn w:val="58"/>
    <w:link w:val="23"/>
    <w:qFormat/>
    <w:uiPriority w:val="0"/>
    <w:rPr>
      <w:rFonts w:ascii="宋体"/>
      <w:kern w:val="2"/>
      <w:sz w:val="18"/>
      <w:szCs w:val="18"/>
    </w:rPr>
  </w:style>
  <w:style w:type="character" w:customStyle="1" w:styleId="72">
    <w:name w:val="标题 1 Char"/>
    <w:basedOn w:val="58"/>
    <w:link w:val="2"/>
    <w:qFormat/>
    <w:uiPriority w:val="0"/>
    <w:rPr>
      <w:b/>
      <w:bCs/>
      <w:kern w:val="44"/>
      <w:sz w:val="44"/>
      <w:szCs w:val="44"/>
    </w:rPr>
  </w:style>
  <w:style w:type="character" w:customStyle="1" w:styleId="73">
    <w:name w:val="标题 2 Char"/>
    <w:basedOn w:val="58"/>
    <w:link w:val="3"/>
    <w:qFormat/>
    <w:uiPriority w:val="0"/>
    <w:rPr>
      <w:rFonts w:ascii="Arial" w:hAnsi="Arial" w:eastAsia="MS Mincho"/>
      <w:sz w:val="32"/>
      <w:szCs w:val="32"/>
      <w:lang w:val="en-GB"/>
    </w:rPr>
  </w:style>
  <w:style w:type="character" w:customStyle="1" w:styleId="74">
    <w:name w:val="标题 3 Char"/>
    <w:basedOn w:val="58"/>
    <w:link w:val="4"/>
    <w:qFormat/>
    <w:uiPriority w:val="0"/>
    <w:rPr>
      <w:b/>
      <w:bCs/>
      <w:kern w:val="2"/>
      <w:sz w:val="32"/>
      <w:szCs w:val="32"/>
    </w:rPr>
  </w:style>
  <w:style w:type="character" w:customStyle="1" w:styleId="75">
    <w:name w:val="标题 4 Char"/>
    <w:basedOn w:val="58"/>
    <w:link w:val="5"/>
    <w:qFormat/>
    <w:uiPriority w:val="0"/>
    <w:rPr>
      <w:rFonts w:ascii="Arial" w:hAnsi="Arial" w:eastAsia="黑体"/>
      <w:b/>
      <w:kern w:val="2"/>
      <w:sz w:val="28"/>
      <w:szCs w:val="24"/>
    </w:rPr>
  </w:style>
  <w:style w:type="character" w:customStyle="1" w:styleId="76">
    <w:name w:val="标题 5 Char"/>
    <w:basedOn w:val="58"/>
    <w:link w:val="6"/>
    <w:qFormat/>
    <w:uiPriority w:val="0"/>
    <w:rPr>
      <w:b/>
      <w:kern w:val="2"/>
      <w:sz w:val="28"/>
      <w:szCs w:val="24"/>
    </w:rPr>
  </w:style>
  <w:style w:type="character" w:customStyle="1" w:styleId="77">
    <w:name w:val="标题 6 Char"/>
    <w:basedOn w:val="58"/>
    <w:link w:val="7"/>
    <w:qFormat/>
    <w:uiPriority w:val="0"/>
    <w:rPr>
      <w:rFonts w:ascii="Arial" w:hAnsi="Arial" w:eastAsia="黑体"/>
      <w:b/>
      <w:kern w:val="2"/>
      <w:sz w:val="24"/>
      <w:szCs w:val="24"/>
    </w:rPr>
  </w:style>
  <w:style w:type="character" w:customStyle="1" w:styleId="78">
    <w:name w:val="标题 7 Char"/>
    <w:basedOn w:val="58"/>
    <w:link w:val="8"/>
    <w:qFormat/>
    <w:uiPriority w:val="0"/>
    <w:rPr>
      <w:b/>
      <w:kern w:val="2"/>
      <w:sz w:val="24"/>
      <w:szCs w:val="24"/>
    </w:rPr>
  </w:style>
  <w:style w:type="character" w:customStyle="1" w:styleId="79">
    <w:name w:val="标题 8 Char"/>
    <w:basedOn w:val="58"/>
    <w:link w:val="9"/>
    <w:qFormat/>
    <w:uiPriority w:val="0"/>
    <w:rPr>
      <w:rFonts w:ascii="Arial" w:hAnsi="Arial" w:eastAsia="黑体"/>
      <w:kern w:val="2"/>
      <w:sz w:val="24"/>
      <w:szCs w:val="24"/>
    </w:rPr>
  </w:style>
  <w:style w:type="character" w:customStyle="1" w:styleId="80">
    <w:name w:val="标题 9 Char"/>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8"/>
    <w:next w:val="68"/>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7"/>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8"/>
    <w:qFormat/>
    <w:uiPriority w:val="0"/>
  </w:style>
  <w:style w:type="character" w:customStyle="1" w:styleId="131">
    <w:name w:val="页眉 Char"/>
    <w:link w:val="38"/>
    <w:qFormat/>
    <w:uiPriority w:val="99"/>
    <w:rPr>
      <w:kern w:val="2"/>
      <w:sz w:val="18"/>
      <w:szCs w:val="18"/>
    </w:rPr>
  </w:style>
  <w:style w:type="character" w:customStyle="1" w:styleId="132">
    <w:name w:val="Doc-text2 Char Char"/>
    <w:basedOn w:val="58"/>
    <w:link w:val="68"/>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Char"/>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Char1"/>
    <w:basedOn w:val="58"/>
    <w:link w:val="24"/>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Char"/>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出段落 Char"/>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08E820-B813-4BCD-B944-DED4CB7E00D7}">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3</Pages>
  <Words>927</Words>
  <Characters>5287</Characters>
  <Lines>44</Lines>
  <Paragraphs>12</Paragraphs>
  <TotalTime>56</TotalTime>
  <ScaleCrop>false</ScaleCrop>
  <LinksUpToDate>false</LinksUpToDate>
  <CharactersWithSpaces>6202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2020-02-14T02:22:00Z</dcterms:created>
  <dc:creator>10033860</dc:creator>
  <cp:lastModifiedBy>ZTE</cp:lastModifiedBy>
  <cp:lastPrinted>2113-01-01T00:00:00Z</cp:lastPrinted>
  <dcterms:modified xsi:type="dcterms:W3CDTF">2021-01-15T05:51:09Z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