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59F602BA" w:rsidR="00D5074B" w:rsidRDefault="00A562D5">
      <w:pPr>
        <w:pStyle w:val="a9"/>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9"/>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78.15pt" o:ole="">
            <v:fill o:detectmouseclick="t"/>
            <v:imagedata r:id="rId14" o:title=""/>
          </v:shape>
          <o:OLEObject Type="Embed" ProgID="Visio.Drawing.11" ShapeID="_x0000_i1025" DrawAspect="Content" ObjectID="_1666441855"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5"/>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5"/>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hint="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hint="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d"/>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lastRenderedPageBreak/>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e"/>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e"/>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hint="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5"/>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55pt;height:390.85pt" o:ole="">
            <v:imagedata r:id="rId16" o:title=""/>
          </v:shape>
          <o:OLEObject Type="Embed" ProgID="Visio.Drawing.11" ShapeID="_x0000_i1026" DrawAspect="Content" ObjectID="_1666441856" r:id="rId17"/>
        </w:object>
      </w:r>
    </w:p>
    <w:p w14:paraId="679F18A0" w14:textId="06D27EDB" w:rsidR="00691E44" w:rsidRDefault="00691E44" w:rsidP="00691E44">
      <w:pPr>
        <w:pStyle w:val="a5"/>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5"/>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hint="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hint="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hint="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hint="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hint="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hint="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w:t>
            </w:r>
            <w:r>
              <w:rPr>
                <w:rFonts w:eastAsiaTheme="minorEastAsia"/>
                <w:bCs/>
                <w:lang w:val="en-US" w:eastAsia="zh-CN"/>
              </w:rPr>
              <w:t>may need to</w:t>
            </w:r>
            <w:r>
              <w:rPr>
                <w:rFonts w:eastAsiaTheme="minorEastAsia"/>
                <w:bCs/>
                <w:lang w:val="en-US" w:eastAsia="zh-CN"/>
              </w:rPr>
              <w:t xml:space="preserve"> enhance step2~3 to include the sk-Counter in the CPC configuration.</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hint="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 xml:space="preserve">in the CPC configuration </w:t>
            </w:r>
            <w:r>
              <w:rPr>
                <w:rFonts w:eastAsiaTheme="minorEastAsia"/>
                <w:bCs/>
                <w:lang w:val="en-US" w:eastAsia="zh-CN"/>
              </w:rPr>
              <w:lastRenderedPageBreak/>
              <w:t>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hint="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hint="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hint="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hint="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w:t>
      </w:r>
      <w:r w:rsidR="00963B55">
        <w:rPr>
          <w:rFonts w:eastAsia="MS Mincho"/>
          <w:lang w:eastAsia="ko-KR"/>
        </w:rPr>
        <w:lastRenderedPageBreak/>
        <w:t xml:space="preserve">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hint="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hint="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a</w:t>
            </w:r>
            <w:r>
              <w:rPr>
                <w:rFonts w:eastAsiaTheme="minorEastAsia"/>
                <w:bCs/>
                <w:lang w:val="en-US" w:eastAsia="zh-CN"/>
              </w:rPr>
              <w:t>t least</w:t>
            </w:r>
            <w:r>
              <w:rPr>
                <w:rFonts w:eastAsiaTheme="minorEastAsia"/>
                <w:bCs/>
                <w:lang w:val="en-US" w:eastAsia="zh-CN"/>
              </w:rPr>
              <w:t xml:space="preserve"> </w:t>
            </w:r>
            <w:r w:rsidR="00D060B0">
              <w:rPr>
                <w:rFonts w:eastAsiaTheme="minorEastAsia"/>
                <w:bCs/>
                <w:lang w:val="en-US" w:eastAsia="zh-CN"/>
              </w:rPr>
              <w:t>there more steps are needed to forward target cell CPC configuration to S-SN (step 4) and to forward CPC configuration from S-SN to MN (step 5).</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hint="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hint="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hint="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hint="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bookmarkStart w:id="4" w:name="_GoBack"/>
            <w:bookmarkEnd w:id="4"/>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lastRenderedPageBreak/>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lastRenderedPageBreak/>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631B8" w14:textId="77777777" w:rsidR="00A33768" w:rsidRDefault="00A33768" w:rsidP="00484BD4">
      <w:pPr>
        <w:spacing w:after="0" w:line="240" w:lineRule="auto"/>
      </w:pPr>
      <w:r>
        <w:separator/>
      </w:r>
    </w:p>
  </w:endnote>
  <w:endnote w:type="continuationSeparator" w:id="0">
    <w:p w14:paraId="4B7D0E03" w14:textId="77777777" w:rsidR="00A33768" w:rsidRDefault="00A33768"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25A7" w14:textId="77777777" w:rsidR="00A33768" w:rsidRDefault="00A33768" w:rsidP="00484BD4">
      <w:pPr>
        <w:spacing w:after="0" w:line="240" w:lineRule="auto"/>
      </w:pPr>
      <w:r>
        <w:separator/>
      </w:r>
    </w:p>
  </w:footnote>
  <w:footnote w:type="continuationSeparator" w:id="0">
    <w:p w14:paraId="49799ACE" w14:textId="77777777" w:rsidR="00A33768" w:rsidRDefault="00A33768"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13"/>
  </w:num>
  <w:num w:numId="7">
    <w:abstractNumId w:val="8"/>
  </w:num>
  <w:num w:numId="8">
    <w:abstractNumId w:val="21"/>
  </w:num>
  <w:num w:numId="9">
    <w:abstractNumId w:val="4"/>
  </w:num>
  <w:num w:numId="10">
    <w:abstractNumId w:val="10"/>
  </w:num>
  <w:num w:numId="11">
    <w:abstractNumId w:val="16"/>
  </w:num>
  <w:num w:numId="12">
    <w:abstractNumId w:val="3"/>
  </w:num>
  <w:num w:numId="13">
    <w:abstractNumId w:val="1"/>
  </w:num>
  <w:num w:numId="14">
    <w:abstractNumId w:val="18"/>
  </w:num>
  <w:num w:numId="15">
    <w:abstractNumId w:val="6"/>
  </w:num>
  <w:num w:numId="16">
    <w:abstractNumId w:val="11"/>
  </w:num>
  <w:num w:numId="17">
    <w:abstractNumId w:val="9"/>
  </w:num>
  <w:num w:numId="18">
    <w:abstractNumId w:val="7"/>
  </w:num>
  <w:num w:numId="19">
    <w:abstractNumId w:val="15"/>
  </w:num>
  <w:num w:numId="20">
    <w:abstractNumId w:val="14"/>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259E3"/>
    <w:rsid w:val="001326DA"/>
    <w:rsid w:val="00136667"/>
    <w:rsid w:val="00137F60"/>
    <w:rsid w:val="0014444C"/>
    <w:rsid w:val="00145075"/>
    <w:rsid w:val="00155B9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56ED"/>
    <w:rsid w:val="007C645B"/>
    <w:rsid w:val="007D4989"/>
    <w:rsid w:val="007D5AA1"/>
    <w:rsid w:val="007D7F2D"/>
    <w:rsid w:val="007E3097"/>
    <w:rsid w:val="007E67EF"/>
    <w:rsid w:val="007F1652"/>
    <w:rsid w:val="007F2E08"/>
    <w:rsid w:val="007F4AB4"/>
    <w:rsid w:val="007F60B3"/>
    <w:rsid w:val="007F7A5C"/>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76AFC"/>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5">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文档结构图 Char"/>
    <w:basedOn w:val="a0"/>
    <w:link w:val="a6"/>
    <w:rPr>
      <w:sz w:val="24"/>
      <w:szCs w:val="24"/>
      <w:lang w:eastAsia="en-US"/>
    </w:rPr>
  </w:style>
  <w:style w:type="character" w:customStyle="1" w:styleId="Char2">
    <w:name w:val="批注框文本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link w:val="Char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
    <w:name w:val="批注主题 Char"/>
    <w:basedOn w:val="Char0"/>
    <w:link w:val="a3"/>
    <w:rPr>
      <w:b/>
      <w:bCs/>
      <w:lang w:eastAsia="en-US"/>
    </w:rPr>
  </w:style>
  <w:style w:type="character" w:customStyle="1" w:styleId="NOChar">
    <w:name w:val="NO Char"/>
    <w:link w:val="NO"/>
    <w:qFormat/>
    <w:rPr>
      <w:lang w:eastAsia="en-US"/>
    </w:rPr>
  </w:style>
  <w:style w:type="paragraph" w:customStyle="1" w:styleId="Proposal">
    <w:name w:val="Proposal"/>
    <w:basedOn w:val="af"/>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
    <w:name w:val="Body Text"/>
    <w:basedOn w:val="a"/>
    <w:link w:val="Char5"/>
    <w:semiHidden/>
    <w:unhideWhenUsed/>
    <w:rsid w:val="009B566B"/>
    <w:pPr>
      <w:spacing w:after="120"/>
    </w:pPr>
  </w:style>
  <w:style w:type="character" w:customStyle="1" w:styleId="Char5">
    <w:name w:val="正文文本 Char"/>
    <w:basedOn w:val="a0"/>
    <w:link w:val="af"/>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Char4">
    <w:name w:val="列出段落 Char"/>
    <w:link w:val="ae"/>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2.vsd"/><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1.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E837805-F6C9-4B71-B10B-FD44A6E9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3964</Words>
  <Characters>22601</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cp:lastModifiedBy>
  <cp:revision>3</cp:revision>
  <dcterms:created xsi:type="dcterms:W3CDTF">2020-11-09T07:15:00Z</dcterms:created>
  <dcterms:modified xsi:type="dcterms:W3CDTF">2020-11-09T07:44:00Z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