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E95B9A"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09CFBA61" w:rsidR="0076678F" w:rsidRPr="00A1326F" w:rsidRDefault="0076678F" w:rsidP="009F3411">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716A88E8" w14:textId="5B52929F" w:rsidR="0076678F" w:rsidRPr="00A1326F" w:rsidRDefault="0076678F" w:rsidP="009F341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xml:space="preserve">) to indicate whether the UE support </w:t>
      </w:r>
      <w:proofErr w:type="spellStart"/>
      <w:r w:rsidR="00EB0F48">
        <w:rPr>
          <w:rFonts w:ascii="Times New Roman" w:eastAsia="DengXian" w:hAnsi="Times New Roman" w:cs="Times New Roman"/>
        </w:rPr>
        <w:t>PCell</w:t>
      </w:r>
      <w:proofErr w:type="spellEnd"/>
      <w:r w:rsidR="00EB0F48">
        <w:rPr>
          <w:rFonts w:ascii="Times New Roman" w:eastAsia="DengXian" w:hAnsi="Times New Roman" w:cs="Times New Roman"/>
        </w:rPr>
        <w:t xml:space="preserve">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BodyText"/>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777777" w:rsidR="002E6A47" w:rsidRPr="00A1326F" w:rsidRDefault="002E6A47"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727F6AFE" w14:textId="77777777" w:rsidR="002E6A47" w:rsidRPr="00A1326F" w:rsidRDefault="002E6A47"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bl>
    <w:p w14:paraId="70F3C78C" w14:textId="08103485" w:rsidR="00126F5F" w:rsidRDefault="00126F5F" w:rsidP="00126F5F">
      <w:pPr>
        <w:spacing w:before="180"/>
        <w:rPr>
          <w:sz w:val="21"/>
          <w:szCs w:val="21"/>
        </w:rPr>
      </w:pPr>
      <w:r>
        <w:rPr>
          <w:sz w:val="21"/>
          <w:szCs w:val="21"/>
        </w:rPr>
        <w:lastRenderedPageBreak/>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74B74C0D"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proofErr w:type="spellStart"/>
      <w:r w:rsidRPr="0087523D">
        <w:rPr>
          <w:rFonts w:ascii="Times New Roman" w:eastAsia="DengXian" w:hAnsi="Times New Roman" w:cs="Times New Roman"/>
        </w:rPr>
        <w:t>signalled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proofErr w:type="spellStart"/>
      <w:r w:rsidRPr="0087523D">
        <w:rPr>
          <w:rFonts w:ascii="Times New Roman" w:eastAsia="DengXian" w:hAnsi="Times New Roman" w:cs="Times New Roman"/>
        </w:rPr>
        <w:t>signalled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BodyText"/>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77777777" w:rsidR="00126F5F" w:rsidRPr="00A1326F" w:rsidRDefault="00126F5F"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47585DE6" w14:textId="77777777" w:rsidR="00126F5F" w:rsidRPr="00A1326F" w:rsidRDefault="00126F5F"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41718AC" w14:textId="77777777" w:rsidR="00126F5F" w:rsidRDefault="00126F5F" w:rsidP="006234C3">
            <w:pPr>
              <w:rPr>
                <w:rFonts w:eastAsia="Times New Roman"/>
              </w:rPr>
            </w:pP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383F116A"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PCell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PCell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lastRenderedPageBreak/>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07"/>
        <w:gridCol w:w="608"/>
        <w:gridCol w:w="607"/>
        <w:gridCol w:w="608"/>
        <w:gridCol w:w="5764"/>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BodyText"/>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BodyText"/>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BodyText"/>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BodyText"/>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BodyText"/>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BodyText"/>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607"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607"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76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299DFCE0" w14:textId="77777777"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r w:rsidRPr="007114BB">
              <w:rPr>
                <w:rFonts w:eastAsia="Times New Roman"/>
              </w:rPr>
              <w:t xml:space="preserve"> </w:t>
            </w: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2B68AA11" w14:textId="7D1BF574" w:rsidR="0088558E" w:rsidRDefault="0088558E" w:rsidP="00600F4C">
            <w:pPr>
              <w:rPr>
                <w:rFonts w:eastAsia="Times New Roman"/>
              </w:rPr>
            </w:pP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77777777" w:rsidR="00AE6DA4" w:rsidRPr="00A1326F" w:rsidRDefault="00AE6DA4"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65589CA1" w14:textId="77777777" w:rsidR="00AE6DA4" w:rsidRPr="00A1326F" w:rsidRDefault="00AE6DA4"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137DB911" w14:textId="77777777" w:rsidR="00AE6DA4" w:rsidRPr="00A1326F" w:rsidRDefault="00AE6DA4"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59316CDC" w14:textId="77777777" w:rsidR="00AE6DA4" w:rsidRPr="00A1326F" w:rsidRDefault="00AE6DA4"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7BEB87F9" w14:textId="0304AC74" w:rsidR="00AE6DA4" w:rsidRPr="00A1326F" w:rsidRDefault="00AE6DA4" w:rsidP="006234C3">
            <w:pPr>
              <w:rPr>
                <w:rFonts w:eastAsia="DengXian"/>
                <w:lang w:eastAsia="zh-CN"/>
              </w:rPr>
            </w:pP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716C25B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5CEEFDA5" w14:textId="77777777" w:rsidR="003F0F76" w:rsidRPr="00A1326F" w:rsidRDefault="003F0F76" w:rsidP="006234C3">
            <w:pPr>
              <w:rPr>
                <w:rFonts w:eastAsia="DengXian"/>
                <w:lang w:eastAsia="zh-CN"/>
              </w:rPr>
            </w:pPr>
          </w:p>
        </w:tc>
        <w:tc>
          <w:tcPr>
            <w:tcW w:w="607" w:type="dxa"/>
            <w:tcBorders>
              <w:top w:val="single" w:sz="4" w:space="0" w:color="auto"/>
              <w:left w:val="single" w:sz="4" w:space="0" w:color="auto"/>
              <w:bottom w:val="single" w:sz="4" w:space="0" w:color="auto"/>
              <w:right w:val="single" w:sz="4" w:space="0" w:color="auto"/>
            </w:tcBorders>
          </w:tcPr>
          <w:p w14:paraId="57859701" w14:textId="77777777" w:rsidR="003F0F76" w:rsidRPr="00A1326F" w:rsidRDefault="003F0F76" w:rsidP="006234C3">
            <w:pPr>
              <w:rPr>
                <w:rFonts w:eastAsia="DengXian"/>
                <w:lang w:eastAsia="zh-CN"/>
              </w:rPr>
            </w:pPr>
          </w:p>
        </w:tc>
        <w:tc>
          <w:tcPr>
            <w:tcW w:w="608" w:type="dxa"/>
            <w:tcBorders>
              <w:top w:val="single" w:sz="4" w:space="0" w:color="auto"/>
              <w:left w:val="single" w:sz="4" w:space="0" w:color="auto"/>
              <w:bottom w:val="single" w:sz="4" w:space="0" w:color="auto"/>
              <w:right w:val="single" w:sz="4" w:space="0" w:color="auto"/>
            </w:tcBorders>
          </w:tcPr>
          <w:p w14:paraId="3AFEE911" w14:textId="77777777" w:rsidR="003F0F76" w:rsidRPr="00A1326F" w:rsidRDefault="003F0F76" w:rsidP="006234C3">
            <w:pPr>
              <w:rPr>
                <w:rFonts w:eastAsia="DengXian"/>
                <w:lang w:eastAsia="zh-CN"/>
              </w:rPr>
            </w:pPr>
          </w:p>
        </w:tc>
        <w:tc>
          <w:tcPr>
            <w:tcW w:w="5764" w:type="dxa"/>
            <w:tcBorders>
              <w:top w:val="single" w:sz="4" w:space="0" w:color="auto"/>
              <w:left w:val="single" w:sz="4" w:space="0" w:color="auto"/>
              <w:bottom w:val="single" w:sz="4" w:space="0" w:color="auto"/>
              <w:right w:val="single" w:sz="4" w:space="0" w:color="auto"/>
            </w:tcBorders>
          </w:tcPr>
          <w:p w14:paraId="603FF3A3" w14:textId="77777777" w:rsidR="003F0F76" w:rsidRDefault="003F0F76" w:rsidP="006234C3">
            <w:pPr>
              <w:rPr>
                <w:rFonts w:eastAsia="Times New Roman"/>
              </w:rPr>
            </w:pPr>
          </w:p>
        </w:tc>
      </w:tr>
    </w:tbl>
    <w:p w14:paraId="0BF2ED6B" w14:textId="77777777" w:rsidR="003F24E5" w:rsidRDefault="003F24E5" w:rsidP="001E4175">
      <w:pPr>
        <w:spacing w:after="0"/>
        <w:rPr>
          <w:rFonts w:ascii="Arial" w:hAnsi="Arial" w:cs="Arial"/>
          <w:lang w:eastAsia="zh-CN"/>
        </w:rPr>
      </w:pPr>
    </w:p>
    <w:p w14:paraId="3F083FFB" w14:textId="284B167A"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PCell</w:t>
      </w:r>
      <w:proofErr w:type="spellEnd"/>
      <w:r w:rsidR="00D2519D">
        <w:rPr>
          <w:sz w:val="21"/>
          <w:szCs w:val="21"/>
        </w:rPr>
        <w:t xml:space="preserve"> in FR2)</w:t>
      </w:r>
    </w:p>
    <w:p w14:paraId="719CC6A9" w14:textId="26010CFE" w:rsidR="00CC746E" w:rsidRPr="00FF6B15" w:rsidRDefault="00DD4260" w:rsidP="00DD4260">
      <w:pPr>
        <w:spacing w:afterLines="100" w:after="240"/>
        <w:rPr>
          <w:rFonts w:ascii="Arial" w:hAnsi="Arial" w:cs="Arial"/>
          <w:b/>
        </w:rPr>
      </w:pPr>
      <w:r w:rsidRPr="00455A2F">
        <w:rPr>
          <w:rFonts w:ascii="Arial" w:hAnsi="Arial" w:cs="Arial"/>
          <w:b/>
        </w:rPr>
        <w:lastRenderedPageBreak/>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UEs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BodyText"/>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584650FA"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proofErr w:type="spellStart"/>
            <w:r>
              <w:rPr>
                <w:rFonts w:eastAsia="Times New Roman"/>
              </w:rPr>
              <w:t>signaling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77777777" w:rsidR="00DD4260" w:rsidRPr="00A1326F" w:rsidRDefault="00DD4260"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22B7769D" w14:textId="77777777" w:rsidR="00DD4260" w:rsidRPr="00A1326F" w:rsidRDefault="00DD4260"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BodyText"/>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378DDDAA"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bookmarkStart w:id="1" w:name="_GoBack"/>
            <w:bookmarkEnd w:id="1"/>
            <w:r>
              <w:rPr>
                <w:rFonts w:eastAsiaTheme="minorEastAsia"/>
                <w:lang w:eastAsia="ja-JP"/>
              </w:rPr>
              <w:t xml:space="preserve">discussed in Q2/Q3, we think maybe </w:t>
            </w:r>
            <w:proofErr w:type="spellStart"/>
            <w:r>
              <w:rPr>
                <w:rFonts w:eastAsiaTheme="minorEastAsia"/>
                <w:lang w:eastAsia="ja-JP"/>
              </w:rPr>
              <w:t>signaling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77777777" w:rsidR="00D37018" w:rsidRPr="00A1326F" w:rsidRDefault="00D37018"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14C75FBF" w14:textId="77777777" w:rsidR="00D37018" w:rsidRPr="00A1326F" w:rsidRDefault="00D37018"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BodyText"/>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77777777" w:rsidR="00EA3564" w:rsidRPr="00A1326F" w:rsidRDefault="00EA3564" w:rsidP="006234C3">
            <w:pPr>
              <w:rPr>
                <w:rFonts w:eastAsia="DengXian"/>
                <w:lang w:eastAsia="zh-CN"/>
              </w:rPr>
            </w:pP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ListParagraph"/>
              <w:rPr>
                <w:rFonts w:eastAsia="Times New Roman"/>
              </w:rPr>
            </w:pP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77777777" w:rsidR="00725C42" w:rsidRPr="00A1326F" w:rsidRDefault="00725C42" w:rsidP="006234C3">
            <w:pPr>
              <w:rPr>
                <w:rFonts w:eastAsia="DengXian"/>
                <w:lang w:eastAsia="zh-CN"/>
              </w:rPr>
            </w:pPr>
          </w:p>
        </w:tc>
        <w:tc>
          <w:tcPr>
            <w:tcW w:w="8058" w:type="dxa"/>
            <w:tcBorders>
              <w:top w:val="single" w:sz="4" w:space="0" w:color="auto"/>
              <w:left w:val="single" w:sz="4" w:space="0" w:color="auto"/>
              <w:bottom w:val="single" w:sz="4" w:space="0" w:color="auto"/>
              <w:right w:val="single" w:sz="4" w:space="0" w:color="auto"/>
            </w:tcBorders>
          </w:tcPr>
          <w:p w14:paraId="358496CE" w14:textId="77777777" w:rsidR="00725C42" w:rsidRDefault="00725C42" w:rsidP="006234C3">
            <w:pPr>
              <w:rPr>
                <w:rFonts w:eastAsia="Times New Roman"/>
              </w:rPr>
            </w:pP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lastRenderedPageBreak/>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3E20D" w14:textId="77777777" w:rsidR="00E95B9A" w:rsidRDefault="00E95B9A">
      <w:r>
        <w:separator/>
      </w:r>
    </w:p>
  </w:endnote>
  <w:endnote w:type="continuationSeparator" w:id="0">
    <w:p w14:paraId="0CC97ECB" w14:textId="77777777" w:rsidR="00E95B9A" w:rsidRDefault="00E9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DA34" w14:textId="77777777" w:rsidR="00E95B9A" w:rsidRDefault="00E95B9A">
      <w:r>
        <w:separator/>
      </w:r>
    </w:p>
  </w:footnote>
  <w:footnote w:type="continuationSeparator" w:id="0">
    <w:p w14:paraId="26D57CFC" w14:textId="77777777" w:rsidR="00E95B9A" w:rsidRDefault="00E9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020F"/>
    <w:rsid w:val="00DF1CB9"/>
    <w:rsid w:val="00DF1F50"/>
    <w:rsid w:val="00DF2021"/>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93D35848-F024-41C5-9EF7-A13067AE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3186</Words>
  <Characters>18164</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21308</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21</cp:revision>
  <cp:lastPrinted>1900-12-31T16:00:00Z</cp:lastPrinted>
  <dcterms:created xsi:type="dcterms:W3CDTF">2020-08-24T02:42:00Z</dcterms:created>
  <dcterms:modified xsi:type="dcterms:W3CDTF">2020-08-24T06:06:00Z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