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8D314" w14:textId="77777777" w:rsidR="00D6469A" w:rsidRDefault="0094464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Heading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tdocs,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tdocs.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As Part 1 of the email discussion highlighted, it is to discuss the following assigned Tdocs:</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B271D0">
      <w:pPr>
        <w:pStyle w:val="Doc-title"/>
        <w:ind w:left="1979"/>
      </w:pPr>
      <w:hyperlink r:id="rId12" w:tooltip="D:Documents3GPPtsg_ranWG2TSGR2_111-eDocsR2-2006647.zip" w:history="1">
        <w:r w:rsidR="0094464E">
          <w:rPr>
            <w:rStyle w:val="Hyperlink"/>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B271D0">
      <w:pPr>
        <w:pStyle w:val="Doc-title"/>
        <w:ind w:left="1979"/>
      </w:pPr>
      <w:hyperlink r:id="rId13" w:tooltip="D:Documents3GPPtsg_ranWG2TSGR2_111-eDocsR2-2007781.zip" w:history="1">
        <w:r w:rsidR="0094464E">
          <w:rPr>
            <w:rStyle w:val="Hyperlink"/>
          </w:rPr>
          <w:t>R2-2007781</w:t>
        </w:r>
      </w:hyperlink>
      <w:r w:rsidR="0094464E">
        <w:tab/>
        <w:t>Correction to 38306 on inter-RAT MRO feature</w:t>
      </w:r>
      <w:r w:rsidR="0094464E">
        <w:tab/>
        <w:t>ZTE Corporation, Sanechips</w:t>
      </w:r>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B271D0">
      <w:pPr>
        <w:pStyle w:val="Doc-title"/>
        <w:ind w:left="1979"/>
      </w:pPr>
      <w:hyperlink r:id="rId14" w:tooltip="D:Documents3GPPtsg_ranWG2TSGR2_111-eDocsR2-2006577.zip" w:history="1">
        <w:r w:rsidR="0094464E">
          <w:rPr>
            <w:rStyle w:val="Hyperlink"/>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B271D0">
      <w:pPr>
        <w:pStyle w:val="Doc-title"/>
        <w:ind w:left="1979"/>
      </w:pPr>
      <w:hyperlink r:id="rId15" w:tooltip="D:Documents3GPPtsg_ranWG2TSGR2_111-eDocsR2-2007597.zip" w:history="1">
        <w:r w:rsidR="0094464E">
          <w:rPr>
            <w:rStyle w:val="Hyperlink"/>
          </w:rPr>
          <w:t>R2-2007597</w:t>
        </w:r>
      </w:hyperlink>
      <w:r w:rsidR="0094464E">
        <w:tab/>
        <w:t>NR-U features in 38.306</w:t>
      </w:r>
      <w:r w:rsidR="0094464E">
        <w:tab/>
        <w:t>Ericsson</w:t>
      </w:r>
      <w:r w:rsidR="0094464E">
        <w:tab/>
        <w:t>discussion</w:t>
      </w:r>
      <w:r w:rsidR="0094464E">
        <w:tab/>
        <w:t>NR_unlic-Core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B271D0">
      <w:pPr>
        <w:pStyle w:val="BoldComments"/>
        <w:ind w:left="720"/>
        <w:rPr>
          <w:b w:val="0"/>
          <w:bCs/>
          <w:sz w:val="22"/>
          <w:szCs w:val="22"/>
        </w:rPr>
      </w:pPr>
      <w:hyperlink r:id="rId16" w:tooltip="D:Documents3GPPtsg_ranWG2TSGR2_111-eDocsR2-2007596.zip" w:history="1">
        <w:r w:rsidR="0094464E">
          <w:rPr>
            <w:rStyle w:val="Hyperlink"/>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t>NR_unlic-Core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Heading1"/>
        <w:numPr>
          <w:ilvl w:val="0"/>
          <w:numId w:val="9"/>
        </w:numPr>
      </w:pPr>
      <w:r>
        <w:t>Discussion</w:t>
      </w:r>
    </w:p>
    <w:p w14:paraId="4F718D54" w14:textId="77777777" w:rsidR="00D6469A" w:rsidRDefault="0094464E">
      <w:pPr>
        <w:pStyle w:val="Heading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Hyperlink"/>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Fallback procedures from 2-step RA type to 4-step RA type;</w:t>
            </w:r>
          </w:p>
          <w:p w14:paraId="35830F9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PRACH resource and format determination;</w:t>
            </w:r>
          </w:p>
          <w:p w14:paraId="7FF93A3D"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PUSCH configuration;</w:t>
            </w:r>
          </w:p>
          <w:p w14:paraId="173C2D1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Validation and transmission of MSGA PRACH and PUSCH;</w:t>
            </w:r>
          </w:p>
          <w:p w14:paraId="7A99EF9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Mapping between preamble of MSGA PRACH and PUSCH occasion with DMRS resource of MSGA PUSCH;</w:t>
            </w:r>
          </w:p>
          <w:p w14:paraId="7E887A5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MSGB monitoring and decoding;</w:t>
            </w:r>
          </w:p>
          <w:p w14:paraId="54C98450"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PUCCH transmission for HARQ-ACK feedback to a MSGB;</w:t>
            </w:r>
          </w:p>
          <w:p w14:paraId="51E5D9E3" w14:textId="77777777" w:rsidR="00D6469A" w:rsidRDefault="0094464E">
            <w:pPr>
              <w:pStyle w:val="B1"/>
              <w:rPr>
                <w:ins w:id="4" w:author="vivo (Stephen)" w:date="2020-07-29T14:20:00Z"/>
                <w:rFonts w:ascii="Arial" w:hAnsi="Arial"/>
                <w:sz w:val="18"/>
                <w:lang w:eastAsia="ja-JP"/>
              </w:rPr>
            </w:pPr>
            <w:r>
              <w:rPr>
                <w:rFonts w:ascii="Arial" w:hAnsi="Arial"/>
                <w:sz w:val="18"/>
                <w:lang w:eastAsia="ja-JP"/>
              </w:rPr>
              <w:t>-</w:t>
            </w:r>
            <w:r>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Pr>
                  <w:rFonts w:ascii="Arial" w:hAnsi="Arial"/>
                  <w:sz w:val="18"/>
                  <w:lang w:eastAsia="ja-JP"/>
                </w:rPr>
                <w:delText>.</w:delText>
              </w:r>
            </w:del>
          </w:p>
          <w:p w14:paraId="79E4B7B9" w14:textId="77777777" w:rsidR="00D6469A" w:rsidRDefault="0094464E">
            <w:pPr>
              <w:pStyle w:val="B1"/>
              <w:rPr>
                <w:rFonts w:ascii="Arial" w:hAnsi="Arial" w:cs="Arial"/>
                <w:sz w:val="18"/>
                <w:szCs w:val="18"/>
              </w:rPr>
            </w:pPr>
            <w:ins w:id="7" w:author="vivo (Stephen)" w:date="2020-07-29T14:20:00Z">
              <w:r>
                <w:rPr>
                  <w:rFonts w:ascii="Arial" w:hAnsi="Arial" w:cs="Arial"/>
                  <w:sz w:val="18"/>
                  <w:szCs w:val="18"/>
                  <w:lang w:eastAsia="ja-JP"/>
                </w:rPr>
                <w:t>-</w:t>
              </w:r>
              <w:r>
                <w:rPr>
                  <w:rFonts w:ascii="Arial" w:hAnsi="Arial" w:cs="Arial"/>
                  <w:sz w:val="18"/>
                  <w:szCs w:val="18"/>
                  <w:lang w:eastAsia="ja-JP"/>
                </w:rPr>
                <w:tab/>
              </w:r>
            </w:ins>
            <w:ins w:id="8" w:author="vivo (Stephen)" w:date="2020-07-29T14:19:00Z">
              <w:r>
                <w:rPr>
                  <w:rFonts w:ascii="Arial" w:hAnsi="Arial" w:cs="Arial"/>
                  <w:sz w:val="18"/>
                  <w:szCs w:val="18"/>
                  <w:highlight w:val="yellow"/>
                  <w:lang w:eastAsia="ja-JP"/>
                </w:rPr>
                <w:t>Re</w:t>
              </w:r>
            </w:ins>
            <w:ins w:id="9" w:author="vivo (Stephen)" w:date="2020-07-29T14:21:00Z">
              <w:r>
                <w:rPr>
                  <w:rFonts w:ascii="Arial" w:hAnsi="Arial" w:cs="Arial"/>
                  <w:sz w:val="18"/>
                  <w:szCs w:val="18"/>
                  <w:highlight w:val="yellow"/>
                </w:rPr>
                <w:t>configuration with sync</w:t>
              </w:r>
            </w:ins>
            <w:ins w:id="10" w:author="vivo (Stephen)" w:date="2020-07-29T14:22:00Z">
              <w:r>
                <w:rPr>
                  <w:rFonts w:ascii="Arial" w:hAnsi="Arial" w:cs="Arial"/>
                  <w:sz w:val="18"/>
                  <w:szCs w:val="18"/>
                  <w:highlight w:val="yellow"/>
                </w:rPr>
                <w:t xml:space="preserve"> using a contention free random access with 2-step RA type on </w:t>
              </w:r>
            </w:ins>
            <w:ins w:id="11" w:author="vivo (Stephen)" w:date="2020-07-29T14:30:00Z">
              <w:r>
                <w:rPr>
                  <w:rFonts w:ascii="Arial" w:hAnsi="Arial" w:cs="Arial"/>
                  <w:sz w:val="18"/>
                  <w:szCs w:val="18"/>
                  <w:highlight w:val="yellow"/>
                </w:rPr>
                <w:t xml:space="preserve">MSGA </w:t>
              </w:r>
            </w:ins>
            <w:ins w:id="12" w:author="vivo (Stephen)" w:date="2020-07-29T14:22:00Z">
              <w:r>
                <w:rPr>
                  <w:rFonts w:ascii="Arial" w:hAnsi="Arial" w:cs="Arial"/>
                  <w:sz w:val="18"/>
                  <w:szCs w:val="18"/>
                  <w:highlight w:val="yellow"/>
                </w:rPr>
                <w:t xml:space="preserve">PRACH </w:t>
              </w:r>
            </w:ins>
            <w:ins w:id="13" w:author="vivo (Stephen)" w:date="2020-07-29T14:30:00Z">
              <w:r>
                <w:rPr>
                  <w:rFonts w:ascii="Arial" w:hAnsi="Arial" w:cs="Arial"/>
                  <w:sz w:val="18"/>
                  <w:szCs w:val="18"/>
                  <w:highlight w:val="yellow"/>
                </w:rPr>
                <w:t xml:space="preserve">and PUSCH </w:t>
              </w:r>
            </w:ins>
            <w:ins w:id="14" w:author="vivo (Stephen)" w:date="2020-07-29T14:22:00Z">
              <w:r>
                <w:rPr>
                  <w:rFonts w:ascii="Arial" w:hAnsi="Arial" w:cs="Arial"/>
                  <w:sz w:val="18"/>
                  <w:szCs w:val="18"/>
                  <w:highlight w:val="yellow"/>
                </w:rPr>
                <w:t xml:space="preserve">resources </w:t>
              </w:r>
            </w:ins>
            <w:ins w:id="15" w:author="vivo (Stephen)" w:date="2020-07-29T14:31:00Z">
              <w:r>
                <w:rPr>
                  <w:rFonts w:ascii="Arial" w:hAnsi="Arial" w:cs="Arial"/>
                  <w:sz w:val="18"/>
                  <w:szCs w:val="18"/>
                  <w:highlight w:val="yellow"/>
                </w:rPr>
                <w:t xml:space="preserve">that are </w:t>
              </w:r>
            </w:ins>
            <w:ins w:id="16" w:author="vivo (Stephen)" w:date="2020-07-29T14:21:00Z">
              <w:r>
                <w:rPr>
                  <w:rFonts w:ascii="Arial" w:hAnsi="Arial" w:cs="Arial"/>
                  <w:sz w:val="18"/>
                  <w:szCs w:val="18"/>
                  <w:highlight w:val="yellow"/>
                </w:rPr>
                <w:t xml:space="preserve">associated with </w:t>
              </w:r>
            </w:ins>
            <w:ins w:id="17" w:author="vivo (Stephen)" w:date="2020-07-29T14:22:00Z">
              <w:r>
                <w:rPr>
                  <w:rFonts w:ascii="Arial" w:hAnsi="Arial" w:cs="Arial"/>
                  <w:sz w:val="18"/>
                  <w:szCs w:val="18"/>
                  <w:highlight w:val="yellow"/>
                </w:rPr>
                <w:t>SSB</w:t>
              </w:r>
            </w:ins>
            <w:ins w:id="18" w:author="vivo (Stephen)" w:date="2020-07-29T14:21:00Z">
              <w:r>
                <w:rPr>
                  <w:rFonts w:ascii="Arial" w:hAnsi="Arial" w:cs="Arial"/>
                  <w:sz w:val="18"/>
                  <w:szCs w:val="18"/>
                  <w:highlight w:val="yellow"/>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ListParagraph"/>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uawei, HiSilicon</w:t>
            </w:r>
          </w:p>
          <w:p w14:paraId="659F2BD7" w14:textId="77777777" w:rsidR="00D6469A" w:rsidRDefault="0094464E">
            <w:pPr>
              <w:spacing w:after="0"/>
              <w:jc w:val="both"/>
              <w:rPr>
                <w:lang w:val="en-GB" w:eastAsia="zh-CN"/>
              </w:rPr>
            </w:pPr>
            <w:r>
              <w:rPr>
                <w:lang w:val="en-GB" w:eastAsia="zh-CN"/>
              </w:rPr>
              <w:t>(Yiru Kuang)</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19" w:author="NTT DOCOMO, INC. (Hideaki)" w:date="2020-08-19T21:18:00Z">
              <w:r>
                <w:rPr>
                  <w:rFonts w:eastAsia="Yu Mincho" w:hint="eastAsia"/>
                  <w:lang w:val="en-GB" w:eastAsia="ja-JP"/>
                </w:rPr>
                <w:lastRenderedPageBreak/>
                <w:t>NTT</w:t>
              </w:r>
              <w:r>
                <w:rPr>
                  <w:rFonts w:eastAsia="Yu Mincho"/>
                  <w:lang w:val="en-GB" w:eastAsia="ja-JP"/>
                </w:rPr>
                <w:t xml:space="preserve"> DOCOMO</w:t>
              </w:r>
            </w:ins>
          </w:p>
        </w:tc>
        <w:tc>
          <w:tcPr>
            <w:tcW w:w="1684" w:type="dxa"/>
          </w:tcPr>
          <w:p w14:paraId="7B07025A" w14:textId="77777777" w:rsidR="00D6469A" w:rsidRDefault="0094464E">
            <w:pPr>
              <w:spacing w:after="0"/>
              <w:rPr>
                <w:lang w:val="en-GB" w:eastAsia="zh-CN"/>
              </w:rPr>
            </w:pPr>
            <w:ins w:id="20" w:author="NTT DOCOMO, INC. (Hideaki)" w:date="2020-08-19T21:20:00Z">
              <w:r>
                <w:rPr>
                  <w:rFonts w:eastAsia="Yu Mincho" w:hint="eastAsia"/>
                  <w:lang w:val="en-GB" w:eastAsia="ja-JP"/>
                </w:rPr>
                <w:t>No strong opinion, but</w:t>
              </w:r>
            </w:ins>
          </w:p>
        </w:tc>
        <w:tc>
          <w:tcPr>
            <w:tcW w:w="6236" w:type="dxa"/>
          </w:tcPr>
          <w:p w14:paraId="56F236D2" w14:textId="77777777" w:rsidR="00D6469A" w:rsidRDefault="0094464E">
            <w:pPr>
              <w:spacing w:after="0"/>
              <w:rPr>
                <w:lang w:val="en-GB" w:eastAsia="zh-CN"/>
              </w:rPr>
            </w:pPr>
            <w:ins w:id="21" w:author="NTT DOCOMO, INC. (Hideaki)" w:date="2020-08-19T21:21:00Z">
              <w:r>
                <w:rPr>
                  <w:rFonts w:eastAsia="Yu Mincho"/>
                  <w:lang w:val="en-GB" w:eastAsia="ja-JP"/>
                </w:rPr>
                <w:t>I</w:t>
              </w:r>
              <w:r>
                <w:rPr>
                  <w:rFonts w:eastAsia="Yu Mincho" w:hint="eastAsia"/>
                  <w:lang w:val="en-GB" w:eastAsia="ja-JP"/>
                </w:rPr>
                <w:t xml:space="preserve">t </w:t>
              </w:r>
              <w:r>
                <w:rPr>
                  <w:rFonts w:eastAsia="Yu Mincho"/>
                  <w:lang w:val="en-GB" w:eastAsia="ja-JP"/>
                </w:rPr>
                <w:t xml:space="preserve">is not clear if all of the component </w:t>
              </w:r>
            </w:ins>
            <w:ins w:id="22" w:author="NTT DOCOMO, INC. (Hideaki)" w:date="2020-08-19T21:22:00Z">
              <w:r>
                <w:rPr>
                  <w:rFonts w:eastAsia="Yu Mincho"/>
                  <w:lang w:val="en-GB" w:eastAsia="ja-JP"/>
                </w:rPr>
                <w:t>descriptions</w:t>
              </w:r>
            </w:ins>
            <w:ins w:id="23" w:author="NTT DOCOMO, INC. (Hideaki)" w:date="2020-08-19T21:21:00Z">
              <w:r>
                <w:rPr>
                  <w:rFonts w:eastAsia="Yu Mincho"/>
                  <w:lang w:val="en-GB" w:eastAsia="ja-JP"/>
                </w:rPr>
                <w:t xml:space="preserve"> </w:t>
              </w:r>
            </w:ins>
            <w:ins w:id="24" w:author="NTT DOCOMO, INC. (Hideaki)" w:date="2020-08-19T21:22:00Z">
              <w:r>
                <w:rPr>
                  <w:rFonts w:eastAsia="Yu Mincho"/>
                  <w:lang w:val="en-GB" w:eastAsia="ja-JP"/>
                </w:rPr>
                <w:t xml:space="preserve">in the UE feature list have to be imported into TS. As Intel commented, it is somewhat obvious. Given the fact that the feature list sometimes describes </w:t>
              </w:r>
            </w:ins>
            <w:ins w:id="25" w:author="NTT DOCOMO, INC. (Hideaki)" w:date="2020-08-19T21:23:00Z">
              <w:r>
                <w:rPr>
                  <w:rFonts w:eastAsia="Yu Mincho"/>
                  <w:lang w:val="en-GB" w:eastAsia="ja-JP"/>
                </w:rPr>
                <w:t>trivial things, it would be better to filter them out.</w:t>
              </w:r>
            </w:ins>
          </w:p>
        </w:tc>
      </w:tr>
      <w:tr w:rsidR="00D6469A" w14:paraId="3225CBDD" w14:textId="77777777">
        <w:trPr>
          <w:ins w:id="26" w:author="ZTE" w:date="2020-08-20T00:14:00Z"/>
        </w:trPr>
        <w:tc>
          <w:tcPr>
            <w:tcW w:w="1430" w:type="dxa"/>
          </w:tcPr>
          <w:p w14:paraId="71E2CB4F" w14:textId="77777777" w:rsidR="00D6469A" w:rsidRDefault="0094464E">
            <w:pPr>
              <w:spacing w:after="0"/>
              <w:jc w:val="both"/>
              <w:rPr>
                <w:ins w:id="27" w:author="ZTE" w:date="2020-08-20T00:14:00Z"/>
                <w:lang w:val="en-GB" w:eastAsia="zh-CN"/>
              </w:rPr>
            </w:pPr>
            <w:ins w:id="28" w:author="ZTE" w:date="2020-08-20T00:14:00Z">
              <w:r>
                <w:rPr>
                  <w:lang w:val="en-GB" w:eastAsia="zh-CN"/>
                </w:rPr>
                <w:t>ZTE</w:t>
              </w:r>
            </w:ins>
          </w:p>
        </w:tc>
        <w:tc>
          <w:tcPr>
            <w:tcW w:w="1684" w:type="dxa"/>
          </w:tcPr>
          <w:p w14:paraId="249E81AC" w14:textId="77777777" w:rsidR="00D6469A" w:rsidRDefault="0094464E">
            <w:pPr>
              <w:spacing w:after="0"/>
              <w:jc w:val="both"/>
              <w:rPr>
                <w:ins w:id="29" w:author="ZTE" w:date="2020-08-20T00:14:00Z"/>
                <w:lang w:val="en-GB" w:eastAsia="zh-CN"/>
              </w:rPr>
            </w:pPr>
            <w:ins w:id="30" w:author="ZTE" w:date="2020-08-20T00:14:00Z">
              <w:r>
                <w:rPr>
                  <w:lang w:val="en-GB" w:eastAsia="zh-CN"/>
                </w:rPr>
                <w:t>Agree</w:t>
              </w:r>
            </w:ins>
          </w:p>
        </w:tc>
        <w:tc>
          <w:tcPr>
            <w:tcW w:w="6236" w:type="dxa"/>
          </w:tcPr>
          <w:p w14:paraId="6FE17395" w14:textId="77777777" w:rsidR="00D6469A" w:rsidRDefault="0094464E">
            <w:pPr>
              <w:spacing w:after="0"/>
              <w:jc w:val="both"/>
              <w:rPr>
                <w:ins w:id="31" w:author="ZTE" w:date="2020-08-20T00:14:00Z"/>
                <w:lang w:val="en-GB" w:eastAsia="zh-CN"/>
              </w:rPr>
            </w:pPr>
            <w:ins w:id="32" w:author="ZTE" w:date="2020-08-20T00:14:00Z">
              <w:r>
                <w:rPr>
                  <w:lang w:val="en-GB" w:eastAsia="zh-CN"/>
                </w:rPr>
                <w:t xml:space="preserve">We are okay to capture this. </w:t>
              </w:r>
            </w:ins>
          </w:p>
          <w:p w14:paraId="371BFBA3" w14:textId="77777777" w:rsidR="00D6469A" w:rsidRDefault="00D6469A">
            <w:pPr>
              <w:spacing w:after="0"/>
              <w:jc w:val="both"/>
              <w:rPr>
                <w:ins w:id="33" w:author="ZTE" w:date="2020-08-20T00:14:00Z"/>
                <w:lang w:val="en-GB" w:eastAsia="zh-CN"/>
              </w:rPr>
            </w:pPr>
          </w:p>
          <w:p w14:paraId="47917441" w14:textId="56C4C970" w:rsidR="00D6469A" w:rsidRDefault="0094464E">
            <w:pPr>
              <w:spacing w:after="0"/>
              <w:jc w:val="both"/>
              <w:rPr>
                <w:ins w:id="34" w:author="ZTE" w:date="2020-08-20T00:14:00Z"/>
                <w:lang w:val="en-GB" w:eastAsia="zh-CN"/>
              </w:rPr>
            </w:pPr>
            <w:ins w:id="35"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36" w:author="ZTE" w:date="2020-08-19T18:19:00Z">
              <w:r w:rsidR="00407DC9">
                <w:rPr>
                  <w:lang w:val="en-GB" w:eastAsia="zh-CN"/>
                </w:rPr>
                <w:t>It is worth capturing this clarification explicitly at some place to avoid any misunderstanding</w:t>
              </w:r>
            </w:ins>
            <w:ins w:id="37" w:author="ZTE" w:date="2020-08-19T18:20:00Z">
              <w:r w:rsidR="00407DC9">
                <w:rPr>
                  <w:lang w:val="en-GB" w:eastAsia="zh-CN"/>
                </w:rPr>
                <w:t xml:space="preserve"> of the supported feature set. </w:t>
              </w:r>
            </w:ins>
          </w:p>
        </w:tc>
      </w:tr>
      <w:tr w:rsidR="00D6469A" w14:paraId="73A64235" w14:textId="77777777">
        <w:tc>
          <w:tcPr>
            <w:tcW w:w="1430" w:type="dxa"/>
          </w:tcPr>
          <w:p w14:paraId="6F0AA67D" w14:textId="77777777" w:rsidR="00D6469A" w:rsidRDefault="00D6469A">
            <w:pPr>
              <w:spacing w:after="0"/>
              <w:jc w:val="both"/>
              <w:rPr>
                <w:lang w:eastAsia="zh-CN"/>
              </w:rPr>
            </w:pPr>
          </w:p>
        </w:tc>
        <w:tc>
          <w:tcPr>
            <w:tcW w:w="1684" w:type="dxa"/>
          </w:tcPr>
          <w:p w14:paraId="06A1F503" w14:textId="77777777" w:rsidR="00D6469A" w:rsidRDefault="00D6469A">
            <w:pPr>
              <w:spacing w:after="0"/>
              <w:rPr>
                <w:rFonts w:eastAsia="Yu Mincho"/>
                <w:lang w:val="en-GB" w:eastAsia="ja-JP"/>
              </w:rPr>
            </w:pPr>
          </w:p>
        </w:tc>
        <w:tc>
          <w:tcPr>
            <w:tcW w:w="6236" w:type="dxa"/>
          </w:tcPr>
          <w:p w14:paraId="0E412146" w14:textId="77777777" w:rsidR="00D6469A" w:rsidRDefault="00D6469A">
            <w:pPr>
              <w:spacing w:after="0"/>
              <w:rPr>
                <w:lang w:val="en-GB" w:eastAsia="zh-CN"/>
              </w:rPr>
            </w:pPr>
          </w:p>
        </w:tc>
      </w:tr>
      <w:tr w:rsidR="00D6469A" w14:paraId="4B0287FE" w14:textId="77777777">
        <w:trPr>
          <w:trHeight w:val="261"/>
        </w:trPr>
        <w:tc>
          <w:tcPr>
            <w:tcW w:w="1430" w:type="dxa"/>
          </w:tcPr>
          <w:p w14:paraId="4C46EBE8" w14:textId="77777777" w:rsidR="00D6469A" w:rsidRDefault="00D6469A">
            <w:pPr>
              <w:spacing w:after="0"/>
              <w:jc w:val="both"/>
              <w:rPr>
                <w:lang w:val="en-GB" w:eastAsia="zh-CN"/>
              </w:rPr>
            </w:pPr>
          </w:p>
        </w:tc>
        <w:tc>
          <w:tcPr>
            <w:tcW w:w="1684" w:type="dxa"/>
          </w:tcPr>
          <w:p w14:paraId="57D4F879" w14:textId="77777777" w:rsidR="00D6469A" w:rsidRDefault="00D6469A">
            <w:pPr>
              <w:spacing w:after="0"/>
              <w:rPr>
                <w:lang w:val="en-GB" w:eastAsia="zh-CN"/>
              </w:rPr>
            </w:pPr>
          </w:p>
        </w:tc>
        <w:tc>
          <w:tcPr>
            <w:tcW w:w="6236" w:type="dxa"/>
            <w:shd w:val="clear" w:color="auto" w:fill="auto"/>
          </w:tcPr>
          <w:p w14:paraId="204D27F4" w14:textId="77777777" w:rsidR="00D6469A" w:rsidRDefault="00D6469A">
            <w:pPr>
              <w:spacing w:after="0"/>
              <w:rPr>
                <w:lang w:val="en-GB" w:eastAsia="zh-CN"/>
              </w:rPr>
            </w:pPr>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Heading2"/>
      </w:pPr>
      <w:r>
        <w:t>MDT/SON capability CR</w:t>
      </w:r>
    </w:p>
    <w:p w14:paraId="335D66B3" w14:textId="77777777" w:rsidR="00D6469A" w:rsidRDefault="0094464E">
      <w:pPr>
        <w:pStyle w:val="CRCoverPage"/>
        <w:spacing w:after="0"/>
        <w:rPr>
          <w:rFonts w:eastAsia="SimSun"/>
          <w:lang w:val="en-US" w:eastAsia="zh-CN"/>
        </w:rPr>
      </w:pPr>
      <w:r>
        <w:rPr>
          <w:rFonts w:eastAsia="Times New Roman" w:cs="Arial"/>
        </w:rPr>
        <w:t>In</w:t>
      </w:r>
      <w:r>
        <w:rPr>
          <w:rFonts w:cs="Arial"/>
          <w:color w:val="000000"/>
        </w:rPr>
        <w:t xml:space="preserve"> </w:t>
      </w:r>
      <w:hyperlink r:id="rId18" w:history="1">
        <w:r>
          <w:rPr>
            <w:rStyle w:val="Hyperlink"/>
            <w:rFonts w:cs="Arial"/>
          </w:rPr>
          <w:t>R2-2007781</w:t>
        </w:r>
      </w:hyperlink>
      <w:r>
        <w:rPr>
          <w:rFonts w:cs="Arial"/>
        </w:rPr>
        <w:t xml:space="preserve">, it claims that </w:t>
      </w:r>
      <w:r>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SimSun"/>
          <w:lang w:val="en-US" w:eastAsia="zh-CN"/>
        </w:rPr>
        <w:t>The resolution is to merge r</w:t>
      </w:r>
      <w:r>
        <w:rPr>
          <w:rFonts w:eastAsia="SimSun" w:hint="eastAsia"/>
          <w:lang w:val="en-US" w:eastAsia="zh-CN"/>
        </w:rPr>
        <w:t>econnected RLF report for inter-RAT MRO EUTRA and Radio link report for inter-RAT MRO</w:t>
      </w:r>
      <w:r>
        <w:rPr>
          <w:rFonts w:eastAsia="SimSun"/>
          <w:lang w:val="en-US" w:eastAsia="zh-CN"/>
        </w:rPr>
        <w:t xml:space="preserve"> into one feature as follow:</w:t>
      </w:r>
    </w:p>
    <w:p w14:paraId="2139A0CB" w14:textId="77777777" w:rsidR="00D6469A" w:rsidRDefault="00D6469A">
      <w:pPr>
        <w:pStyle w:val="CRCoverPage"/>
        <w:spacing w:after="0"/>
        <w:rPr>
          <w:rFonts w:eastAsia="SimSun"/>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38"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39" w:author="ZTE-Zhihong" w:date="2020-08-05T16:38:00Z"/>
                <w:rFonts w:ascii="Arial" w:eastAsiaTheme="minorEastAsia" w:hAnsi="Arial"/>
                <w:sz w:val="18"/>
                <w:lang w:eastAsia="zh-CN"/>
              </w:rPr>
            </w:pPr>
            <w:ins w:id="40"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41" w:author="ZTE-Zhihong" w:date="2020-08-05T16:38:00Z"/>
                <w:rFonts w:ascii="Arial" w:eastAsia="Malgun Gothic" w:hAnsi="Arial" w:cs="Arial"/>
                <w:sz w:val="18"/>
                <w:szCs w:val="18"/>
              </w:rPr>
            </w:pPr>
            <w:ins w:id="42"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43" w:author="ZTE-Zhihong" w:date="2020-08-05T16:38:00Z"/>
                <w:rFonts w:ascii="Arial" w:eastAsia="Malgun Gothic" w:hAnsi="Arial" w:cs="Arial"/>
                <w:sz w:val="18"/>
                <w:szCs w:val="18"/>
              </w:rPr>
            </w:pPr>
            <w:ins w:id="44"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45" w:author="ZTE-Zhihong" w:date="2020-08-05T16:45:00Z"/>
                <w:rFonts w:ascii="Arial" w:eastAsia="Malgun Gothic" w:hAnsi="Arial"/>
                <w:sz w:val="18"/>
              </w:rPr>
            </w:pPr>
            <w:ins w:id="46"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47"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48" w:author="ZTE-Zhihong" w:date="2020-08-05T16:45:00Z"/>
        </w:trPr>
        <w:tc>
          <w:tcPr>
            <w:tcW w:w="9630" w:type="dxa"/>
          </w:tcPr>
          <w:p w14:paraId="38EFC124" w14:textId="77777777" w:rsidR="00D6469A" w:rsidRDefault="0094464E">
            <w:pPr>
              <w:keepNext/>
              <w:keepLines/>
              <w:spacing w:after="0"/>
              <w:rPr>
                <w:del w:id="49" w:author="ZTE-Zhihong" w:date="2020-08-05T16:45:00Z"/>
                <w:rFonts w:ascii="Arial" w:eastAsia="Malgun Gothic" w:hAnsi="Arial"/>
                <w:sz w:val="18"/>
              </w:rPr>
            </w:pPr>
            <w:del w:id="50"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51" w:author="ZTE-Zhihong" w:date="2020-08-05T16:45:00Z"/>
                <w:rFonts w:ascii="Arial" w:eastAsia="Malgun Gothic" w:hAnsi="Arial"/>
                <w:sz w:val="18"/>
              </w:rPr>
            </w:pPr>
            <w:del w:id="52"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SimSun"/>
          <w:lang w:val="en-US" w:eastAsia="zh-CN"/>
        </w:rPr>
      </w:pPr>
    </w:p>
    <w:p w14:paraId="6157CC89" w14:textId="77777777" w:rsidR="00D6469A" w:rsidRDefault="00B271D0">
      <w:pPr>
        <w:tabs>
          <w:tab w:val="left" w:pos="360"/>
        </w:tabs>
        <w:jc w:val="both"/>
        <w:rPr>
          <w:rFonts w:ascii="Arial" w:hAnsi="Arial" w:cs="Arial"/>
          <w:lang w:val="en-GB"/>
        </w:rPr>
      </w:pPr>
      <w:hyperlink r:id="rId19" w:history="1">
        <w:r w:rsidR="0094464E">
          <w:rPr>
            <w:rStyle w:val="Hyperlink"/>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TableGrid"/>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uawei, HiSilicon</w:t>
            </w:r>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53"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54"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55"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56"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57"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77777777" w:rsidR="00D6469A" w:rsidRDefault="00D6469A">
            <w:pPr>
              <w:spacing w:after="0"/>
              <w:jc w:val="both"/>
              <w:rPr>
                <w:rFonts w:eastAsia="Yu Mincho"/>
                <w:lang w:val="en-GB" w:eastAsia="ja-JP"/>
              </w:rPr>
            </w:pPr>
          </w:p>
        </w:tc>
        <w:tc>
          <w:tcPr>
            <w:tcW w:w="1684" w:type="dxa"/>
          </w:tcPr>
          <w:p w14:paraId="6E6DFC27" w14:textId="77777777" w:rsidR="00D6469A" w:rsidRDefault="00D6469A">
            <w:pPr>
              <w:spacing w:after="0"/>
              <w:rPr>
                <w:rFonts w:eastAsia="Yu Mincho"/>
                <w:lang w:val="en-GB" w:eastAsia="ja-JP"/>
              </w:rPr>
            </w:pPr>
          </w:p>
        </w:tc>
        <w:tc>
          <w:tcPr>
            <w:tcW w:w="6236" w:type="dxa"/>
          </w:tcPr>
          <w:p w14:paraId="0C6F64F9" w14:textId="77777777" w:rsidR="00D6469A" w:rsidRDefault="00D6469A">
            <w:pPr>
              <w:spacing w:after="0"/>
              <w:rPr>
                <w:rFonts w:eastAsia="Yu Mincho"/>
                <w:lang w:val="en-GB" w:eastAsia="ja-JP"/>
              </w:rPr>
            </w:pPr>
          </w:p>
        </w:tc>
      </w:tr>
    </w:tbl>
    <w:p w14:paraId="067BAD77" w14:textId="77777777"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Heading2"/>
      </w:pPr>
      <w:r>
        <w:t>NR-u capability discussion</w:t>
      </w:r>
    </w:p>
    <w:p w14:paraId="4F969393"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 xml:space="preserve">In </w:t>
      </w:r>
      <w:hyperlink r:id="rId20" w:history="1">
        <w:r>
          <w:rPr>
            <w:rStyle w:val="Hyperlink"/>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58" w:name="_Toc47645977"/>
      <w:bookmarkStart w:id="59" w:name="_Toc47629868"/>
      <w:r>
        <w:rPr>
          <w:rFonts w:ascii="Arial" w:hAnsi="Arial" w:cs="Arial"/>
          <w:b/>
          <w:bCs/>
        </w:rPr>
        <w:lastRenderedPageBreak/>
        <w:t>Proposal 4</w:t>
      </w:r>
      <w:r>
        <w:tab/>
        <w:t>“</w:t>
      </w:r>
      <w:r>
        <w:rPr>
          <w:i/>
          <w:iCs/>
        </w:rPr>
        <w:t>UnlicensedParametersPerBand</w:t>
      </w:r>
      <w:r>
        <w:t>” is replaced with “</w:t>
      </w:r>
      <w:r>
        <w:rPr>
          <w:i/>
          <w:iCs/>
        </w:rPr>
        <w:t>SharedSpectrumChAccessParams</w:t>
      </w:r>
      <w:r>
        <w:t>”</w:t>
      </w:r>
      <w:bookmarkEnd w:id="58"/>
      <w:bookmarkEnd w:id="59"/>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r>
        <w:rPr>
          <w:i/>
          <w:iCs/>
        </w:rPr>
        <w:t>UnlicensedParametersPerBand</w:t>
      </w:r>
      <w:r>
        <w:t xml:space="preserve"> is signalled as a child of </w:t>
      </w:r>
      <w:r>
        <w:rPr>
          <w:i/>
          <w:iCs/>
        </w:rPr>
        <w:t>BandNR</w:t>
      </w:r>
      <w:r>
        <w:t>, and thus, we do not need to repeat in the IE name that these parameters are per band.</w:t>
      </w:r>
    </w:p>
    <w:p w14:paraId="5CF758F1" w14:textId="77777777" w:rsidR="00D6469A" w:rsidRDefault="0094464E">
      <w:pPr>
        <w:pStyle w:val="Observation"/>
        <w:ind w:left="3141"/>
      </w:pPr>
      <w:r>
        <w:rPr>
          <w:i/>
          <w:iCs/>
        </w:rPr>
        <w:t>UnlicensedParametersPerBand</w:t>
      </w:r>
      <w:r>
        <w:t xml:space="preserve"> is signalled as a child of </w:t>
      </w:r>
      <w:r>
        <w:rPr>
          <w:i/>
          <w:iCs/>
        </w:rPr>
        <w:t>BandNR</w:t>
      </w:r>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Pr>
          <w:i/>
          <w:iCs/>
        </w:rPr>
        <w:t>UnlicensedParametersPerBand</w:t>
      </w:r>
      <w:r>
        <w:t>” with “</w:t>
      </w:r>
      <w:r>
        <w:rPr>
          <w:i/>
          <w:iCs/>
        </w:rPr>
        <w:t>SharedSpectrumChAccessParams</w:t>
      </w:r>
      <w:r>
        <w:t>”.</w:t>
      </w:r>
    </w:p>
    <w:p w14:paraId="029C026D" w14:textId="77777777" w:rsidR="00D6469A" w:rsidRDefault="00D6469A">
      <w:pPr>
        <w:pStyle w:val="Proposal"/>
        <w:tabs>
          <w:tab w:val="left" w:pos="1701"/>
        </w:tabs>
        <w:spacing w:after="120"/>
        <w:textAlignment w:val="baseline"/>
      </w:pPr>
      <w:bookmarkStart w:id="60" w:name="_Toc47645978"/>
      <w:bookmarkStart w:id="61"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MIMO-ParametersPerBand</w:t>
      </w:r>
      <w:r>
        <w:rPr>
          <w:rFonts w:ascii="Arial" w:hAnsi="Arial" w:cs="Arial"/>
          <w:iCs/>
        </w:rPr>
        <w:t>.  This makes it clearer that it is child of BandNR. Hence the change should be from “</w:t>
      </w:r>
      <w:r>
        <w:rPr>
          <w:i/>
          <w:iCs/>
        </w:rPr>
        <w:t>UnlicensedParametersPerBand”</w:t>
      </w:r>
      <w:r>
        <w:t xml:space="preserve"> to “</w:t>
      </w:r>
      <w:r>
        <w:rPr>
          <w:i/>
          <w:iCs/>
        </w:rPr>
        <w:t>SharedSpectrumChAccessParamsPerBand”</w:t>
      </w:r>
      <w:r>
        <w:rPr>
          <w:rFonts w:ascii="Arial" w:hAnsi="Arial" w:cs="Arial"/>
        </w:rPr>
        <w:t xml:space="preserve">. </w:t>
      </w:r>
    </w:p>
    <w:p w14:paraId="7CE39652"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Hyperlink"/>
            <w:rFonts w:ascii="Arial" w:hAnsi="Arial" w:cs="Arial"/>
          </w:rPr>
          <w:t>R2-2007596</w:t>
        </w:r>
      </w:hyperlink>
      <w:r>
        <w:rPr>
          <w:rFonts w:ascii="Arial" w:hAnsi="Arial" w:cs="Arial"/>
        </w:rPr>
        <w:t xml:space="preserve"> or (B) change </w:t>
      </w:r>
      <w:r>
        <w:rPr>
          <w:rFonts w:ascii="Arial" w:hAnsi="Arial" w:cs="Arial"/>
          <w:iCs/>
        </w:rPr>
        <w:t>from “</w:t>
      </w:r>
      <w:r>
        <w:rPr>
          <w:i/>
          <w:iCs/>
        </w:rPr>
        <w:t>UnlicensedParametersPerBand”</w:t>
      </w:r>
      <w:r>
        <w:t xml:space="preserve"> to “</w:t>
      </w:r>
      <w:r>
        <w:rPr>
          <w:i/>
          <w:iCs/>
        </w:rPr>
        <w:t>SharedSpectrumChAccessParamsPerBand”</w:t>
      </w:r>
    </w:p>
    <w:tbl>
      <w:tblPr>
        <w:tblStyle w:val="TableGrid"/>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40B9CFC" w14:textId="77777777" w:rsidR="00D6469A" w:rsidRDefault="0094464E">
            <w:pPr>
              <w:pStyle w:val="ListParagraph"/>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Huawei, HiSilicon</w:t>
            </w:r>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62"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63"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64"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65"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66"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67" w:author="ZTE" w:date="2020-08-19T18:20:00Z">
              <w:r>
                <w:rPr>
                  <w:rFonts w:eastAsia="Yu Mincho"/>
                  <w:lang w:val="en-GB" w:eastAsia="ja-JP"/>
                </w:rPr>
                <w:t xml:space="preserve">We agree that it is better to avoid the word “unlicensed” in the field names etc. </w:t>
              </w:r>
            </w:ins>
          </w:p>
        </w:tc>
      </w:tr>
      <w:tr w:rsidR="00D6469A" w14:paraId="41CA20D4" w14:textId="77777777">
        <w:tc>
          <w:tcPr>
            <w:tcW w:w="1430" w:type="dxa"/>
          </w:tcPr>
          <w:p w14:paraId="59EFD68F" w14:textId="77777777" w:rsidR="00D6469A" w:rsidRDefault="00D6469A">
            <w:pPr>
              <w:spacing w:after="0"/>
              <w:jc w:val="both"/>
              <w:rPr>
                <w:rFonts w:eastAsia="Yu Mincho"/>
                <w:lang w:val="en-GB" w:eastAsia="ja-JP"/>
              </w:rPr>
            </w:pPr>
          </w:p>
        </w:tc>
        <w:tc>
          <w:tcPr>
            <w:tcW w:w="1684" w:type="dxa"/>
          </w:tcPr>
          <w:p w14:paraId="6107149F" w14:textId="77777777" w:rsidR="00D6469A" w:rsidRDefault="00D6469A">
            <w:pPr>
              <w:spacing w:after="0"/>
              <w:rPr>
                <w:rFonts w:eastAsia="Yu Mincho"/>
                <w:lang w:val="en-GB" w:eastAsia="ja-JP"/>
              </w:rPr>
            </w:pPr>
          </w:p>
        </w:tc>
        <w:tc>
          <w:tcPr>
            <w:tcW w:w="6236" w:type="dxa"/>
          </w:tcPr>
          <w:p w14:paraId="67AF0E72" w14:textId="77777777" w:rsidR="00D6469A" w:rsidRDefault="00D6469A">
            <w:pPr>
              <w:spacing w:after="0"/>
              <w:rPr>
                <w:rFonts w:eastAsia="Yu Mincho"/>
                <w:lang w:val="en-GB" w:eastAsia="ja-JP"/>
              </w:rPr>
            </w:pPr>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ListParagraph"/>
        <w:tabs>
          <w:tab w:val="left" w:pos="360"/>
        </w:tabs>
        <w:ind w:left="0"/>
        <w:jc w:val="both"/>
        <w:rPr>
          <w:rFonts w:ascii="Arial" w:hAnsi="Arial" w:cs="Arial"/>
          <w:lang w:val="en-GB"/>
        </w:rPr>
      </w:pPr>
      <w:r>
        <w:rPr>
          <w:rFonts w:ascii="Arial" w:hAnsi="Arial" w:cs="Arial"/>
          <w:iCs/>
        </w:rPr>
        <w:t xml:space="preserve">In </w:t>
      </w:r>
      <w:hyperlink r:id="rId22" w:history="1">
        <w:r>
          <w:rPr>
            <w:rStyle w:val="Hyperlink"/>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r>
        <w:rPr>
          <w:i/>
          <w:iCs/>
        </w:rPr>
        <w:t>ChannelAccessParameters</w:t>
      </w:r>
      <w:r>
        <w:t>”</w:t>
      </w:r>
      <w:bookmarkEnd w:id="60"/>
      <w:bookmarkEnd w:id="61"/>
      <w:r>
        <w:t xml:space="preserve"> </w:t>
      </w:r>
    </w:p>
    <w:p w14:paraId="06356E90"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ListParagraph"/>
        <w:tabs>
          <w:tab w:val="left" w:pos="360"/>
        </w:tabs>
        <w:ind w:left="0"/>
        <w:jc w:val="both"/>
        <w:rPr>
          <w:rFonts w:ascii="Arial" w:hAnsi="Arial" w:cs="Arial"/>
          <w:lang w:val="en-GB"/>
        </w:rPr>
      </w:pPr>
    </w:p>
    <w:p w14:paraId="6FDC90DD" w14:textId="77777777" w:rsidR="00D6469A" w:rsidRDefault="00D6469A">
      <w:pPr>
        <w:pStyle w:val="ListParagraph"/>
        <w:tabs>
          <w:tab w:val="left" w:pos="360"/>
        </w:tabs>
        <w:ind w:left="0"/>
        <w:jc w:val="both"/>
        <w:rPr>
          <w:rFonts w:ascii="Arial" w:hAnsi="Arial" w:cs="Arial"/>
          <w:lang w:val="en-GB"/>
        </w:rPr>
      </w:pPr>
    </w:p>
    <w:p w14:paraId="7BAE6CB0"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Hyperlink"/>
            <w:rFonts w:ascii="Arial" w:hAnsi="Arial" w:cs="Arial"/>
          </w:rPr>
          <w:t>R2-2007596</w:t>
        </w:r>
      </w:hyperlink>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Huawei, HiSilicon</w:t>
            </w:r>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68"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69"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70" w:author="NTT DOCOMO, INC. (Hideaki)" w:date="2020-08-19T21:30:00Z">
              <w:r>
                <w:rPr>
                  <w:rFonts w:eastAsia="Yu Mincho" w:hint="eastAsia"/>
                  <w:lang w:val="en-GB" w:eastAsia="ja-JP"/>
                </w:rPr>
                <w:t>Incline to Intel</w:t>
              </w:r>
            </w:ins>
            <w:ins w:id="71" w:author="NTT DOCOMO, INC. (Hideaki)" w:date="2020-08-19T21:31:00Z">
              <w:r>
                <w:rPr>
                  <w:rFonts w:eastAsia="Yu Mincho"/>
                  <w:lang w:val="en-GB" w:eastAsia="ja-JP"/>
                </w:rPr>
                <w:t xml:space="preserve">’s view that </w:t>
              </w:r>
            </w:ins>
            <w:ins w:id="72"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73" w:author="ZTE" w:date="2020-08-20T00:21:00Z">
              <w:r>
                <w:rPr>
                  <w:rFonts w:hint="eastAsia"/>
                  <w:lang w:eastAsia="zh-CN"/>
                </w:rPr>
                <w:lastRenderedPageBreak/>
                <w:t>ZTE</w:t>
              </w:r>
            </w:ins>
          </w:p>
        </w:tc>
        <w:tc>
          <w:tcPr>
            <w:tcW w:w="1684" w:type="dxa"/>
          </w:tcPr>
          <w:p w14:paraId="00006F9F" w14:textId="67FD89A4" w:rsidR="00D6469A" w:rsidRDefault="00407DC9">
            <w:pPr>
              <w:spacing w:after="0"/>
              <w:rPr>
                <w:lang w:eastAsia="zh-CN"/>
              </w:rPr>
            </w:pPr>
            <w:ins w:id="74"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75"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77777777" w:rsidR="00D6469A" w:rsidRDefault="00D6469A">
            <w:pPr>
              <w:spacing w:after="0"/>
              <w:jc w:val="both"/>
              <w:rPr>
                <w:rFonts w:eastAsia="Yu Mincho"/>
                <w:lang w:val="en-GB" w:eastAsia="ja-JP"/>
              </w:rPr>
            </w:pPr>
          </w:p>
        </w:tc>
        <w:tc>
          <w:tcPr>
            <w:tcW w:w="1684" w:type="dxa"/>
          </w:tcPr>
          <w:p w14:paraId="1EDBC3B3" w14:textId="77777777" w:rsidR="00D6469A" w:rsidRDefault="00D6469A">
            <w:pPr>
              <w:spacing w:after="0"/>
              <w:rPr>
                <w:rFonts w:eastAsia="Yu Mincho"/>
                <w:lang w:val="en-GB" w:eastAsia="ja-JP"/>
              </w:rPr>
            </w:pPr>
          </w:p>
        </w:tc>
        <w:tc>
          <w:tcPr>
            <w:tcW w:w="6236" w:type="dxa"/>
          </w:tcPr>
          <w:p w14:paraId="6FEF672B" w14:textId="77777777" w:rsidR="00D6469A" w:rsidRDefault="00D6469A">
            <w:pPr>
              <w:spacing w:after="0"/>
              <w:rPr>
                <w:rFonts w:eastAsia="Yu Mincho"/>
                <w:lang w:val="en-GB" w:eastAsia="ja-JP"/>
              </w:rPr>
            </w:pPr>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Hyperlink"/>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76" w:name="_Toc47566555"/>
      <w:r>
        <w:t>UE capability for extended RAR window is optional for NR-U UEs in LAA scenarios.</w:t>
      </w:r>
      <w:bookmarkEnd w:id="76"/>
    </w:p>
    <w:p w14:paraId="0CC3CF6B" w14:textId="77777777" w:rsidR="00D6469A" w:rsidRDefault="0094464E">
      <w:pPr>
        <w:pStyle w:val="Proposal"/>
        <w:numPr>
          <w:ilvl w:val="0"/>
          <w:numId w:val="13"/>
        </w:numPr>
        <w:tabs>
          <w:tab w:val="left" w:pos="1701"/>
        </w:tabs>
        <w:spacing w:after="120"/>
        <w:textAlignment w:val="baseline"/>
      </w:pPr>
      <w:bookmarkStart w:id="77" w:name="_Toc47566560"/>
      <w:r>
        <w:t xml:space="preserve">Move the parameters (partly pending RAN1 decision) that are also applicable for licensed spectrum one level up to </w:t>
      </w:r>
      <w:r>
        <w:rPr>
          <w:i/>
          <w:iCs/>
        </w:rPr>
        <w:t>BandNR</w:t>
      </w:r>
      <w:r>
        <w:t xml:space="preserve"> or to another appropriate feature group.</w:t>
      </w:r>
      <w:bookmarkEnd w:id="77"/>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Heading1"/>
        <w:numPr>
          <w:ilvl w:val="0"/>
          <w:numId w:val="9"/>
        </w:numPr>
      </w:pPr>
      <w:r>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Heading1"/>
        <w:numPr>
          <w:ilvl w:val="0"/>
          <w:numId w:val="9"/>
        </w:numPr>
      </w:pPr>
      <w:r>
        <w:t>References</w:t>
      </w:r>
    </w:p>
    <w:p w14:paraId="0D84DE02" w14:textId="77777777" w:rsidR="00D6469A" w:rsidRDefault="00D6469A">
      <w:pPr>
        <w:pStyle w:val="Heading1"/>
      </w:pPr>
    </w:p>
    <w:sectPr w:rsidR="00D6469A">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FE6B6" w14:textId="77777777" w:rsidR="00B271D0" w:rsidRDefault="00B271D0" w:rsidP="0013178B">
      <w:pPr>
        <w:spacing w:after="0" w:line="240" w:lineRule="auto"/>
      </w:pPr>
      <w:r>
        <w:separator/>
      </w:r>
    </w:p>
  </w:endnote>
  <w:endnote w:type="continuationSeparator" w:id="0">
    <w:p w14:paraId="7ABD34F5" w14:textId="77777777" w:rsidR="00B271D0" w:rsidRDefault="00B271D0"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C91" w14:textId="77777777" w:rsidR="0036262A" w:rsidRDefault="00362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C73" w14:textId="77777777" w:rsidR="0036262A" w:rsidRDefault="00362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7A8D8" w14:textId="77777777" w:rsidR="0036262A" w:rsidRDefault="00362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924A" w14:textId="77777777" w:rsidR="00B271D0" w:rsidRDefault="00B271D0" w:rsidP="0013178B">
      <w:pPr>
        <w:spacing w:after="0" w:line="240" w:lineRule="auto"/>
      </w:pPr>
      <w:r>
        <w:separator/>
      </w:r>
    </w:p>
  </w:footnote>
  <w:footnote w:type="continuationSeparator" w:id="0">
    <w:p w14:paraId="50C1874C" w14:textId="77777777" w:rsidR="00B271D0" w:rsidRDefault="00B271D0" w:rsidP="0013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AC82" w14:textId="77777777" w:rsidR="0036262A" w:rsidRDefault="0036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F2BC" w14:textId="77777777" w:rsidR="0036262A" w:rsidRDefault="00362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5E7E" w14:textId="77777777" w:rsidR="0036262A" w:rsidRDefault="0036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3FA9"/>
  <w15:docId w15:val="{AABCE4BA-DBFB-45AB-9B63-ECEC94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lsdException w:name="annotation text" w:qFormat="1"/>
    <w:lsdException w:name="header" w:uiPriority="0" w:unhideWhenUsed="1" w:qFormat="1"/>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unhideWhenUsed="1" w:qFormat="1"/>
    <w:lsdException w:name="List 3" w:uiPriority="0" w:unhideWhenUsed="1"/>
    <w:lsdException w:name="List 4" w:uiPriority="0" w:qFormat="1"/>
    <w:lsdException w:name="List 5" w:uiPriority="0" w:qFormat="1"/>
    <w:lsdException w:name="List Bullet 2" w:uiPriority="0"/>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eastAsia="SimSun" w:hAnsi="Arial"/>
      <w:b/>
      <w:sz w:val="18"/>
      <w:lang w:val="en-US" w:eastAsia="en-US"/>
    </w:rPr>
  </w:style>
  <w:style w:type="paragraph" w:styleId="List3">
    <w:name w:val="List 3"/>
    <w:basedOn w:val="Normal"/>
    <w:unhideWhenUsed/>
    <w:pPr>
      <w:ind w:left="1080" w:hanging="360"/>
      <w:contextualSpacing/>
    </w:pPr>
  </w:style>
  <w:style w:type="paragraph" w:styleId="CommentSubject">
    <w:name w:val="annotation subject"/>
    <w:basedOn w:val="CommentText"/>
    <w:next w:val="CommentText"/>
    <w:link w:val="CommentSubjectChar"/>
    <w:unhideWhenUsed/>
    <w:pPr>
      <w:overflowPunct w:val="0"/>
      <w:autoSpaceDE w:val="0"/>
      <w:autoSpaceDN w:val="0"/>
      <w:adjustRightInd w:val="0"/>
    </w:pPr>
    <w:rPr>
      <w:rFonts w:eastAsia="SimSun"/>
      <w:b/>
      <w:bCs/>
      <w:lang w:val="en-US"/>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pPr>
      <w:shd w:val="clear" w:color="auto" w:fill="000080"/>
      <w:overflowPunct/>
      <w:autoSpaceDE/>
      <w:autoSpaceDN/>
      <w:adjustRightInd/>
    </w:pPr>
    <w:rPr>
      <w:rFonts w:ascii="Tahoma" w:eastAsia="Times New Roman" w:hAnsi="Tahoma" w:cs="Tahom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pPr>
      <w:keepLines/>
      <w:overflowPunct/>
      <w:autoSpaceDE/>
      <w:autoSpaceDN/>
      <w:adjustRightInd/>
      <w:spacing w:after="0"/>
    </w:pPr>
    <w:rPr>
      <w:rFonts w:eastAsia="Times New Roman"/>
      <w:lang w:val="en-GB"/>
    </w:r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DocumentMapChar">
    <w:name w:val="Document Map Char"/>
    <w:basedOn w:val="DefaultParagraphFont"/>
    <w:link w:val="DocumentMap"/>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SimSun"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pPr>
      <w:overflowPunct/>
      <w:autoSpaceDE/>
      <w:autoSpaceDN/>
      <w:adjustRightInd/>
      <w:ind w:left="851"/>
    </w:pPr>
    <w:rPr>
      <w:rFonts w:eastAsia="Times New Roman"/>
      <w:lang w:val="en-GB"/>
    </w:rPr>
  </w:style>
  <w:style w:type="paragraph" w:customStyle="1" w:styleId="INDENT2">
    <w:name w:val="INDENT2"/>
    <w:basedOn w:val="Normal"/>
    <w:pPr>
      <w:overflowPunct/>
      <w:autoSpaceDE/>
      <w:autoSpaceDN/>
      <w:adjustRightInd/>
      <w:ind w:left="1135" w:hanging="284"/>
    </w:pPr>
    <w:rPr>
      <w:rFonts w:eastAsia="Times New Roman"/>
      <w:lang w:val="en-GB"/>
    </w:rPr>
  </w:style>
  <w:style w:type="paragraph" w:customStyle="1" w:styleId="INDENT3">
    <w:name w:val="INDENT3"/>
    <w:basedOn w:val="Normal"/>
    <w:pPr>
      <w:overflowPunct/>
      <w:autoSpaceDE/>
      <w:autoSpaceDN/>
      <w:adjustRightInd/>
      <w:ind w:left="1701" w:hanging="567"/>
    </w:pPr>
    <w:rPr>
      <w:rFonts w:eastAsia="Times New Roman"/>
      <w:lang w:val="en-GB"/>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pPr>
      <w:keepNext/>
      <w:keepLines/>
      <w:overflowPunct/>
      <w:autoSpaceDE/>
      <w:autoSpaceDN/>
      <w:adjustRightInd/>
    </w:pPr>
    <w:rPr>
      <w:rFonts w:eastAsia="Times New Roman"/>
      <w:b/>
      <w:lang w:val="en-G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pPr>
      <w:numPr>
        <w:numId w:val="5"/>
      </w:numPr>
      <w:tabs>
        <w:tab w:val="clear" w:pos="851"/>
      </w:tabs>
      <w:ind w:left="0" w:firstLine="0"/>
    </w:pPr>
    <w:rPr>
      <w:rFonts w:eastAsia="MS Mincho"/>
      <w:b/>
      <w:bCs/>
    </w:rPr>
  </w:style>
  <w:style w:type="paragraph" w:customStyle="1" w:styleId="Note">
    <w:name w:val="Note"/>
    <w:basedOn w:val="Normal"/>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ListParagraphChar">
    <w:name w:val="List Paragraph Char"/>
    <w:link w:val="ListParagraph"/>
    <w:uiPriority w:val="34"/>
    <w:qFormat/>
    <w:locked/>
    <w:rPr>
      <w:rFonts w:ascii="Times New Roman" w:eastAsia="SimSun"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xmsonormal">
    <w:name w:val="x_xmsonormal"/>
    <w:basedOn w:val="Normal"/>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Normal"/>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F2C0404-C64E-4BAC-A789-8BE8ED623AB5}">
  <ds:schemaRefs>
    <ds:schemaRef ds:uri="http://schemas.openxmlformats.org/officeDocument/2006/bibliography"/>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1840</Words>
  <Characters>10489</Characters>
  <Application>Microsoft Office Word</Application>
  <DocSecurity>0</DocSecurity>
  <Lines>87</Lines>
  <Paragraphs>24</Paragraphs>
  <ScaleCrop>false</ScaleCrop>
  <Company>Intel Corporation</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ZTE</cp:lastModifiedBy>
  <cp:revision>4</cp:revision>
  <dcterms:created xsi:type="dcterms:W3CDTF">2020-08-19T17:18:00Z</dcterms:created>
  <dcterms:modified xsi:type="dcterms:W3CDTF">2020-08-19T17:23:00Z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