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4DB98" w14:textId="335E2227" w:rsidR="001B2AC5" w:rsidRDefault="001B2AC5" w:rsidP="001B2AC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R2-2008571</w:t>
      </w:r>
    </w:p>
    <w:p w14:paraId="1FC90FB1" w14:textId="77777777" w:rsidR="001B2AC5" w:rsidRDefault="001B2AC5" w:rsidP="001B2AC5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7F6BB8FC" w14:textId="77777777" w:rsidR="001B2AC5" w:rsidRDefault="001B2AC5" w:rsidP="001B2AC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2A4AAE2" w14:textId="77777777" w:rsidR="001B2AC5" w:rsidRDefault="001B2AC5" w:rsidP="001B2AC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0BD4198" w14:textId="77777777" w:rsidR="00AD3EB2" w:rsidRPr="00AD3EB2" w:rsidRDefault="00AD3EB2" w:rsidP="00AD3EB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D3EB2">
        <w:rPr>
          <w:rFonts w:ascii="Arial" w:hAnsi="Arial" w:cs="Arial"/>
          <w:b/>
          <w:bCs/>
          <w:sz w:val="24"/>
          <w:szCs w:val="24"/>
        </w:rPr>
        <w:t>3GPP TSG-RAN WG4 Meeting # 96-e</w:t>
      </w:r>
      <w:r w:rsidRPr="00AD3EB2" w:rsidDel="00277FAB">
        <w:rPr>
          <w:rFonts w:ascii="Arial" w:hAnsi="Arial" w:cs="Arial"/>
          <w:b/>
          <w:bCs/>
          <w:sz w:val="24"/>
          <w:szCs w:val="24"/>
        </w:rPr>
        <w:t xml:space="preserve"> </w:t>
      </w:r>
      <w:r w:rsidRPr="00AD3EB2">
        <w:rPr>
          <w:rFonts w:ascii="Arial" w:hAnsi="Arial" w:cs="Arial"/>
          <w:b/>
          <w:bCs/>
          <w:sz w:val="24"/>
          <w:szCs w:val="24"/>
        </w:rPr>
        <w:tab/>
      </w:r>
      <w:r w:rsidR="00241804" w:rsidRPr="00241804">
        <w:rPr>
          <w:rFonts w:ascii="Arial" w:hAnsi="Arial" w:cs="Arial"/>
          <w:b/>
          <w:bCs/>
          <w:sz w:val="24"/>
          <w:szCs w:val="24"/>
        </w:rPr>
        <w:t>R4-2011733</w:t>
      </w:r>
    </w:p>
    <w:p w14:paraId="278A60FA" w14:textId="77777777" w:rsidR="00AD3EB2" w:rsidRPr="00AD3EB2" w:rsidRDefault="00AD3EB2" w:rsidP="00AD3EB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D3EB2">
        <w:rPr>
          <w:rFonts w:ascii="Arial" w:hAnsi="Arial" w:cs="Arial"/>
          <w:b/>
          <w:bCs/>
          <w:sz w:val="24"/>
          <w:szCs w:val="24"/>
        </w:rPr>
        <w:t>Electronic Meeting, 17-28 August, 2020</w:t>
      </w:r>
    </w:p>
    <w:p w14:paraId="02B71AEF" w14:textId="77777777" w:rsidR="00AD3EB2" w:rsidRDefault="00AD3EB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590FA92" w14:textId="77777777" w:rsidR="00AD3EB2" w:rsidRPr="000F4E43" w:rsidRDefault="00AD3EB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5E99246" w14:textId="77777777" w:rsidR="002B4E31" w:rsidRPr="00934E52" w:rsidRDefault="002B4E31" w:rsidP="002B4E31">
      <w:pPr>
        <w:pStyle w:val="Title"/>
      </w:pPr>
      <w:r w:rsidRPr="000F4E43">
        <w:t>Title:</w:t>
      </w:r>
      <w:r w:rsidRPr="000F4E43">
        <w:tab/>
      </w:r>
      <w:r w:rsidRPr="00934E52">
        <w:t>LS on MPE enhancements</w:t>
      </w:r>
    </w:p>
    <w:p w14:paraId="4C9D731A" w14:textId="77777777" w:rsidR="002B4E31" w:rsidRPr="000F4E43" w:rsidRDefault="002B4E31" w:rsidP="002B4E31">
      <w:pPr>
        <w:pStyle w:val="Title"/>
      </w:pPr>
      <w:r w:rsidRPr="000F4E43">
        <w:t>Response to:</w:t>
      </w:r>
      <w:r w:rsidRPr="000F4E43">
        <w:tab/>
      </w:r>
    </w:p>
    <w:p w14:paraId="4F5586F5" w14:textId="77777777" w:rsidR="002B4E31" w:rsidRPr="000F4E43" w:rsidRDefault="002B4E31" w:rsidP="002B4E31">
      <w:pPr>
        <w:pStyle w:val="Title"/>
      </w:pPr>
      <w:r w:rsidRPr="000F4E43">
        <w:t>Release:</w:t>
      </w:r>
      <w:r w:rsidRPr="000F4E43">
        <w:tab/>
      </w:r>
      <w:r w:rsidRPr="00934E52">
        <w:t>Rel-16</w:t>
      </w:r>
    </w:p>
    <w:p w14:paraId="1F274F08" w14:textId="77777777" w:rsidR="002B4E31" w:rsidRDefault="002B4E31" w:rsidP="002B4E31">
      <w:pPr>
        <w:pStyle w:val="Title"/>
      </w:pPr>
      <w:r w:rsidRPr="000F4E43">
        <w:t>Work Item:</w:t>
      </w:r>
      <w:r w:rsidRPr="000F4E43">
        <w:tab/>
      </w:r>
      <w:r w:rsidRPr="00934E52">
        <w:t>NR_RF_FR2_req_enh</w:t>
      </w:r>
    </w:p>
    <w:p w14:paraId="420F9A35" w14:textId="77777777" w:rsidR="002B4E31" w:rsidRDefault="002B4E31" w:rsidP="002B4E31">
      <w:pPr>
        <w:pStyle w:val="Title"/>
        <w:rPr>
          <w:b w:val="0"/>
        </w:rPr>
      </w:pPr>
      <w:r w:rsidRPr="000F4E43">
        <w:t>Source:</w:t>
      </w:r>
      <w:r w:rsidRPr="000F4E43">
        <w:tab/>
      </w:r>
      <w:r w:rsidR="00770D75">
        <w:t>RAN4</w:t>
      </w:r>
    </w:p>
    <w:p w14:paraId="6B9BB4D9" w14:textId="77777777" w:rsidR="002B4E31" w:rsidRPr="00934E52" w:rsidRDefault="002B4E31" w:rsidP="002B4E31">
      <w:pPr>
        <w:pStyle w:val="Title"/>
      </w:pPr>
      <w:r w:rsidRPr="00934E52">
        <w:t>To:</w:t>
      </w:r>
      <w:r w:rsidRPr="00934E52">
        <w:tab/>
      </w:r>
      <w:r w:rsidRPr="00162491">
        <w:t>RAN2</w:t>
      </w:r>
    </w:p>
    <w:p w14:paraId="4F75E19E" w14:textId="77777777" w:rsidR="002B4E31" w:rsidRPr="00934E52" w:rsidRDefault="002B4E31" w:rsidP="002B4E31">
      <w:pPr>
        <w:pStyle w:val="Source"/>
      </w:pPr>
      <w:r w:rsidRPr="00934E52">
        <w:t>Cc:</w:t>
      </w:r>
      <w:r w:rsidRPr="00934E52">
        <w:tab/>
      </w:r>
    </w:p>
    <w:p w14:paraId="785D3CBE" w14:textId="77777777" w:rsidR="002B4E31" w:rsidRPr="000F4E43" w:rsidRDefault="002B4E31" w:rsidP="002B4E31">
      <w:pPr>
        <w:spacing w:after="60"/>
        <w:ind w:left="1985" w:hanging="1985"/>
        <w:rPr>
          <w:rFonts w:ascii="Arial" w:hAnsi="Arial" w:cs="Arial"/>
          <w:bCs/>
        </w:rPr>
      </w:pPr>
    </w:p>
    <w:p w14:paraId="2BF036C4" w14:textId="77777777" w:rsidR="002B4E31" w:rsidRPr="000F4E43" w:rsidRDefault="002B4E31" w:rsidP="002B4E31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971CCDA" w14:textId="77777777" w:rsidR="002B4E31" w:rsidRPr="0048330C" w:rsidRDefault="002B4E31" w:rsidP="002B4E31">
      <w:pPr>
        <w:pStyle w:val="Contact"/>
        <w:tabs>
          <w:tab w:val="clear" w:pos="2268"/>
        </w:tabs>
        <w:rPr>
          <w:bCs/>
        </w:rPr>
      </w:pPr>
      <w:r w:rsidRPr="0048330C">
        <w:t xml:space="preserve">Name: </w:t>
      </w:r>
      <w:r>
        <w:t>Petri Vasenkari</w:t>
      </w:r>
      <w:r w:rsidRPr="0048330C">
        <w:rPr>
          <w:bCs/>
        </w:rPr>
        <w:tab/>
      </w:r>
    </w:p>
    <w:p w14:paraId="5DCCA441" w14:textId="0CB0CDDF" w:rsidR="002B4E31" w:rsidRPr="0048330C" w:rsidRDefault="002B4E31" w:rsidP="002B4E31">
      <w:pPr>
        <w:pStyle w:val="Contact"/>
        <w:tabs>
          <w:tab w:val="clear" w:pos="2268"/>
        </w:tabs>
        <w:rPr>
          <w:bCs/>
        </w:rPr>
      </w:pPr>
      <w:r w:rsidRPr="0048330C">
        <w:t>E-mail Address:</w:t>
      </w:r>
      <w:r>
        <w:t xml:space="preserve"> </w:t>
      </w:r>
      <w:r w:rsidRPr="00251C3F">
        <w:t>petri.j.vasenkari@nokia.com</w:t>
      </w:r>
    </w:p>
    <w:p w14:paraId="0EC64262" w14:textId="77777777" w:rsidR="002B4E31" w:rsidRPr="0048330C" w:rsidRDefault="002B4E31" w:rsidP="002B4E31">
      <w:pPr>
        <w:spacing w:after="60"/>
        <w:ind w:left="1985" w:hanging="1985"/>
        <w:rPr>
          <w:rFonts w:ascii="Arial" w:hAnsi="Arial" w:cs="Arial"/>
          <w:b/>
        </w:rPr>
      </w:pPr>
    </w:p>
    <w:p w14:paraId="66ED6B3D" w14:textId="47BD22B5" w:rsidR="002B4E31" w:rsidRPr="0048330C" w:rsidRDefault="002B4E31" w:rsidP="002B4E31">
      <w:pPr>
        <w:tabs>
          <w:tab w:val="left" w:pos="2268"/>
        </w:tabs>
        <w:rPr>
          <w:rFonts w:ascii="Arial" w:hAnsi="Arial" w:cs="Arial"/>
          <w:bCs/>
        </w:rPr>
      </w:pPr>
      <w:r w:rsidRPr="0048330C">
        <w:rPr>
          <w:rFonts w:ascii="Arial" w:hAnsi="Arial" w:cs="Arial"/>
          <w:b/>
        </w:rPr>
        <w:t>Send any reply LS to:</w:t>
      </w:r>
      <w:r w:rsidRPr="0048330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8330C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bookmarkStart w:id="0" w:name="_GoBack"/>
      <w:bookmarkEnd w:id="0"/>
    </w:p>
    <w:p w14:paraId="3D37E17F" w14:textId="77777777" w:rsidR="002B4E31" w:rsidRPr="000F4E43" w:rsidRDefault="002B4E31" w:rsidP="002B4E31">
      <w:pPr>
        <w:spacing w:after="60"/>
        <w:ind w:left="1985" w:hanging="1985"/>
        <w:rPr>
          <w:rFonts w:ascii="Arial" w:hAnsi="Arial" w:cs="Arial"/>
          <w:b/>
        </w:rPr>
      </w:pPr>
    </w:p>
    <w:p w14:paraId="23D292EA" w14:textId="77777777" w:rsidR="002B4E31" w:rsidRPr="000F4E43" w:rsidRDefault="002B4E31" w:rsidP="002B4E31">
      <w:pPr>
        <w:pStyle w:val="Title"/>
      </w:pPr>
      <w:r w:rsidRPr="000F4E43">
        <w:t>Attachments:</w:t>
      </w:r>
      <w:r w:rsidRPr="000F4E43">
        <w:tab/>
      </w:r>
    </w:p>
    <w:p w14:paraId="605AE350" w14:textId="77777777" w:rsidR="002B4E31" w:rsidRPr="000F4E43" w:rsidRDefault="002B4E31" w:rsidP="002B4E31">
      <w:pPr>
        <w:pBdr>
          <w:bottom w:val="single" w:sz="4" w:space="1" w:color="auto"/>
        </w:pBdr>
        <w:rPr>
          <w:rFonts w:ascii="Arial" w:hAnsi="Arial" w:cs="Arial"/>
        </w:rPr>
      </w:pPr>
    </w:p>
    <w:p w14:paraId="19CF58C5" w14:textId="77777777" w:rsidR="002B4E31" w:rsidRPr="000F4E43" w:rsidRDefault="002B4E31" w:rsidP="002B4E31">
      <w:pPr>
        <w:rPr>
          <w:rFonts w:ascii="Arial" w:hAnsi="Arial" w:cs="Arial"/>
        </w:rPr>
      </w:pPr>
    </w:p>
    <w:p w14:paraId="428D35D6" w14:textId="77777777" w:rsidR="002B4E31" w:rsidRPr="000F4E43" w:rsidRDefault="002B4E31" w:rsidP="002B4E3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573C64" w14:textId="77777777" w:rsidR="002B4E31" w:rsidRPr="009652CD" w:rsidRDefault="002B4E31" w:rsidP="002B4E31">
      <w:pPr>
        <w:rPr>
          <w:rFonts w:ascii="Arial" w:hAnsi="Arial" w:cs="Arial"/>
        </w:rPr>
      </w:pPr>
      <w:r w:rsidRPr="00934E52">
        <w:rPr>
          <w:rFonts w:ascii="Arial" w:hAnsi="Arial" w:cs="Arial"/>
        </w:rPr>
        <w:t xml:space="preserve">RAN4 has </w:t>
      </w:r>
      <w:r>
        <w:rPr>
          <w:rFonts w:ascii="Arial" w:hAnsi="Arial" w:cs="Arial"/>
        </w:rPr>
        <w:t>agreed further details on the Rel-</w:t>
      </w:r>
      <w:r w:rsidRPr="009652CD">
        <w:rPr>
          <w:rFonts w:ascii="Arial" w:hAnsi="Arial" w:cs="Arial"/>
        </w:rPr>
        <w:t>16 FR2 MPE enhancement</w:t>
      </w:r>
      <w:r>
        <w:rPr>
          <w:rFonts w:ascii="Arial" w:hAnsi="Arial" w:cs="Arial"/>
        </w:rPr>
        <w:t xml:space="preserve"> signalling, which is used</w:t>
      </w:r>
      <w:r w:rsidRPr="009652CD">
        <w:rPr>
          <w:rFonts w:ascii="Arial" w:hAnsi="Arial" w:cs="Arial"/>
        </w:rPr>
        <w:t xml:space="preserve"> to mitigate RLF due to sudden and unpredictable large back off caused UE’s actions to ensure compliance with </w:t>
      </w:r>
      <w:r>
        <w:rPr>
          <w:rFonts w:ascii="Arial" w:hAnsi="Arial" w:cs="Arial"/>
        </w:rPr>
        <w:t>MPE</w:t>
      </w:r>
      <w:r w:rsidRPr="009652CD">
        <w:rPr>
          <w:rFonts w:ascii="Arial" w:hAnsi="Arial" w:cs="Arial"/>
        </w:rPr>
        <w:t xml:space="preserve"> regulation.</w:t>
      </w:r>
    </w:p>
    <w:p w14:paraId="33B4A684" w14:textId="77777777" w:rsidR="002B4E31" w:rsidRDefault="002B4E31" w:rsidP="002B4E31">
      <w:pPr>
        <w:rPr>
          <w:rFonts w:ascii="Arial" w:hAnsi="Arial" w:cs="Arial"/>
        </w:rPr>
      </w:pPr>
    </w:p>
    <w:p w14:paraId="3464D5CB" w14:textId="77777777" w:rsidR="002B4E31" w:rsidRDefault="002B4E31" w:rsidP="002B4E31">
      <w:pPr>
        <w:rPr>
          <w:rFonts w:ascii="Arial" w:hAnsi="Arial" w:cs="Arial"/>
        </w:rPr>
      </w:pPr>
      <w:r>
        <w:rPr>
          <w:rFonts w:ascii="Arial" w:hAnsi="Arial" w:cs="Arial"/>
        </w:rPr>
        <w:t>In addition to the previous details provided for the Rel-</w:t>
      </w:r>
      <w:r w:rsidRPr="009652CD">
        <w:rPr>
          <w:rFonts w:ascii="Arial" w:hAnsi="Arial" w:cs="Arial"/>
        </w:rPr>
        <w:t>16 FR2 MPE enhancement</w:t>
      </w:r>
      <w:r>
        <w:rPr>
          <w:rFonts w:ascii="Arial" w:hAnsi="Arial" w:cs="Arial"/>
        </w:rPr>
        <w:t xml:space="preserve"> signalling RAN4</w:t>
      </w:r>
      <w:r w:rsidRPr="00421C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</w:t>
      </w:r>
      <w:r w:rsidRPr="00421C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ask</w:t>
      </w:r>
      <w:r w:rsidRPr="00421C33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 take the following additional details into accoun</w:t>
      </w:r>
      <w:r w:rsidR="003E06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when developing MAC-CE based signalling for the FR2 MPE enhancements:</w:t>
      </w:r>
    </w:p>
    <w:p w14:paraId="1B6A9D4C" w14:textId="77777777" w:rsidR="00860DD2" w:rsidRDefault="00860DD2" w:rsidP="003D406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P-MPR absolute event-triggered thresholds are </w:t>
      </w:r>
      <w:r w:rsidRPr="002A64C1">
        <w:rPr>
          <w:rFonts w:ascii="Arial" w:hAnsi="Arial" w:cs="Arial"/>
        </w:rPr>
        <w:t>{3dB, 6dB, 9dB, 12dB}</w:t>
      </w:r>
      <w:r>
        <w:rPr>
          <w:rFonts w:ascii="Arial" w:hAnsi="Arial" w:cs="Arial"/>
        </w:rPr>
        <w:t>, which can be optionally configured by the network.</w:t>
      </w:r>
    </w:p>
    <w:p w14:paraId="64212A33" w14:textId="77777777" w:rsidR="003216C5" w:rsidRPr="003D4064" w:rsidRDefault="002C6194" w:rsidP="005027BF">
      <w:pPr>
        <w:numPr>
          <w:ilvl w:val="1"/>
          <w:numId w:val="20"/>
        </w:numPr>
        <w:rPr>
          <w:rFonts w:ascii="Arial" w:hAnsi="Arial" w:cs="Arial"/>
        </w:rPr>
      </w:pPr>
      <w:r w:rsidRPr="00AA7902">
        <w:rPr>
          <w:rFonts w:ascii="Arial" w:eastAsia="Malgun Gothic" w:hAnsi="Arial" w:cs="Arial"/>
          <w:lang w:eastAsia="ko-KR"/>
        </w:rPr>
        <w:t xml:space="preserve">If the field is absent, the </w:t>
      </w:r>
      <w:r w:rsidR="005027BF" w:rsidRPr="005027BF">
        <w:rPr>
          <w:rFonts w:ascii="Arial" w:eastAsia="Malgun Gothic" w:hAnsi="Arial" w:cs="Arial"/>
          <w:lang w:eastAsia="ko-KR"/>
        </w:rPr>
        <w:t xml:space="preserve">absolute event-triggered </w:t>
      </w:r>
      <w:r w:rsidRPr="002C6194">
        <w:rPr>
          <w:rFonts w:ascii="Arial" w:eastAsia="Malgun Gothic" w:hAnsi="Arial" w:cs="Arial"/>
          <w:lang w:eastAsia="ko-KR"/>
        </w:rPr>
        <w:t xml:space="preserve">PMPR reporting is not </w:t>
      </w:r>
      <w:r w:rsidR="00141C25">
        <w:rPr>
          <w:rFonts w:ascii="Arial" w:eastAsia="Malgun Gothic" w:hAnsi="Arial" w:cs="Arial"/>
          <w:lang w:eastAsia="ko-KR"/>
        </w:rPr>
        <w:t>enabled</w:t>
      </w:r>
      <w:r w:rsidR="00141C25" w:rsidRPr="002C6194">
        <w:rPr>
          <w:rFonts w:ascii="Arial" w:eastAsia="Malgun Gothic" w:hAnsi="Arial" w:cs="Arial"/>
          <w:lang w:eastAsia="ko-KR"/>
        </w:rPr>
        <w:t xml:space="preserve"> </w:t>
      </w:r>
      <w:r w:rsidRPr="002C6194">
        <w:rPr>
          <w:rFonts w:ascii="Arial" w:eastAsia="Malgun Gothic" w:hAnsi="Arial" w:cs="Arial"/>
          <w:lang w:eastAsia="ko-KR"/>
        </w:rPr>
        <w:t xml:space="preserve">by </w:t>
      </w:r>
      <w:r>
        <w:rPr>
          <w:rFonts w:ascii="Arial" w:eastAsia="Malgun Gothic" w:hAnsi="Arial" w:cs="Arial"/>
          <w:lang w:eastAsia="ko-KR"/>
        </w:rPr>
        <w:t>the network.</w:t>
      </w:r>
    </w:p>
    <w:p w14:paraId="675CCC34" w14:textId="77777777" w:rsidR="00DA730A" w:rsidRDefault="002B4E31" w:rsidP="002A64C1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P-MPR reporting range and reporting granularity</w:t>
      </w:r>
      <w:r w:rsidR="003E0613">
        <w:rPr>
          <w:rFonts w:ascii="Arial" w:hAnsi="Arial" w:cs="Arial"/>
        </w:rPr>
        <w:t xml:space="preserve"> </w:t>
      </w:r>
      <w:r w:rsidR="00860DD2">
        <w:rPr>
          <w:rFonts w:ascii="Arial" w:hAnsi="Arial" w:cs="Arial"/>
        </w:rPr>
        <w:t xml:space="preserve">are as follows: </w:t>
      </w:r>
    </w:p>
    <w:p w14:paraId="6E12D362" w14:textId="77777777" w:rsidR="00DA730A" w:rsidRDefault="002A64C1" w:rsidP="00DA730A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reported absolute P-MPR values are defined </w:t>
      </w:r>
      <w:r w:rsidR="00860DD2">
        <w:rPr>
          <w:rFonts w:ascii="Arial" w:hAnsi="Arial" w:cs="Arial"/>
        </w:rPr>
        <w:t xml:space="preserve">using 2 bits </w:t>
      </w:r>
      <w:r>
        <w:rPr>
          <w:rFonts w:ascii="Arial" w:hAnsi="Arial" w:cs="Arial"/>
        </w:rPr>
        <w:t>as follows:</w:t>
      </w:r>
      <w:r w:rsidRPr="002A64C1">
        <w:rPr>
          <w:rFonts w:ascii="Arial" w:hAnsi="Arial" w:cs="Arial"/>
        </w:rPr>
        <w:t xml:space="preserve"> </w:t>
      </w:r>
      <w:r w:rsidRPr="002A64C1">
        <w:rPr>
          <w:rFonts w:ascii="Arial" w:hAnsi="Arial" w:cs="Arial" w:hint="eastAsia"/>
        </w:rPr>
        <w:t>{3</w:t>
      </w:r>
      <w:r w:rsidRPr="002A64C1">
        <w:rPr>
          <w:rFonts w:ascii="Arial" w:hAnsi="Arial" w:cs="Arial"/>
        </w:rPr>
        <w:t>dB</w:t>
      </w:r>
      <w:r w:rsidRPr="002A64C1">
        <w:rPr>
          <w:rFonts w:ascii="Arial" w:hAnsi="Arial" w:cs="Arial" w:hint="eastAsia"/>
        </w:rPr>
        <w:t xml:space="preserve"> </w:t>
      </w:r>
      <w:r w:rsidRPr="002A64C1">
        <w:rPr>
          <w:rFonts w:ascii="Arial" w:hAnsi="Arial" w:cs="Arial" w:hint="eastAsia"/>
        </w:rPr>
        <w:t>≤</w:t>
      </w:r>
      <w:r w:rsidRPr="002A64C1">
        <w:rPr>
          <w:rFonts w:ascii="Arial" w:hAnsi="Arial" w:cs="Arial" w:hint="eastAsia"/>
        </w:rPr>
        <w:t xml:space="preserve"> P-MPR &lt; 6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>, 6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 xml:space="preserve"> </w:t>
      </w:r>
      <w:r w:rsidRPr="002A64C1">
        <w:rPr>
          <w:rFonts w:ascii="Arial" w:hAnsi="Arial" w:cs="Arial" w:hint="eastAsia"/>
        </w:rPr>
        <w:t>≤</w:t>
      </w:r>
      <w:r w:rsidRPr="002A64C1">
        <w:rPr>
          <w:rFonts w:ascii="Arial" w:hAnsi="Arial" w:cs="Arial" w:hint="eastAsia"/>
        </w:rPr>
        <w:t xml:space="preserve"> P-MPR &lt; 9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>, 9</w:t>
      </w:r>
      <w:r w:rsidRPr="002A64C1">
        <w:rPr>
          <w:rFonts w:ascii="Arial" w:hAnsi="Arial" w:cs="Arial"/>
        </w:rPr>
        <w:t>dB</w:t>
      </w:r>
      <w:r w:rsidRPr="002A64C1">
        <w:rPr>
          <w:rFonts w:ascii="Arial" w:hAnsi="Arial" w:cs="Arial" w:hint="eastAsia"/>
        </w:rPr>
        <w:t xml:space="preserve"> </w:t>
      </w:r>
      <w:r w:rsidRPr="002A64C1">
        <w:rPr>
          <w:rFonts w:ascii="Arial" w:hAnsi="Arial" w:cs="Arial" w:hint="eastAsia"/>
        </w:rPr>
        <w:t>≤</w:t>
      </w:r>
      <w:r w:rsidRPr="002A64C1">
        <w:rPr>
          <w:rFonts w:ascii="Arial" w:hAnsi="Arial" w:cs="Arial" w:hint="eastAsia"/>
        </w:rPr>
        <w:t xml:space="preserve"> P-MPR &lt; 12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 xml:space="preserve">, P-MPR </w:t>
      </w:r>
      <w:r w:rsidRPr="002A64C1">
        <w:rPr>
          <w:rFonts w:ascii="Arial" w:hAnsi="Arial" w:cs="Arial" w:hint="eastAsia"/>
        </w:rPr>
        <w:t>≥</w:t>
      </w:r>
      <w:r w:rsidRPr="002A64C1">
        <w:rPr>
          <w:rFonts w:ascii="Arial" w:hAnsi="Arial" w:cs="Arial" w:hint="eastAsia"/>
        </w:rPr>
        <w:t xml:space="preserve"> 12</w:t>
      </w:r>
      <w:r w:rsidRPr="002A64C1">
        <w:rPr>
          <w:rFonts w:ascii="Arial" w:hAnsi="Arial" w:cs="Arial"/>
        </w:rPr>
        <w:t xml:space="preserve"> dB</w:t>
      </w:r>
      <w:r w:rsidRPr="002A64C1">
        <w:rPr>
          <w:rFonts w:ascii="Arial" w:hAnsi="Arial" w:cs="Arial" w:hint="eastAsia"/>
        </w:rPr>
        <w:t>}</w:t>
      </w:r>
      <w:r>
        <w:rPr>
          <w:rFonts w:ascii="Arial" w:hAnsi="Arial" w:cs="Arial"/>
        </w:rPr>
        <w:t xml:space="preserve">. </w:t>
      </w:r>
    </w:p>
    <w:p w14:paraId="63445767" w14:textId="77777777" w:rsidR="00DA730A" w:rsidRDefault="00084EA8" w:rsidP="00DA730A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85367E">
        <w:rPr>
          <w:rFonts w:ascii="Arial" w:hAnsi="Arial" w:cs="Arial"/>
        </w:rPr>
        <w:t>p</w:t>
      </w:r>
      <w:r w:rsidR="00DA730A" w:rsidRPr="00DA730A">
        <w:rPr>
          <w:rFonts w:ascii="Arial" w:hAnsi="Arial" w:cs="Arial"/>
        </w:rPr>
        <w:t xml:space="preserve">rohibit timer </w:t>
      </w:r>
      <w:r w:rsidR="0085367E">
        <w:rPr>
          <w:rFonts w:ascii="Arial" w:hAnsi="Arial" w:cs="Arial"/>
        </w:rPr>
        <w:t>is introduced</w:t>
      </w:r>
      <w:r w:rsidR="007C7692">
        <w:rPr>
          <w:rFonts w:ascii="Arial" w:hAnsi="Arial" w:cs="Arial"/>
        </w:rPr>
        <w:t xml:space="preserve"> </w:t>
      </w:r>
      <w:r w:rsidR="00DA730A" w:rsidRPr="00DA730A">
        <w:rPr>
          <w:rFonts w:ascii="Arial" w:hAnsi="Arial" w:cs="Arial"/>
        </w:rPr>
        <w:t>for the P-MPR reporting</w:t>
      </w:r>
      <w:r w:rsidR="0085367E">
        <w:rPr>
          <w:rFonts w:ascii="Arial" w:hAnsi="Arial" w:cs="Arial"/>
        </w:rPr>
        <w:t xml:space="preserve">. The values for the prohibit timer </w:t>
      </w:r>
      <w:r w:rsidR="00DA730A" w:rsidRPr="00DA730A">
        <w:rPr>
          <w:rFonts w:ascii="Arial" w:hAnsi="Arial" w:cs="Arial"/>
        </w:rPr>
        <w:t xml:space="preserve">are {sf0, sf10, sf20, sf50, sf100, sf200, sf500, sf1000}, i.e. </w:t>
      </w:r>
      <w:r w:rsidR="00DA730A">
        <w:rPr>
          <w:rFonts w:ascii="Arial" w:hAnsi="Arial" w:cs="Arial"/>
        </w:rPr>
        <w:t xml:space="preserve">the </w:t>
      </w:r>
      <w:r w:rsidR="00DA730A" w:rsidRPr="00DA730A">
        <w:rPr>
          <w:rFonts w:ascii="Arial" w:hAnsi="Arial" w:cs="Arial"/>
        </w:rPr>
        <w:t>same as PHR reporting prohibit timer.</w:t>
      </w:r>
    </w:p>
    <w:p w14:paraId="4FD9ED8C" w14:textId="77777777" w:rsidR="00E85A3F" w:rsidRPr="00084EA8" w:rsidRDefault="00E85A3F" w:rsidP="00DA7D5F">
      <w:pPr>
        <w:numPr>
          <w:ilvl w:val="0"/>
          <w:numId w:val="20"/>
        </w:numPr>
        <w:rPr>
          <w:rFonts w:ascii="Arial" w:hAnsi="Arial" w:cs="Arial"/>
        </w:rPr>
      </w:pPr>
      <w:r w:rsidRPr="00DA7D5F">
        <w:rPr>
          <w:rFonts w:ascii="Arial" w:hAnsi="Arial" w:cs="Arial"/>
        </w:rPr>
        <w:t>In addition to the absolute threshold, RAN4 agreed that</w:t>
      </w:r>
      <w:r w:rsidRPr="0085367E">
        <w:rPr>
          <w:rFonts w:ascii="Arial" w:hAnsi="Arial" w:cs="Arial"/>
        </w:rPr>
        <w:t xml:space="preserve"> relative </w:t>
      </w:r>
      <w:r w:rsidRPr="00084EA8">
        <w:rPr>
          <w:rFonts w:ascii="Arial" w:hAnsi="Arial" w:cs="Arial"/>
        </w:rPr>
        <w:t>threshold is needed:</w:t>
      </w:r>
    </w:p>
    <w:p w14:paraId="767AF99C" w14:textId="77777777" w:rsidR="00E85A3F" w:rsidRDefault="00E85A3F" w:rsidP="00E85A3F">
      <w:pPr>
        <w:numPr>
          <w:ilvl w:val="1"/>
          <w:numId w:val="20"/>
        </w:numPr>
        <w:rPr>
          <w:rFonts w:ascii="Arial" w:hAnsi="Arial" w:cs="Arial"/>
        </w:rPr>
      </w:pPr>
      <w:r w:rsidRPr="00DA730A">
        <w:rPr>
          <w:rFonts w:ascii="Arial" w:hAnsi="Arial" w:cs="Arial"/>
        </w:rPr>
        <w:t xml:space="preserve">This relative P-MPR threshold </w:t>
      </w:r>
      <w:r>
        <w:rPr>
          <w:rFonts w:ascii="Arial" w:hAnsi="Arial" w:cs="Arial"/>
        </w:rPr>
        <w:t>is</w:t>
      </w:r>
      <w:r w:rsidRPr="00DA730A">
        <w:rPr>
          <w:rFonts w:ascii="Arial" w:hAnsi="Arial" w:cs="Arial"/>
        </w:rPr>
        <w:t xml:space="preserve"> complimentary</w:t>
      </w:r>
      <w:r w:rsidR="00056D4C">
        <w:rPr>
          <w:rFonts w:ascii="Arial" w:hAnsi="Arial" w:cs="Arial"/>
        </w:rPr>
        <w:t xml:space="preserve"> and additional</w:t>
      </w:r>
      <w:r w:rsidRPr="00DA730A">
        <w:rPr>
          <w:rFonts w:ascii="Arial" w:hAnsi="Arial" w:cs="Arial"/>
        </w:rPr>
        <w:t xml:space="preserve"> to the previously agreed absolute P-MPR threshold.</w:t>
      </w:r>
      <w:r w:rsidRPr="001B64A1">
        <w:rPr>
          <w:rFonts w:ascii="Arial" w:hAnsi="Arial" w:cs="Arial"/>
        </w:rPr>
        <w:t xml:space="preserve"> </w:t>
      </w:r>
    </w:p>
    <w:p w14:paraId="66C6C922" w14:textId="77777777" w:rsidR="00E85A3F" w:rsidRPr="009C663C" w:rsidRDefault="00E85A3F" w:rsidP="00E85A3F">
      <w:pPr>
        <w:numPr>
          <w:ilvl w:val="1"/>
          <w:numId w:val="20"/>
        </w:numPr>
        <w:rPr>
          <w:rFonts w:ascii="Arial" w:hAnsi="Arial" w:cs="Arial"/>
        </w:rPr>
      </w:pPr>
      <w:r w:rsidRPr="009C663C">
        <w:rPr>
          <w:rFonts w:ascii="Arial" w:hAnsi="Arial" w:cs="Arial"/>
        </w:rPr>
        <w:t xml:space="preserve">The network </w:t>
      </w:r>
      <w:r>
        <w:rPr>
          <w:rFonts w:ascii="Arial" w:hAnsi="Arial" w:cs="Arial"/>
        </w:rPr>
        <w:t xml:space="preserve">can </w:t>
      </w:r>
      <w:r w:rsidRPr="009C663C">
        <w:rPr>
          <w:rFonts w:ascii="Arial" w:hAnsi="Arial" w:cs="Arial"/>
        </w:rPr>
        <w:t xml:space="preserve">configure </w:t>
      </w:r>
      <w:r w:rsidR="009A3B19">
        <w:rPr>
          <w:rFonts w:ascii="Arial" w:hAnsi="Arial" w:cs="Arial"/>
        </w:rPr>
        <w:t xml:space="preserve">the </w:t>
      </w:r>
      <w:r w:rsidRPr="009C663C">
        <w:rPr>
          <w:rFonts w:ascii="Arial" w:hAnsi="Arial" w:cs="Arial"/>
        </w:rPr>
        <w:t>relative P-MPR threshold</w:t>
      </w:r>
      <w:r w:rsidR="009A3B19">
        <w:rPr>
          <w:rFonts w:ascii="Arial" w:hAnsi="Arial" w:cs="Arial"/>
        </w:rPr>
        <w:t xml:space="preserve"> to values</w:t>
      </w:r>
      <w:r w:rsidRPr="009C663C">
        <w:rPr>
          <w:rFonts w:ascii="Arial" w:hAnsi="Arial" w:cs="Arial"/>
        </w:rPr>
        <w:t xml:space="preserve"> {1dB, 3dB, </w:t>
      </w:r>
      <w:r w:rsidRPr="000408E0">
        <w:rPr>
          <w:rFonts w:ascii="Arial" w:hAnsi="Arial" w:cs="Arial"/>
        </w:rPr>
        <w:t>6</w:t>
      </w:r>
      <w:r w:rsidRPr="00A62434">
        <w:rPr>
          <w:rFonts w:ascii="Arial" w:hAnsi="Arial" w:cs="Arial"/>
        </w:rPr>
        <w:t>dB, infinity}</w:t>
      </w:r>
    </w:p>
    <w:p w14:paraId="731F1A1B" w14:textId="77777777" w:rsidR="00141C25" w:rsidRDefault="009A3B19" w:rsidP="000408E0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The r</w:t>
      </w:r>
      <w:r w:rsidR="00E85A3F" w:rsidRPr="00E85A3F">
        <w:rPr>
          <w:rFonts w:ascii="Arial" w:hAnsi="Arial" w:cs="Arial"/>
        </w:rPr>
        <w:t xml:space="preserve">elative threshold </w:t>
      </w:r>
      <w:r>
        <w:rPr>
          <w:rFonts w:ascii="Arial" w:hAnsi="Arial" w:cs="Arial"/>
        </w:rPr>
        <w:t xml:space="preserve">applies to P-MPR values </w:t>
      </w:r>
      <w:r w:rsidR="00E85A3F" w:rsidRPr="00E85A3F">
        <w:rPr>
          <w:rFonts w:ascii="Arial" w:hAnsi="Arial" w:cs="Arial"/>
        </w:rPr>
        <w:t>below and above the absolute threshold</w:t>
      </w:r>
      <w:r>
        <w:rPr>
          <w:rFonts w:ascii="Arial" w:hAnsi="Arial" w:cs="Arial"/>
        </w:rPr>
        <w:t xml:space="preserve"> </w:t>
      </w:r>
      <w:r w:rsidR="000A0B97" w:rsidRPr="00A62434">
        <w:rPr>
          <w:rFonts w:ascii="Arial" w:hAnsi="Arial" w:cs="Arial"/>
        </w:rPr>
        <w:t xml:space="preserve">once a </w:t>
      </w:r>
      <w:r w:rsidRPr="00DA730A">
        <w:rPr>
          <w:rFonts w:ascii="Arial" w:hAnsi="Arial" w:cs="Arial"/>
        </w:rPr>
        <w:t xml:space="preserve">P-MPR is reported based on absolute </w:t>
      </w:r>
      <w:r>
        <w:rPr>
          <w:rFonts w:ascii="Arial" w:hAnsi="Arial" w:cs="Arial"/>
        </w:rPr>
        <w:t>threshold</w:t>
      </w:r>
      <w:r w:rsidRPr="00DA730A">
        <w:rPr>
          <w:rFonts w:ascii="Arial" w:hAnsi="Arial" w:cs="Arial"/>
        </w:rPr>
        <w:t>.</w:t>
      </w:r>
      <w:r w:rsidR="00E575BB">
        <w:rPr>
          <w:rFonts w:ascii="Arial" w:hAnsi="Arial" w:cs="Arial"/>
        </w:rPr>
        <w:t xml:space="preserve"> </w:t>
      </w:r>
    </w:p>
    <w:p w14:paraId="0B396836" w14:textId="77777777" w:rsidR="009A3B19" w:rsidRPr="003D4064" w:rsidRDefault="009A3B19" w:rsidP="00002694">
      <w:pPr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RAN4 </w:t>
      </w:r>
      <w:r w:rsidR="00153F2B">
        <w:rPr>
          <w:rFonts w:ascii="Arial" w:hAnsi="Arial" w:cs="Arial"/>
        </w:rPr>
        <w:t xml:space="preserve">noticed </w:t>
      </w:r>
      <w:r>
        <w:rPr>
          <w:rFonts w:ascii="Arial" w:hAnsi="Arial" w:cs="Arial"/>
        </w:rPr>
        <w:t xml:space="preserve">that </w:t>
      </w:r>
      <w:r w:rsidR="00153F2B">
        <w:rPr>
          <w:rFonts w:ascii="Arial" w:hAnsi="Arial" w:cs="Arial"/>
        </w:rPr>
        <w:t>TS 38.321</w:t>
      </w:r>
      <w:r w:rsidR="00153F2B" w:rsidRPr="009A3B19">
        <w:rPr>
          <w:rFonts w:ascii="Arial" w:hAnsi="Arial" w:cs="Arial"/>
        </w:rPr>
        <w:t xml:space="preserve"> </w:t>
      </w:r>
      <w:r w:rsidR="00153F2B">
        <w:rPr>
          <w:rFonts w:ascii="Arial" w:hAnsi="Arial" w:cs="Arial"/>
        </w:rPr>
        <w:t xml:space="preserve">has defined a parameter </w:t>
      </w:r>
      <w:r w:rsidR="00002694" w:rsidRPr="009A3B19">
        <w:rPr>
          <w:rFonts w:ascii="Arial" w:hAnsi="Arial" w:cs="Arial"/>
        </w:rPr>
        <w:t>“phr-Tx-PowerFactorChange”</w:t>
      </w:r>
      <w:r w:rsidR="00002694">
        <w:rPr>
          <w:rFonts w:ascii="Arial" w:hAnsi="Arial" w:cs="Arial"/>
        </w:rPr>
        <w:t xml:space="preserve"> </w:t>
      </w:r>
      <w:r w:rsidR="00002694">
        <w:rPr>
          <w:rFonts w:ascii="Arial" w:hAnsi="Arial" w:cs="Arial"/>
          <w:lang w:eastAsia="zh-CN"/>
        </w:rPr>
        <w:t>for the PHR reporting</w:t>
      </w:r>
      <w:r w:rsidR="00153F2B">
        <w:rPr>
          <w:rFonts w:ascii="Arial" w:hAnsi="Arial" w:cs="Arial"/>
          <w:lang w:eastAsia="zh-CN"/>
        </w:rPr>
        <w:t xml:space="preserve">. And PHR reporting will be triggered when </w:t>
      </w:r>
      <w:r w:rsidR="00002694" w:rsidRPr="00002694">
        <w:rPr>
          <w:rFonts w:ascii="Arial" w:hAnsi="Arial" w:cs="Arial"/>
          <w:lang w:eastAsia="zh-CN"/>
        </w:rPr>
        <w:t>power backoff due to power management</w:t>
      </w:r>
      <w:r w:rsidR="00002694">
        <w:rPr>
          <w:rFonts w:ascii="Arial" w:hAnsi="Arial" w:cs="Arial"/>
          <w:lang w:eastAsia="zh-CN"/>
        </w:rPr>
        <w:t xml:space="preserve"> (P-MPR)</w:t>
      </w:r>
      <w:r w:rsidR="00002694" w:rsidRPr="00002694">
        <w:t xml:space="preserve"> </w:t>
      </w:r>
      <w:r w:rsidR="00002694" w:rsidRPr="00002694">
        <w:rPr>
          <w:rFonts w:ascii="Arial" w:hAnsi="Arial" w:cs="Arial"/>
          <w:lang w:eastAsia="zh-CN"/>
        </w:rPr>
        <w:t xml:space="preserve">for this cell has changed more than </w:t>
      </w:r>
      <w:r w:rsidR="00153F2B">
        <w:rPr>
          <w:rFonts w:ascii="Arial" w:hAnsi="Arial" w:cs="Arial"/>
          <w:lang w:eastAsia="zh-CN"/>
        </w:rPr>
        <w:t>“</w:t>
      </w:r>
      <w:r w:rsidR="00002694" w:rsidRPr="00002694">
        <w:rPr>
          <w:rFonts w:ascii="Arial" w:hAnsi="Arial" w:cs="Arial"/>
          <w:lang w:eastAsia="zh-CN"/>
        </w:rPr>
        <w:t>phr-Tx-PowerFactorChange</w:t>
      </w:r>
      <w:r w:rsidR="00153F2B">
        <w:rPr>
          <w:rFonts w:ascii="Arial" w:hAnsi="Arial" w:cs="Arial"/>
          <w:lang w:eastAsia="zh-CN"/>
        </w:rPr>
        <w:t>”</w:t>
      </w:r>
      <w:r w:rsidR="00002694" w:rsidRPr="00002694">
        <w:rPr>
          <w:rFonts w:ascii="Arial" w:hAnsi="Arial" w:cs="Arial"/>
          <w:lang w:eastAsia="zh-CN"/>
        </w:rPr>
        <w:t xml:space="preserve"> dB since the last transmission of a PHR</w:t>
      </w:r>
      <w:r w:rsidR="00153F2B">
        <w:rPr>
          <w:rFonts w:ascii="Arial" w:hAnsi="Arial" w:cs="Arial"/>
          <w:lang w:eastAsia="zh-CN"/>
        </w:rPr>
        <w:t>.</w:t>
      </w:r>
      <w:r w:rsidR="00002694" w:rsidRPr="0000269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Thus, </w:t>
      </w:r>
      <w:r w:rsidR="00153F2B">
        <w:rPr>
          <w:rFonts w:ascii="Arial" w:hAnsi="Arial" w:cs="Arial"/>
        </w:rPr>
        <w:t xml:space="preserve">RAN4 </w:t>
      </w:r>
      <w:r w:rsidR="00AF7F50">
        <w:rPr>
          <w:rFonts w:ascii="Arial" w:hAnsi="Arial" w:cs="Arial"/>
        </w:rPr>
        <w:t xml:space="preserve">ask RAN2 to check whether </w:t>
      </w:r>
      <w:r w:rsidR="00153F2B">
        <w:rPr>
          <w:rFonts w:ascii="Arial" w:hAnsi="Arial" w:cs="Arial"/>
        </w:rPr>
        <w:t xml:space="preserve">this </w:t>
      </w:r>
      <w:r w:rsidR="00AF7F50">
        <w:rPr>
          <w:rFonts w:ascii="Arial" w:hAnsi="Arial" w:cs="Arial"/>
        </w:rPr>
        <w:t>parameter can be used for the P-MPR relative threshold.</w:t>
      </w:r>
    </w:p>
    <w:p w14:paraId="345F9066" w14:textId="77777777" w:rsidR="00056D4C" w:rsidRDefault="00056D4C" w:rsidP="00056D4C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Reported </w:t>
      </w:r>
      <w:r w:rsidRPr="00591DD4">
        <w:rPr>
          <w:rFonts w:ascii="Arial" w:hAnsi="Arial" w:cs="Arial"/>
        </w:rPr>
        <w:t>P-MPR value</w:t>
      </w:r>
      <w:r>
        <w:rPr>
          <w:rFonts w:ascii="Arial" w:hAnsi="Arial" w:cs="Arial"/>
        </w:rPr>
        <w:t>s</w:t>
      </w:r>
      <w:r w:rsidRPr="00591D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should be</w:t>
      </w:r>
      <w:r w:rsidRPr="00591DD4">
        <w:rPr>
          <w:rFonts w:ascii="Arial" w:hAnsi="Arial" w:cs="Arial"/>
        </w:rPr>
        <w:t xml:space="preserve"> consistent with PHR</w:t>
      </w:r>
      <w:r>
        <w:rPr>
          <w:rFonts w:ascii="Arial" w:hAnsi="Arial" w:cs="Arial"/>
        </w:rPr>
        <w:t xml:space="preserve"> reports</w:t>
      </w:r>
      <w:r w:rsidRPr="00591DD4">
        <w:rPr>
          <w:rFonts w:ascii="Arial" w:hAnsi="Arial" w:cs="Arial"/>
        </w:rPr>
        <w:t xml:space="preserve"> in the time domain</w:t>
      </w:r>
      <w:r>
        <w:rPr>
          <w:rFonts w:ascii="Arial" w:hAnsi="Arial" w:cs="Arial"/>
        </w:rPr>
        <w:t xml:space="preserve">. </w:t>
      </w:r>
    </w:p>
    <w:p w14:paraId="5133560C" w14:textId="77777777" w:rsidR="00056D4C" w:rsidRDefault="00056D4C" w:rsidP="00056D4C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MPE P-MPR reporting is limited to FR2</w:t>
      </w:r>
      <w:r w:rsidR="00153F2B">
        <w:rPr>
          <w:rFonts w:ascii="Arial" w:hAnsi="Arial" w:cs="Arial"/>
        </w:rPr>
        <w:t xml:space="preserve"> and is an optional UE capability</w:t>
      </w:r>
      <w:r>
        <w:rPr>
          <w:rFonts w:ascii="Arial" w:hAnsi="Arial" w:cs="Arial"/>
        </w:rPr>
        <w:t>.</w:t>
      </w:r>
      <w:r w:rsidR="00CD7296">
        <w:rPr>
          <w:rFonts w:ascii="Arial" w:hAnsi="Arial" w:cs="Arial"/>
        </w:rPr>
        <w:t xml:space="preserve"> </w:t>
      </w:r>
      <w:r w:rsidR="00CD7296" w:rsidRPr="00CD7296">
        <w:rPr>
          <w:rFonts w:ascii="Arial" w:hAnsi="Arial" w:cs="Arial"/>
        </w:rPr>
        <w:t xml:space="preserve">This UE capability is applicable to all FR2 </w:t>
      </w:r>
      <w:r w:rsidR="00CD7296">
        <w:rPr>
          <w:rFonts w:ascii="Arial" w:hAnsi="Arial" w:cs="Arial"/>
        </w:rPr>
        <w:t xml:space="preserve">UE </w:t>
      </w:r>
      <w:r w:rsidR="00CD7296" w:rsidRPr="00CD7296">
        <w:rPr>
          <w:rFonts w:ascii="Arial" w:hAnsi="Arial" w:cs="Arial"/>
        </w:rPr>
        <w:t>power classes.</w:t>
      </w:r>
    </w:p>
    <w:p w14:paraId="3978DEA8" w14:textId="77777777" w:rsidR="00601BC1" w:rsidRPr="00591DD4" w:rsidRDefault="00601BC1" w:rsidP="003523A0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handling of temporary </w:t>
      </w:r>
      <w:r w:rsidR="005027BF">
        <w:rPr>
          <w:rFonts w:ascii="Arial" w:hAnsi="Arial" w:cs="Arial"/>
        </w:rPr>
        <w:t xml:space="preserve">changes of </w:t>
      </w:r>
      <w:r>
        <w:rPr>
          <w:rFonts w:ascii="Arial" w:hAnsi="Arial" w:cs="Arial"/>
        </w:rPr>
        <w:t>P</w:t>
      </w:r>
      <w:r w:rsidR="00860DD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MPR is up to </w:t>
      </w:r>
      <w:r w:rsidR="00860DD2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implementation.</w:t>
      </w:r>
    </w:p>
    <w:p w14:paraId="6D0293C4" w14:textId="77777777" w:rsidR="000D6C42" w:rsidRDefault="000D6C42" w:rsidP="002B4E31">
      <w:pPr>
        <w:rPr>
          <w:rFonts w:ascii="Arial" w:hAnsi="Arial" w:cs="Arial"/>
        </w:rPr>
      </w:pPr>
    </w:p>
    <w:p w14:paraId="16EBC403" w14:textId="77777777" w:rsidR="001577C5" w:rsidRDefault="004E69D2" w:rsidP="002B4E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will </w:t>
      </w:r>
      <w:r w:rsidR="002C69AD">
        <w:rPr>
          <w:rFonts w:ascii="Arial" w:hAnsi="Arial" w:cs="Arial"/>
        </w:rPr>
        <w:t>specify</w:t>
      </w:r>
      <w:r>
        <w:rPr>
          <w:rFonts w:ascii="Arial" w:hAnsi="Arial" w:cs="Arial"/>
        </w:rPr>
        <w:t xml:space="preserve"> the P-MPR reporting range and granularity and other</w:t>
      </w:r>
      <w:r w:rsidR="00D00157">
        <w:rPr>
          <w:rFonts w:ascii="Arial" w:hAnsi="Arial" w:cs="Arial"/>
        </w:rPr>
        <w:t xml:space="preserve"> UE</w:t>
      </w:r>
      <w:r>
        <w:rPr>
          <w:rFonts w:ascii="Arial" w:hAnsi="Arial" w:cs="Arial"/>
        </w:rPr>
        <w:t xml:space="preserve"> requirement aspects in its own specifications TS38.133 and TS38.101-2.</w:t>
      </w:r>
    </w:p>
    <w:p w14:paraId="6DCB59AA" w14:textId="77777777" w:rsidR="004E69D2" w:rsidRPr="000F4E43" w:rsidRDefault="004E69D2" w:rsidP="002B4E31">
      <w:pPr>
        <w:rPr>
          <w:rFonts w:ascii="Arial" w:hAnsi="Arial" w:cs="Arial"/>
        </w:rPr>
      </w:pPr>
    </w:p>
    <w:p w14:paraId="2D3BBFE7" w14:textId="77777777" w:rsidR="002B4E31" w:rsidRPr="000F4E43" w:rsidRDefault="002B4E31" w:rsidP="002B4E3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83DBF2E" w14:textId="77777777" w:rsidR="002B4E31" w:rsidRPr="000F4E43" w:rsidRDefault="002B4E31" w:rsidP="002B4E3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7055C">
        <w:rPr>
          <w:rFonts w:ascii="Arial" w:hAnsi="Arial" w:cs="Arial"/>
          <w:b/>
        </w:rPr>
        <w:t>RAN WG2 group.</w:t>
      </w:r>
    </w:p>
    <w:p w14:paraId="23DC45BE" w14:textId="77777777" w:rsidR="002B4E31" w:rsidRPr="0037055C" w:rsidRDefault="002B4E31" w:rsidP="002B4E3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7055C">
        <w:rPr>
          <w:rFonts w:ascii="Arial" w:hAnsi="Arial" w:cs="Arial"/>
        </w:rPr>
        <w:t>RAN4 asks RAN2 group to</w:t>
      </w:r>
      <w:r w:rsidR="003E0613">
        <w:rPr>
          <w:rFonts w:ascii="Arial" w:hAnsi="Arial" w:cs="Arial"/>
        </w:rPr>
        <w:t xml:space="preserve"> take</w:t>
      </w:r>
      <w:r>
        <w:rPr>
          <w:rFonts w:ascii="Arial" w:hAnsi="Arial" w:cs="Arial"/>
        </w:rPr>
        <w:t xml:space="preserve"> the above-mentioned informatio</w:t>
      </w:r>
      <w:r w:rsidR="003E0613">
        <w:rPr>
          <w:rFonts w:ascii="Arial" w:hAnsi="Arial" w:cs="Arial"/>
        </w:rPr>
        <w:t xml:space="preserve">n into account </w:t>
      </w:r>
      <w:r w:rsidR="00591DD4">
        <w:rPr>
          <w:rFonts w:ascii="Arial" w:hAnsi="Arial" w:cs="Arial"/>
        </w:rPr>
        <w:t>for</w:t>
      </w:r>
      <w:r w:rsidR="003E0613">
        <w:rPr>
          <w:rFonts w:ascii="Arial" w:hAnsi="Arial" w:cs="Arial"/>
        </w:rPr>
        <w:t xml:space="preserve"> defining Rel-16 FR2 MPE signalling</w:t>
      </w:r>
    </w:p>
    <w:p w14:paraId="546C516E" w14:textId="77777777" w:rsidR="002B4E31" w:rsidRPr="000F4E43" w:rsidRDefault="002B4E31" w:rsidP="002B4E31">
      <w:pPr>
        <w:spacing w:after="120"/>
        <w:ind w:left="993" w:hanging="993"/>
        <w:rPr>
          <w:rFonts w:ascii="Arial" w:hAnsi="Arial" w:cs="Arial"/>
        </w:rPr>
      </w:pPr>
    </w:p>
    <w:p w14:paraId="5A7CC6C5" w14:textId="77777777" w:rsidR="002B4E31" w:rsidRPr="000F4E43" w:rsidRDefault="002B4E31" w:rsidP="002B4E3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RAN4</w:t>
      </w:r>
      <w:r w:rsidRPr="000F4E43">
        <w:rPr>
          <w:rFonts w:ascii="Arial" w:hAnsi="Arial" w:cs="Arial"/>
          <w:b/>
        </w:rPr>
        <w:t xml:space="preserve"> Meeting:</w:t>
      </w:r>
    </w:p>
    <w:p w14:paraId="7FE25D49" w14:textId="77777777" w:rsidR="002B4E31" w:rsidRPr="000F4E43" w:rsidRDefault="00CF598E" w:rsidP="002B4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98E">
        <w:rPr>
          <w:rFonts w:ascii="Arial" w:hAnsi="Arial" w:cs="Arial"/>
          <w:bCs/>
        </w:rPr>
        <w:t>3GPP RAN4#9</w:t>
      </w:r>
      <w:r w:rsidR="00AD3EB2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 w:rsidR="004144F5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ab/>
      </w:r>
      <w:r w:rsidR="004144F5">
        <w:rPr>
          <w:rFonts w:ascii="Arial" w:hAnsi="Arial" w:cs="Arial"/>
          <w:bCs/>
        </w:rPr>
        <w:t>TBD</w:t>
      </w:r>
    </w:p>
    <w:sectPr w:rsidR="002B4E3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862EB" w14:textId="77777777" w:rsidR="00DB05E2" w:rsidRDefault="00DB05E2">
      <w:r>
        <w:separator/>
      </w:r>
    </w:p>
  </w:endnote>
  <w:endnote w:type="continuationSeparator" w:id="0">
    <w:p w14:paraId="0C72FEDE" w14:textId="77777777" w:rsidR="00DB05E2" w:rsidRDefault="00DB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D8DA2" w14:textId="77777777" w:rsidR="00DB05E2" w:rsidRDefault="00DB05E2">
      <w:r>
        <w:separator/>
      </w:r>
    </w:p>
  </w:footnote>
  <w:footnote w:type="continuationSeparator" w:id="0">
    <w:p w14:paraId="0D4BC4E3" w14:textId="77777777" w:rsidR="00DB05E2" w:rsidRDefault="00DB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D0886"/>
    <w:multiLevelType w:val="hybridMultilevel"/>
    <w:tmpl w:val="6ED0A7C4"/>
    <w:lvl w:ilvl="0" w:tplc="BA445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C204">
      <w:start w:val="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A794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81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49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43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88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B2D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2F4036"/>
    <w:multiLevelType w:val="hybridMultilevel"/>
    <w:tmpl w:val="28CCA806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57600AD"/>
    <w:multiLevelType w:val="hybridMultilevel"/>
    <w:tmpl w:val="1C28AC80"/>
    <w:lvl w:ilvl="0" w:tplc="5DC48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7E9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C9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8C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CE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83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0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A2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22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F56182"/>
    <w:multiLevelType w:val="hybridMultilevel"/>
    <w:tmpl w:val="0B54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113C43"/>
    <w:multiLevelType w:val="hybridMultilevel"/>
    <w:tmpl w:val="3DC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672724"/>
    <w:multiLevelType w:val="hybridMultilevel"/>
    <w:tmpl w:val="64EAF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A965080"/>
    <w:multiLevelType w:val="hybridMultilevel"/>
    <w:tmpl w:val="070A82DA"/>
    <w:lvl w:ilvl="0" w:tplc="6A723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28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E9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8F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CC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CE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5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A8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607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A21FBD"/>
    <w:multiLevelType w:val="hybridMultilevel"/>
    <w:tmpl w:val="812A90DE"/>
    <w:lvl w:ilvl="0" w:tplc="180E1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0B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0C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2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07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98F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6D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4C5948"/>
    <w:multiLevelType w:val="hybridMultilevel"/>
    <w:tmpl w:val="D47C565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7"/>
  </w:num>
  <w:num w:numId="17">
    <w:abstractNumId w:val="15"/>
  </w:num>
  <w:num w:numId="18">
    <w:abstractNumId w:val="13"/>
  </w:num>
  <w:num w:numId="19">
    <w:abstractNumId w:val="22"/>
  </w:num>
  <w:num w:numId="20">
    <w:abstractNumId w:val="11"/>
  </w:num>
  <w:num w:numId="21">
    <w:abstractNumId w:val="21"/>
  </w:num>
  <w:num w:numId="22">
    <w:abstractNumId w:val="14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694"/>
    <w:rsid w:val="000313A5"/>
    <w:rsid w:val="000408E0"/>
    <w:rsid w:val="00054C39"/>
    <w:rsid w:val="00056D4C"/>
    <w:rsid w:val="00071028"/>
    <w:rsid w:val="00074A7F"/>
    <w:rsid w:val="00084EA8"/>
    <w:rsid w:val="000A0B97"/>
    <w:rsid w:val="000D1AA4"/>
    <w:rsid w:val="000D6C42"/>
    <w:rsid w:val="000E46DB"/>
    <w:rsid w:val="000F4E43"/>
    <w:rsid w:val="001051A5"/>
    <w:rsid w:val="001173DF"/>
    <w:rsid w:val="00134696"/>
    <w:rsid w:val="00141C25"/>
    <w:rsid w:val="00153F2B"/>
    <w:rsid w:val="001577C5"/>
    <w:rsid w:val="00162491"/>
    <w:rsid w:val="001728CA"/>
    <w:rsid w:val="001848FC"/>
    <w:rsid w:val="001A0170"/>
    <w:rsid w:val="001A20F5"/>
    <w:rsid w:val="001A2B6F"/>
    <w:rsid w:val="001A5495"/>
    <w:rsid w:val="001B2AC5"/>
    <w:rsid w:val="001B400F"/>
    <w:rsid w:val="001D40B2"/>
    <w:rsid w:val="001D4876"/>
    <w:rsid w:val="001F10C1"/>
    <w:rsid w:val="00211D98"/>
    <w:rsid w:val="00211F4D"/>
    <w:rsid w:val="00216250"/>
    <w:rsid w:val="00216357"/>
    <w:rsid w:val="00217EF0"/>
    <w:rsid w:val="00241804"/>
    <w:rsid w:val="00243CE7"/>
    <w:rsid w:val="00243DA3"/>
    <w:rsid w:val="00251C3F"/>
    <w:rsid w:val="00255C7D"/>
    <w:rsid w:val="002953D3"/>
    <w:rsid w:val="002A5914"/>
    <w:rsid w:val="002A64C1"/>
    <w:rsid w:val="002B07BF"/>
    <w:rsid w:val="002B4E31"/>
    <w:rsid w:val="002C4E13"/>
    <w:rsid w:val="002C6194"/>
    <w:rsid w:val="002C69AD"/>
    <w:rsid w:val="002E1413"/>
    <w:rsid w:val="002E4692"/>
    <w:rsid w:val="002F07F4"/>
    <w:rsid w:val="0030274D"/>
    <w:rsid w:val="0030524F"/>
    <w:rsid w:val="00310BD2"/>
    <w:rsid w:val="00320784"/>
    <w:rsid w:val="003216C5"/>
    <w:rsid w:val="003479E7"/>
    <w:rsid w:val="00350FD5"/>
    <w:rsid w:val="00351886"/>
    <w:rsid w:val="003523A0"/>
    <w:rsid w:val="003551E7"/>
    <w:rsid w:val="0037055C"/>
    <w:rsid w:val="00370CFA"/>
    <w:rsid w:val="003818A0"/>
    <w:rsid w:val="0039143E"/>
    <w:rsid w:val="0039497D"/>
    <w:rsid w:val="003A0D2B"/>
    <w:rsid w:val="003A40F8"/>
    <w:rsid w:val="003A4786"/>
    <w:rsid w:val="003D17B9"/>
    <w:rsid w:val="003D4064"/>
    <w:rsid w:val="003E0613"/>
    <w:rsid w:val="003E530C"/>
    <w:rsid w:val="003F426A"/>
    <w:rsid w:val="003F7F4F"/>
    <w:rsid w:val="00403ADF"/>
    <w:rsid w:val="004144F5"/>
    <w:rsid w:val="004172A7"/>
    <w:rsid w:val="00421C33"/>
    <w:rsid w:val="00433766"/>
    <w:rsid w:val="004410AF"/>
    <w:rsid w:val="004458CE"/>
    <w:rsid w:val="00463675"/>
    <w:rsid w:val="00477ED1"/>
    <w:rsid w:val="0048330C"/>
    <w:rsid w:val="004A372A"/>
    <w:rsid w:val="004B67F8"/>
    <w:rsid w:val="004C0B14"/>
    <w:rsid w:val="004C5C2D"/>
    <w:rsid w:val="004E69D2"/>
    <w:rsid w:val="004E6D1A"/>
    <w:rsid w:val="004F35E6"/>
    <w:rsid w:val="005027BF"/>
    <w:rsid w:val="005027E7"/>
    <w:rsid w:val="00522771"/>
    <w:rsid w:val="005438EE"/>
    <w:rsid w:val="00552BC8"/>
    <w:rsid w:val="00561FA9"/>
    <w:rsid w:val="005656C2"/>
    <w:rsid w:val="00570A14"/>
    <w:rsid w:val="00572F12"/>
    <w:rsid w:val="00584B08"/>
    <w:rsid w:val="00591DD4"/>
    <w:rsid w:val="0059376E"/>
    <w:rsid w:val="005A3BF5"/>
    <w:rsid w:val="005A7B21"/>
    <w:rsid w:val="005E1EA3"/>
    <w:rsid w:val="00601BC1"/>
    <w:rsid w:val="006078AF"/>
    <w:rsid w:val="00612BFC"/>
    <w:rsid w:val="00640D77"/>
    <w:rsid w:val="00650120"/>
    <w:rsid w:val="00653EF7"/>
    <w:rsid w:val="0068258F"/>
    <w:rsid w:val="006838BD"/>
    <w:rsid w:val="00694D2D"/>
    <w:rsid w:val="006B4F8C"/>
    <w:rsid w:val="006C4DAB"/>
    <w:rsid w:val="006D3134"/>
    <w:rsid w:val="006F6C12"/>
    <w:rsid w:val="0070027F"/>
    <w:rsid w:val="00706C72"/>
    <w:rsid w:val="00725BA0"/>
    <w:rsid w:val="00726FC3"/>
    <w:rsid w:val="00757D86"/>
    <w:rsid w:val="00766D1A"/>
    <w:rsid w:val="00770D75"/>
    <w:rsid w:val="007763F6"/>
    <w:rsid w:val="00780066"/>
    <w:rsid w:val="0078773B"/>
    <w:rsid w:val="007935ED"/>
    <w:rsid w:val="007B2120"/>
    <w:rsid w:val="007B7908"/>
    <w:rsid w:val="007C7692"/>
    <w:rsid w:val="007E271C"/>
    <w:rsid w:val="00810D36"/>
    <w:rsid w:val="008249F6"/>
    <w:rsid w:val="00825521"/>
    <w:rsid w:val="00825867"/>
    <w:rsid w:val="0085367E"/>
    <w:rsid w:val="00860DD2"/>
    <w:rsid w:val="008A554B"/>
    <w:rsid w:val="008A6B18"/>
    <w:rsid w:val="008E7C87"/>
    <w:rsid w:val="008F6302"/>
    <w:rsid w:val="00923E7C"/>
    <w:rsid w:val="0093172F"/>
    <w:rsid w:val="00934E52"/>
    <w:rsid w:val="0093619A"/>
    <w:rsid w:val="009543F0"/>
    <w:rsid w:val="009652CD"/>
    <w:rsid w:val="0097630F"/>
    <w:rsid w:val="009771DA"/>
    <w:rsid w:val="009A3B19"/>
    <w:rsid w:val="009B21CE"/>
    <w:rsid w:val="009C5362"/>
    <w:rsid w:val="009C58F1"/>
    <w:rsid w:val="009C663C"/>
    <w:rsid w:val="009E2C42"/>
    <w:rsid w:val="009E3657"/>
    <w:rsid w:val="009F3312"/>
    <w:rsid w:val="00A14793"/>
    <w:rsid w:val="00A1567F"/>
    <w:rsid w:val="00A31918"/>
    <w:rsid w:val="00A34A77"/>
    <w:rsid w:val="00A34E9F"/>
    <w:rsid w:val="00A40AA0"/>
    <w:rsid w:val="00A43384"/>
    <w:rsid w:val="00A62434"/>
    <w:rsid w:val="00A71C38"/>
    <w:rsid w:val="00A91278"/>
    <w:rsid w:val="00AA186F"/>
    <w:rsid w:val="00AA7902"/>
    <w:rsid w:val="00AB1DCB"/>
    <w:rsid w:val="00AC7E24"/>
    <w:rsid w:val="00AD3DF8"/>
    <w:rsid w:val="00AD3EB2"/>
    <w:rsid w:val="00AE3256"/>
    <w:rsid w:val="00AF7F50"/>
    <w:rsid w:val="00B24507"/>
    <w:rsid w:val="00B3710B"/>
    <w:rsid w:val="00B3716F"/>
    <w:rsid w:val="00B516BF"/>
    <w:rsid w:val="00B51C73"/>
    <w:rsid w:val="00B604D5"/>
    <w:rsid w:val="00B74A0A"/>
    <w:rsid w:val="00B90D26"/>
    <w:rsid w:val="00B91239"/>
    <w:rsid w:val="00B94316"/>
    <w:rsid w:val="00BC5907"/>
    <w:rsid w:val="00BD333C"/>
    <w:rsid w:val="00C10B72"/>
    <w:rsid w:val="00C26F2C"/>
    <w:rsid w:val="00C4166C"/>
    <w:rsid w:val="00C45DEF"/>
    <w:rsid w:val="00C8561F"/>
    <w:rsid w:val="00CB1F00"/>
    <w:rsid w:val="00CC2E94"/>
    <w:rsid w:val="00CD7296"/>
    <w:rsid w:val="00CF598E"/>
    <w:rsid w:val="00D00157"/>
    <w:rsid w:val="00D21C9C"/>
    <w:rsid w:val="00D33175"/>
    <w:rsid w:val="00D425BD"/>
    <w:rsid w:val="00D50C2E"/>
    <w:rsid w:val="00D522DA"/>
    <w:rsid w:val="00D73A3B"/>
    <w:rsid w:val="00D8143C"/>
    <w:rsid w:val="00D84FC0"/>
    <w:rsid w:val="00D858ED"/>
    <w:rsid w:val="00D86290"/>
    <w:rsid w:val="00D9056F"/>
    <w:rsid w:val="00D97702"/>
    <w:rsid w:val="00DA59A6"/>
    <w:rsid w:val="00DA730A"/>
    <w:rsid w:val="00DA7D5F"/>
    <w:rsid w:val="00DB05E2"/>
    <w:rsid w:val="00DB08EF"/>
    <w:rsid w:val="00DD26BD"/>
    <w:rsid w:val="00E50322"/>
    <w:rsid w:val="00E575BB"/>
    <w:rsid w:val="00E85A3F"/>
    <w:rsid w:val="00EC07B0"/>
    <w:rsid w:val="00EC1C56"/>
    <w:rsid w:val="00ED1C79"/>
    <w:rsid w:val="00ED214D"/>
    <w:rsid w:val="00ED7910"/>
    <w:rsid w:val="00EF3077"/>
    <w:rsid w:val="00F1590D"/>
    <w:rsid w:val="00F25936"/>
    <w:rsid w:val="00F27B01"/>
    <w:rsid w:val="00F76108"/>
    <w:rsid w:val="00F83BF3"/>
    <w:rsid w:val="00F9576C"/>
    <w:rsid w:val="00F95E30"/>
    <w:rsid w:val="00FA2A66"/>
    <w:rsid w:val="00FA5CFB"/>
    <w:rsid w:val="00FC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A8AD03"/>
  <w15:chartTrackingRefBased/>
  <w15:docId w15:val="{4A97FB9E-6EB3-4634-BFEA-22CCA1DA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Char"/>
    <w:qFormat/>
    <w:rsid w:val="00251C3F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251C3F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D40B2"/>
    <w:pPr>
      <w:ind w:left="720"/>
      <w:contextualSpacing/>
    </w:pPr>
    <w:rPr>
      <w:rFonts w:eastAsia="Times New Roman"/>
      <w:sz w:val="24"/>
      <w:szCs w:val="24"/>
      <w:lang w:val="fi-FI" w:eastAsia="fi-FI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B4E3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7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71D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9771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66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2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4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48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delegate</cp:lastModifiedBy>
  <cp:revision>3</cp:revision>
  <cp:lastPrinted>2002-04-23T07:10:00Z</cp:lastPrinted>
  <dcterms:created xsi:type="dcterms:W3CDTF">2020-08-26T14:37:00Z</dcterms:created>
  <dcterms:modified xsi:type="dcterms:W3CDTF">2020-08-26T14:38:00Z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(2)oCytQ0MWGEDO2l+Q9ToEdXCO9dfWnMggWW+U/usxM/1Na/oTEZzR7cE17e9cSYd95eHKUxsz_x000d_
g0GgESJCtI+4sIOvNiz3L5G3dOMeW9phJ7SHXo6OOpQegpABorehKBjQU4khF8vD7QT/8p3y_x000d_
tDG/zvmFqQBbr0W05YqRR8BqJj2U9JjEmMKClGNZAwgL2ov8fZwaQV3VJSL9tSr1VTNWerC7_x000d_
4imTrPqS1/LbKqGxBG</vt:lpwstr>
  </property>
  <property fmtid="{D5CDD505-2E9C-101B-9397-08002B2CF9AE}" pid="3" name="_2015_ms_pID_7253431">
    <vt:lpwstr>jNC84mcmu/cSckPwyOb3vnaIAhhFKLC3R7Oy1gX6BVhd5RC4V58yAF_x000d_
b7+NEiLEltfPd2+RgSvDRrUNQQgwjQ/pUV/dh3opoKrhZqqVyP02xItQ4JemzxcPDuNRt1e3_x000d_
19IxxewzrDjRDqTiUast/7X7ny+HS5LzkoVIq4GZMunXUqOPzj1UEAV1QuGISSLKEcM=</vt:lpwstr>
  </property>
  <property fmtid="{D5CDD505-2E9C-101B-9397-08002B2CF9AE}" pid="4" name="NSCPROP_SA">
    <vt:lpwstr>C:\Users\kuhn.kim\AppData\Local\Microsoft\Windows\INetCache\Content.Outlook\M727TFMK\draftR4-20xxxxx LS on MPE enhancements_OPPO2_Apple_NOK.doc</vt:lpwstr>
  </property>
</Properties>
</file>