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0D74" w:rsidRDefault="008732A1">
      <w:pPr>
        <w:widowControl w:val="0"/>
        <w:tabs>
          <w:tab w:val="right" w:pos="9639"/>
        </w:tabs>
        <w:overflowPunct w:val="0"/>
        <w:autoSpaceDE w:val="0"/>
        <w:autoSpaceDN w:val="0"/>
        <w:adjustRightInd w:val="0"/>
        <w:spacing w:after="0" w:line="240" w:lineRule="auto"/>
        <w:textAlignment w:val="baseline"/>
        <w:rPr>
          <w:rFonts w:ascii="Arial" w:eastAsia="Times New Roman" w:hAnsi="Arial"/>
          <w:b/>
          <w:bCs/>
          <w:i/>
          <w:sz w:val="24"/>
          <w:szCs w:val="24"/>
          <w:lang w:eastAsia="ja-JP"/>
        </w:rPr>
      </w:pPr>
      <w:r>
        <w:rPr>
          <w:rFonts w:ascii="Arial" w:eastAsia="Times New Roman" w:hAnsi="Arial"/>
          <w:b/>
          <w:bCs/>
          <w:sz w:val="24"/>
          <w:szCs w:val="24"/>
          <w:lang w:eastAsia="ja-JP"/>
        </w:rPr>
        <w:t>3GPP TSG-RAN WG2 Meeting #109bis-e</w:t>
      </w:r>
      <w:r>
        <w:rPr>
          <w:rFonts w:ascii="Arial" w:eastAsia="Times New Roman" w:hAnsi="Arial"/>
          <w:b/>
          <w:bCs/>
          <w:sz w:val="24"/>
          <w:szCs w:val="24"/>
          <w:lang w:eastAsia="ja-JP"/>
        </w:rPr>
        <w:tab/>
        <w:t>R2-2003907</w:t>
      </w:r>
    </w:p>
    <w:p w:rsidR="00360D74" w:rsidRDefault="008732A1">
      <w:pPr>
        <w:widowControl w:val="0"/>
        <w:tabs>
          <w:tab w:val="right" w:pos="9639"/>
        </w:tabs>
        <w:overflowPunct w:val="0"/>
        <w:autoSpaceDE w:val="0"/>
        <w:autoSpaceDN w:val="0"/>
        <w:adjustRightInd w:val="0"/>
        <w:spacing w:after="0" w:line="240" w:lineRule="auto"/>
        <w:textAlignment w:val="baseline"/>
        <w:rPr>
          <w:rFonts w:ascii="Arial" w:hAnsi="Arial"/>
          <w:b/>
          <w:sz w:val="24"/>
          <w:szCs w:val="24"/>
          <w:lang w:eastAsia="zh-CN"/>
        </w:rPr>
      </w:pPr>
      <w:r>
        <w:rPr>
          <w:rFonts w:ascii="Arial" w:hAnsi="Arial"/>
          <w:b/>
          <w:bCs/>
          <w:sz w:val="24"/>
          <w:szCs w:val="24"/>
          <w:lang w:eastAsia="zh-CN"/>
        </w:rPr>
        <w:t>Electronic, 20 – 30 April 2020</w:t>
      </w:r>
      <w:r>
        <w:rPr>
          <w:rFonts w:ascii="Arial" w:hAnsi="Arial"/>
          <w:b/>
          <w:sz w:val="24"/>
          <w:szCs w:val="24"/>
          <w:lang w:eastAsia="zh-CN"/>
        </w:rPr>
        <w:tab/>
      </w:r>
    </w:p>
    <w:p w:rsidR="00360D74" w:rsidRDefault="00360D74">
      <w:pPr>
        <w:widowControl w:val="0"/>
        <w:tabs>
          <w:tab w:val="right" w:pos="9639"/>
        </w:tabs>
        <w:overflowPunct w:val="0"/>
        <w:autoSpaceDE w:val="0"/>
        <w:autoSpaceDN w:val="0"/>
        <w:adjustRightInd w:val="0"/>
        <w:spacing w:after="0" w:line="240" w:lineRule="auto"/>
        <w:textAlignment w:val="baseline"/>
        <w:rPr>
          <w:rFonts w:ascii="Arial" w:hAnsi="Arial"/>
          <w:b/>
          <w:sz w:val="24"/>
          <w:szCs w:val="24"/>
          <w:lang w:eastAsia="zh-CN"/>
        </w:rPr>
      </w:pPr>
    </w:p>
    <w:p w:rsidR="00360D74" w:rsidRDefault="00360D74">
      <w:pPr>
        <w:widowControl w:val="0"/>
        <w:tabs>
          <w:tab w:val="right" w:pos="9639"/>
        </w:tabs>
        <w:overflowPunct w:val="0"/>
        <w:autoSpaceDE w:val="0"/>
        <w:autoSpaceDN w:val="0"/>
        <w:adjustRightInd w:val="0"/>
        <w:spacing w:after="0" w:line="240" w:lineRule="auto"/>
        <w:textAlignment w:val="baseline"/>
        <w:rPr>
          <w:rFonts w:ascii="Arial" w:hAnsi="Arial"/>
          <w:b/>
          <w:bCs/>
          <w:sz w:val="24"/>
          <w:szCs w:val="24"/>
          <w:lang w:eastAsia="zh-CN"/>
        </w:rPr>
      </w:pPr>
    </w:p>
    <w:p w:rsidR="00360D74" w:rsidRDefault="008732A1">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6.18.2</w:t>
      </w:r>
    </w:p>
    <w:p w:rsidR="00360D74" w:rsidRDefault="008732A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(Rapporteur)</w:t>
      </w:r>
    </w:p>
    <w:p w:rsidR="00360D74" w:rsidRDefault="008732A1">
      <w:pPr>
        <w:ind w:left="1985" w:hanging="1985"/>
        <w:rPr>
          <w:rFonts w:ascii="Arial" w:hAnsi="Arial" w:cs="Arial"/>
          <w:b/>
          <w:bCs/>
          <w:sz w:val="24"/>
        </w:rPr>
      </w:pPr>
      <w:r>
        <w:rPr>
          <w:rFonts w:ascii="Arial" w:hAnsi="Arial" w:cs="Arial"/>
          <w:b/>
          <w:bCs/>
          <w:sz w:val="24"/>
        </w:rPr>
        <w:t>Title:</w:t>
      </w:r>
      <w:r>
        <w:rPr>
          <w:rFonts w:ascii="Arial" w:hAnsi="Arial" w:cs="Arial"/>
          <w:b/>
          <w:bCs/>
          <w:sz w:val="24"/>
        </w:rPr>
        <w:tab/>
        <w:t>Offline discussion 105: PRN open issues - third round</w:t>
      </w:r>
    </w:p>
    <w:p w:rsidR="00360D74" w:rsidRDefault="008732A1">
      <w:pPr>
        <w:ind w:left="1985" w:hanging="1985"/>
        <w:rPr>
          <w:rFonts w:ascii="Arial" w:hAnsi="Arial" w:cs="Arial"/>
          <w:b/>
          <w:bCs/>
          <w:sz w:val="24"/>
        </w:rPr>
      </w:pPr>
      <w:r>
        <w:rPr>
          <w:rFonts w:ascii="Arial" w:hAnsi="Arial" w:cs="Arial"/>
          <w:b/>
          <w:bCs/>
          <w:sz w:val="24"/>
        </w:rPr>
        <w:t>WID/SID:</w:t>
      </w:r>
      <w:r>
        <w:rPr>
          <w:rFonts w:ascii="Arial" w:hAnsi="Arial" w:cs="Arial"/>
          <w:b/>
          <w:bCs/>
          <w:sz w:val="24"/>
        </w:rPr>
        <w:tab/>
        <w:t>NG_RAN_PRN-Core - Release 16</w:t>
      </w:r>
    </w:p>
    <w:p w:rsidR="00360D74" w:rsidRDefault="008732A1">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360D74" w:rsidRDefault="008732A1">
      <w:pPr>
        <w:pStyle w:val="Heading1"/>
      </w:pPr>
      <w:r>
        <w:t>1</w:t>
      </w:r>
      <w:r>
        <w:tab/>
        <w:t>Introduction</w:t>
      </w:r>
    </w:p>
    <w:p w:rsidR="00360D74" w:rsidRDefault="008732A1">
      <w:r>
        <w:t>This document is the report about the 3rd round of the following email discussion</w:t>
      </w:r>
    </w:p>
    <w:p w:rsidR="00360D74" w:rsidRDefault="008732A1">
      <w:pPr>
        <w:spacing w:before="100" w:beforeAutospacing="1" w:after="100" w:afterAutospacing="1" w:line="240" w:lineRule="auto"/>
        <w:rPr>
          <w:rFonts w:ascii="Calibri" w:eastAsia="Calibri" w:hAnsi="Calibri" w:cs="Calibri"/>
          <w:sz w:val="22"/>
          <w:szCs w:val="22"/>
          <w:lang w:val="en-US"/>
        </w:rPr>
      </w:pPr>
      <w:r>
        <w:rPr>
          <w:rFonts w:ascii="Wingdings" w:eastAsia="Calibri" w:hAnsi="Wingdings" w:cs="Calibri"/>
          <w:b/>
          <w:bCs/>
          <w:sz w:val="22"/>
          <w:szCs w:val="22"/>
          <w:lang w:val="en-US"/>
        </w:rPr>
        <w:t></w:t>
      </w:r>
      <w:r>
        <w:rPr>
          <w:rFonts w:ascii="Wingdings" w:eastAsia="Calibri" w:hAnsi="Wingdings" w:cs="Calibri"/>
          <w:b/>
          <w:bCs/>
          <w:sz w:val="22"/>
          <w:szCs w:val="22"/>
          <w:lang w:val="en-US"/>
        </w:rPr>
        <w:t></w:t>
      </w:r>
      <w:r>
        <w:rPr>
          <w:rFonts w:ascii="Calibri" w:eastAsia="Calibri" w:hAnsi="Calibri" w:cs="Calibri"/>
          <w:b/>
          <w:bCs/>
          <w:sz w:val="22"/>
          <w:szCs w:val="22"/>
          <w:lang w:val="en-US"/>
        </w:rPr>
        <w:t>[AT109bis-e][</w:t>
      </w:r>
      <w:proofErr w:type="gramStart"/>
      <w:r>
        <w:rPr>
          <w:rFonts w:ascii="Calibri" w:eastAsia="Calibri" w:hAnsi="Calibri" w:cs="Calibri"/>
          <w:b/>
          <w:bCs/>
          <w:sz w:val="22"/>
          <w:szCs w:val="22"/>
          <w:lang w:val="en-US"/>
        </w:rPr>
        <w:t>105][</w:t>
      </w:r>
      <w:proofErr w:type="gramEnd"/>
      <w:r>
        <w:rPr>
          <w:rFonts w:ascii="Calibri" w:eastAsia="Calibri" w:hAnsi="Calibri" w:cs="Calibri"/>
          <w:b/>
          <w:bCs/>
          <w:sz w:val="22"/>
          <w:szCs w:val="22"/>
          <w:lang w:val="en-US"/>
        </w:rPr>
        <w:t>PRN] Open issues (Nokia)</w:t>
      </w:r>
    </w:p>
    <w:p w:rsidR="00360D74" w:rsidRDefault="008732A1">
      <w:pPr>
        <w:spacing w:after="0" w:line="240" w:lineRule="auto"/>
        <w:ind w:left="1620"/>
        <w:rPr>
          <w:rFonts w:ascii="Calibri" w:eastAsia="Calibri" w:hAnsi="Calibri" w:cs="Calibri"/>
          <w:sz w:val="22"/>
          <w:szCs w:val="22"/>
          <w:lang w:val="en-US"/>
        </w:rPr>
      </w:pPr>
      <w:r>
        <w:rPr>
          <w:rFonts w:ascii="Calibri" w:eastAsia="Calibri" w:hAnsi="Calibri" w:cs="Calibri"/>
          <w:color w:val="A6A6A6"/>
          <w:sz w:val="22"/>
          <w:szCs w:val="22"/>
          <w:lang w:val="en-US"/>
        </w:rPr>
        <w:t xml:space="preserve">Initial scope: Continue the discussion on PRN open issues, based on </w:t>
      </w:r>
      <w:hyperlink r:id="rId12" w:tooltip="C:Data3GPPExtractsR2-2002659-Post109e-18-PRN-OpenIssues.docx" w:history="1">
        <w:r>
          <w:rPr>
            <w:rFonts w:ascii="Calibri" w:eastAsia="Calibri" w:hAnsi="Calibri" w:cs="Calibri"/>
            <w:color w:val="A6A6A6"/>
            <w:sz w:val="22"/>
            <w:szCs w:val="22"/>
            <w:u w:val="single"/>
            <w:lang w:val="en-US"/>
          </w:rPr>
          <w:t>R2-2002659</w:t>
        </w:r>
      </w:hyperlink>
    </w:p>
    <w:p w:rsidR="00360D74" w:rsidRDefault="008732A1">
      <w:pPr>
        <w:spacing w:after="0" w:line="240" w:lineRule="auto"/>
        <w:ind w:left="1620"/>
        <w:rPr>
          <w:rFonts w:ascii="Calibri" w:eastAsia="Calibri" w:hAnsi="Calibri" w:cs="Calibri"/>
          <w:sz w:val="22"/>
          <w:szCs w:val="22"/>
          <w:lang w:val="en-US"/>
        </w:rPr>
      </w:pPr>
      <w:r>
        <w:rPr>
          <w:rFonts w:ascii="Calibri" w:eastAsia="Calibri" w:hAnsi="Calibri" w:cs="Calibri"/>
          <w:color w:val="A6A6A6"/>
          <w:sz w:val="22"/>
          <w:szCs w:val="22"/>
          <w:lang w:val="en-US"/>
        </w:rPr>
        <w:t xml:space="preserve">Initial intended outcome: Set of proposals with full consensus agreeable via email, based on </w:t>
      </w:r>
    </w:p>
    <w:p w:rsidR="00360D74" w:rsidRDefault="008732A1">
      <w:pPr>
        <w:spacing w:after="0" w:line="240" w:lineRule="auto"/>
        <w:ind w:left="1620"/>
        <w:rPr>
          <w:rFonts w:ascii="Calibri" w:eastAsia="Calibri" w:hAnsi="Calibri" w:cs="Calibri"/>
          <w:sz w:val="22"/>
          <w:szCs w:val="22"/>
          <w:lang w:val="en-US"/>
        </w:rPr>
      </w:pPr>
      <w:r>
        <w:rPr>
          <w:rFonts w:ascii="Calibri" w:eastAsia="Calibri" w:hAnsi="Calibri" w:cs="Calibri"/>
          <w:color w:val="A6A6A6"/>
          <w:sz w:val="22"/>
          <w:szCs w:val="22"/>
          <w:lang w:val="en-US"/>
        </w:rPr>
        <w:t xml:space="preserve">the list in Section 4.1 of </w:t>
      </w:r>
      <w:hyperlink r:id="rId13" w:tooltip="C:Data3GPPExtractsR2-2002659-Post109e-18-PRN-OpenIssues.docx" w:history="1">
        <w:r>
          <w:rPr>
            <w:rFonts w:ascii="Calibri" w:eastAsia="Calibri" w:hAnsi="Calibri" w:cs="Calibri"/>
            <w:color w:val="A6A6A6"/>
            <w:sz w:val="22"/>
            <w:szCs w:val="22"/>
            <w:u w:val="single"/>
            <w:lang w:val="en-US"/>
          </w:rPr>
          <w:t>R2-2002659</w:t>
        </w:r>
      </w:hyperlink>
      <w:r>
        <w:rPr>
          <w:rFonts w:ascii="Calibri" w:eastAsia="Calibri" w:hAnsi="Calibri" w:cs="Calibri"/>
          <w:color w:val="A6A6A6"/>
          <w:sz w:val="22"/>
          <w:szCs w:val="22"/>
          <w:lang w:val="en-US"/>
        </w:rPr>
        <w:t xml:space="preserve"> (final list to be reflected in </w:t>
      </w:r>
      <w:hyperlink r:id="rId14" w:tooltip="C:Data3GPPRAN2InboxR2-2003895.zip" w:history="1">
        <w:r>
          <w:rPr>
            <w:rFonts w:ascii="Calibri" w:eastAsia="Calibri" w:hAnsi="Calibri" w:cs="Calibri"/>
            <w:color w:val="A6A6A6"/>
            <w:sz w:val="22"/>
            <w:szCs w:val="22"/>
            <w:u w:val="single"/>
            <w:lang w:val="en-US"/>
          </w:rPr>
          <w:t>R2-2003895</w:t>
        </w:r>
      </w:hyperlink>
      <w:r>
        <w:rPr>
          <w:rFonts w:ascii="Calibri" w:eastAsia="Calibri" w:hAnsi="Calibri" w:cs="Calibri"/>
          <w:color w:val="A6A6A6"/>
          <w:sz w:val="22"/>
          <w:szCs w:val="22"/>
          <w:lang w:val="en-US"/>
        </w:rPr>
        <w:t>)</w:t>
      </w:r>
    </w:p>
    <w:p w:rsidR="00360D74" w:rsidRDefault="008732A1">
      <w:pPr>
        <w:spacing w:after="0" w:line="240" w:lineRule="auto"/>
        <w:ind w:left="1620"/>
        <w:rPr>
          <w:rFonts w:ascii="Calibri" w:eastAsia="Calibri" w:hAnsi="Calibri" w:cs="Calibri"/>
          <w:sz w:val="22"/>
          <w:szCs w:val="22"/>
          <w:lang w:val="en-US"/>
        </w:rPr>
      </w:pPr>
      <w:r>
        <w:rPr>
          <w:rFonts w:ascii="Calibri" w:eastAsia="Calibri" w:hAnsi="Calibri" w:cs="Calibri"/>
          <w:color w:val="A6A6A6"/>
          <w:sz w:val="22"/>
          <w:szCs w:val="22"/>
          <w:lang w:val="en-US"/>
        </w:rPr>
        <w:t>Initial intermediate deadline (for companies' feedback): Tuesday 2020-04-21 09:00 UTC</w:t>
      </w:r>
    </w:p>
    <w:p w:rsidR="00360D74" w:rsidRDefault="008732A1">
      <w:pPr>
        <w:spacing w:after="0" w:line="240" w:lineRule="auto"/>
        <w:ind w:left="1620"/>
        <w:rPr>
          <w:rFonts w:ascii="Calibri" w:eastAsia="Calibri" w:hAnsi="Calibri" w:cs="Calibri"/>
          <w:sz w:val="22"/>
          <w:szCs w:val="22"/>
          <w:lang w:val="en-US"/>
        </w:rPr>
      </w:pPr>
      <w:r>
        <w:rPr>
          <w:rFonts w:ascii="Calibri" w:eastAsia="Calibri" w:hAnsi="Calibri" w:cs="Calibri"/>
          <w:color w:val="A6A6A6"/>
          <w:sz w:val="22"/>
          <w:szCs w:val="22"/>
          <w:lang w:val="en-US"/>
        </w:rPr>
        <w:t>Updated scope:</w:t>
      </w:r>
    </w:p>
    <w:p w:rsidR="00360D74" w:rsidRDefault="008732A1">
      <w:pPr>
        <w:spacing w:after="0" w:line="240" w:lineRule="auto"/>
        <w:ind w:left="1980"/>
        <w:rPr>
          <w:rFonts w:ascii="Calibri" w:eastAsia="Calibri" w:hAnsi="Calibri" w:cs="Calibri"/>
          <w:sz w:val="22"/>
          <w:szCs w:val="22"/>
          <w:lang w:val="en-US"/>
        </w:rPr>
      </w:pPr>
      <w:proofErr w:type="gramStart"/>
      <w:r>
        <w:rPr>
          <w:rFonts w:ascii="Wingdings" w:eastAsia="Calibri" w:hAnsi="Wingdings" w:cs="Calibri"/>
          <w:color w:val="A6A6A6"/>
          <w:sz w:val="22"/>
          <w:szCs w:val="22"/>
          <w:lang w:val="en-US"/>
        </w:rPr>
        <w:t></w:t>
      </w:r>
      <w:r>
        <w:rPr>
          <w:rFonts w:eastAsia="Calibri"/>
          <w:color w:val="A6A6A6"/>
          <w:sz w:val="14"/>
          <w:szCs w:val="14"/>
          <w:lang w:val="en-US"/>
        </w:rPr>
        <w:t xml:space="preserve">  </w:t>
      </w:r>
      <w:r>
        <w:rPr>
          <w:rFonts w:ascii="Calibri" w:eastAsia="Calibri" w:hAnsi="Calibri" w:cs="Calibri"/>
          <w:color w:val="A6A6A6"/>
          <w:sz w:val="22"/>
          <w:szCs w:val="22"/>
          <w:lang w:val="en-US"/>
        </w:rPr>
        <w:t>for</w:t>
      </w:r>
      <w:proofErr w:type="gramEnd"/>
      <w:r>
        <w:rPr>
          <w:rFonts w:ascii="Calibri" w:eastAsia="Calibri" w:hAnsi="Calibri" w:cs="Calibri"/>
          <w:color w:val="A6A6A6"/>
          <w:sz w:val="22"/>
          <w:szCs w:val="22"/>
          <w:lang w:val="en-US"/>
        </w:rPr>
        <w:t xml:space="preserve"> open issue 8: discuss the possibility to introduce an indication in SIB1 to allow UEs to search other cells on the same frequency </w:t>
      </w:r>
    </w:p>
    <w:p w:rsidR="00360D74" w:rsidRDefault="008732A1">
      <w:pPr>
        <w:spacing w:after="0" w:line="240" w:lineRule="auto"/>
        <w:ind w:left="1980"/>
        <w:rPr>
          <w:rFonts w:ascii="Calibri" w:eastAsia="Calibri" w:hAnsi="Calibri" w:cs="Calibri"/>
          <w:sz w:val="22"/>
          <w:szCs w:val="22"/>
          <w:lang w:val="en-US"/>
        </w:rPr>
      </w:pPr>
      <w:proofErr w:type="gramStart"/>
      <w:r>
        <w:rPr>
          <w:rFonts w:ascii="Wingdings" w:eastAsia="Calibri" w:hAnsi="Wingdings" w:cs="Calibri"/>
          <w:color w:val="A6A6A6"/>
          <w:sz w:val="22"/>
          <w:szCs w:val="22"/>
          <w:lang w:val="en-US"/>
        </w:rPr>
        <w:t></w:t>
      </w:r>
      <w:r>
        <w:rPr>
          <w:rFonts w:eastAsia="Calibri"/>
          <w:color w:val="A6A6A6"/>
          <w:sz w:val="14"/>
          <w:szCs w:val="14"/>
          <w:lang w:val="en-US"/>
        </w:rPr>
        <w:t xml:space="preserve">  </w:t>
      </w:r>
      <w:r>
        <w:rPr>
          <w:rFonts w:ascii="Calibri" w:eastAsia="Calibri" w:hAnsi="Calibri" w:cs="Calibri"/>
          <w:color w:val="A6A6A6"/>
          <w:sz w:val="22"/>
          <w:szCs w:val="22"/>
          <w:lang w:val="en-US"/>
        </w:rPr>
        <w:t>for</w:t>
      </w:r>
      <w:proofErr w:type="gramEnd"/>
      <w:r>
        <w:rPr>
          <w:rFonts w:ascii="Calibri" w:eastAsia="Calibri" w:hAnsi="Calibri" w:cs="Calibri"/>
          <w:color w:val="A6A6A6"/>
          <w:sz w:val="22"/>
          <w:szCs w:val="22"/>
          <w:lang w:val="en-US"/>
        </w:rPr>
        <w:t xml:space="preserve"> open issue 9: discuss the possibility to signal PCI range(s) per PLMN per frequency vs just per frequency</w:t>
      </w:r>
    </w:p>
    <w:p w:rsidR="00360D74" w:rsidRDefault="008732A1">
      <w:pPr>
        <w:spacing w:after="0" w:line="240" w:lineRule="auto"/>
        <w:ind w:left="1980"/>
        <w:rPr>
          <w:rFonts w:ascii="Calibri" w:eastAsia="Calibri" w:hAnsi="Calibri" w:cs="Calibri"/>
          <w:sz w:val="22"/>
          <w:szCs w:val="22"/>
          <w:lang w:val="en-US"/>
        </w:rPr>
      </w:pPr>
      <w:proofErr w:type="gramStart"/>
      <w:r>
        <w:rPr>
          <w:rFonts w:ascii="Wingdings" w:eastAsia="Calibri" w:hAnsi="Wingdings" w:cs="Calibri"/>
          <w:color w:val="A6A6A6"/>
          <w:sz w:val="22"/>
          <w:szCs w:val="22"/>
          <w:lang w:val="en-US"/>
        </w:rPr>
        <w:t></w:t>
      </w:r>
      <w:r>
        <w:rPr>
          <w:rFonts w:eastAsia="Calibri"/>
          <w:color w:val="A6A6A6"/>
          <w:sz w:val="14"/>
          <w:szCs w:val="14"/>
          <w:lang w:val="en-US"/>
        </w:rPr>
        <w:t xml:space="preserve">  </w:t>
      </w:r>
      <w:r>
        <w:rPr>
          <w:rFonts w:ascii="Calibri" w:eastAsia="Calibri" w:hAnsi="Calibri" w:cs="Calibri"/>
          <w:color w:val="A6A6A6"/>
          <w:sz w:val="22"/>
          <w:szCs w:val="22"/>
          <w:lang w:val="en-US"/>
        </w:rPr>
        <w:t>continue</w:t>
      </w:r>
      <w:proofErr w:type="gramEnd"/>
      <w:r>
        <w:rPr>
          <w:rFonts w:ascii="Calibri" w:eastAsia="Calibri" w:hAnsi="Calibri" w:cs="Calibri"/>
          <w:color w:val="A6A6A6"/>
          <w:sz w:val="22"/>
          <w:szCs w:val="22"/>
          <w:lang w:val="en-US"/>
        </w:rPr>
        <w:t xml:space="preserve"> the discussion on open issues 11 and 16</w:t>
      </w:r>
    </w:p>
    <w:p w:rsidR="00360D74" w:rsidRDefault="008732A1">
      <w:pPr>
        <w:spacing w:after="0" w:line="240" w:lineRule="auto"/>
        <w:ind w:left="1620"/>
        <w:rPr>
          <w:rFonts w:ascii="Calibri" w:eastAsia="Calibri" w:hAnsi="Calibri" w:cs="Calibri"/>
          <w:sz w:val="22"/>
          <w:szCs w:val="22"/>
          <w:lang w:val="en-US"/>
        </w:rPr>
      </w:pPr>
      <w:r>
        <w:rPr>
          <w:rFonts w:ascii="Calibri" w:eastAsia="Calibri" w:hAnsi="Calibri" w:cs="Calibri"/>
          <w:color w:val="A6A6A6"/>
          <w:sz w:val="22"/>
          <w:szCs w:val="22"/>
          <w:lang w:val="en-US"/>
        </w:rPr>
        <w:t>Updated intended outcome: summary of the offline discussion with e.g.:</w:t>
      </w:r>
    </w:p>
    <w:p w:rsidR="00360D74" w:rsidRDefault="008732A1">
      <w:pPr>
        <w:spacing w:after="0" w:line="240" w:lineRule="auto"/>
        <w:ind w:left="1980"/>
        <w:rPr>
          <w:rFonts w:ascii="Calibri" w:eastAsia="Calibri" w:hAnsi="Calibri" w:cs="Calibri"/>
          <w:sz w:val="22"/>
          <w:szCs w:val="22"/>
          <w:lang w:val="en-US"/>
        </w:rPr>
      </w:pPr>
      <w:proofErr w:type="gramStart"/>
      <w:r>
        <w:rPr>
          <w:rFonts w:ascii="Wingdings" w:eastAsia="Calibri" w:hAnsi="Wingdings" w:cs="Calibri"/>
          <w:color w:val="A6A6A6"/>
          <w:sz w:val="22"/>
          <w:szCs w:val="22"/>
          <w:lang w:val="en-US"/>
        </w:rPr>
        <w:t></w:t>
      </w:r>
      <w:r>
        <w:rPr>
          <w:rFonts w:eastAsia="Calibri"/>
          <w:color w:val="A6A6A6"/>
          <w:sz w:val="14"/>
          <w:szCs w:val="14"/>
          <w:lang w:val="en-US"/>
        </w:rPr>
        <w:t xml:space="preserve">  </w:t>
      </w:r>
      <w:r>
        <w:rPr>
          <w:rFonts w:ascii="Calibri" w:eastAsia="Calibri" w:hAnsi="Calibri" w:cs="Calibri"/>
          <w:color w:val="A6A6A6"/>
          <w:sz w:val="22"/>
          <w:szCs w:val="22"/>
          <w:lang w:val="en-US"/>
        </w:rPr>
        <w:t>Set</w:t>
      </w:r>
      <w:proofErr w:type="gramEnd"/>
      <w:r>
        <w:rPr>
          <w:rFonts w:ascii="Calibri" w:eastAsia="Calibri" w:hAnsi="Calibri" w:cs="Calibri"/>
          <w:color w:val="A6A6A6"/>
          <w:sz w:val="22"/>
          <w:szCs w:val="22"/>
          <w:lang w:val="en-US"/>
        </w:rPr>
        <w:t xml:space="preserve"> of proposals with full consensus, if any (agreeable over email)</w:t>
      </w:r>
    </w:p>
    <w:p w:rsidR="00360D74" w:rsidRDefault="008732A1">
      <w:pPr>
        <w:spacing w:after="0" w:line="240" w:lineRule="auto"/>
        <w:ind w:left="1980"/>
        <w:rPr>
          <w:rFonts w:ascii="Calibri" w:eastAsia="Calibri" w:hAnsi="Calibri" w:cs="Calibri"/>
          <w:sz w:val="22"/>
          <w:szCs w:val="22"/>
          <w:lang w:val="en-US"/>
        </w:rPr>
      </w:pPr>
      <w:proofErr w:type="gramStart"/>
      <w:r>
        <w:rPr>
          <w:rFonts w:ascii="Wingdings" w:eastAsia="Calibri" w:hAnsi="Wingdings" w:cs="Calibri"/>
          <w:color w:val="A6A6A6"/>
          <w:sz w:val="22"/>
          <w:szCs w:val="22"/>
          <w:lang w:val="en-US"/>
        </w:rPr>
        <w:t></w:t>
      </w:r>
      <w:r>
        <w:rPr>
          <w:rFonts w:eastAsia="Calibri"/>
          <w:color w:val="A6A6A6"/>
          <w:sz w:val="14"/>
          <w:szCs w:val="14"/>
          <w:lang w:val="en-US"/>
        </w:rPr>
        <w:t xml:space="preserve">  </w:t>
      </w:r>
      <w:r>
        <w:rPr>
          <w:rFonts w:ascii="Calibri" w:eastAsia="Calibri" w:hAnsi="Calibri" w:cs="Calibri"/>
          <w:color w:val="A6A6A6"/>
          <w:sz w:val="22"/>
          <w:szCs w:val="22"/>
          <w:lang w:val="en-US"/>
        </w:rPr>
        <w:t>Set</w:t>
      </w:r>
      <w:proofErr w:type="gramEnd"/>
      <w:r>
        <w:rPr>
          <w:rFonts w:ascii="Calibri" w:eastAsia="Calibri" w:hAnsi="Calibri" w:cs="Calibri"/>
          <w:color w:val="A6A6A6"/>
          <w:sz w:val="22"/>
          <w:szCs w:val="22"/>
          <w:lang w:val="en-US"/>
        </w:rPr>
        <w:t xml:space="preserve"> of proposals to discuss in the follow up conference call</w:t>
      </w:r>
    </w:p>
    <w:p w:rsidR="00360D74" w:rsidRDefault="008732A1">
      <w:pPr>
        <w:spacing w:after="0" w:line="240" w:lineRule="auto"/>
        <w:ind w:left="1620"/>
        <w:rPr>
          <w:rFonts w:ascii="Calibri" w:eastAsia="Calibri" w:hAnsi="Calibri" w:cs="Calibri"/>
          <w:sz w:val="22"/>
          <w:szCs w:val="22"/>
          <w:lang w:val="en-US"/>
        </w:rPr>
      </w:pPr>
      <w:r>
        <w:rPr>
          <w:rFonts w:ascii="Calibri" w:eastAsia="Calibri" w:hAnsi="Calibri" w:cs="Calibri"/>
          <w:color w:val="A6A6A6"/>
          <w:sz w:val="22"/>
          <w:szCs w:val="22"/>
          <w:lang w:val="en-US"/>
        </w:rPr>
        <w:t>Second intermediate deadline (for companies' feedback): Friday 2020-04-24 06:00 UTC</w:t>
      </w:r>
    </w:p>
    <w:p w:rsidR="00360D74" w:rsidRDefault="008732A1">
      <w:pPr>
        <w:spacing w:after="0" w:line="240" w:lineRule="auto"/>
        <w:ind w:left="1620"/>
        <w:rPr>
          <w:rFonts w:ascii="Calibri" w:eastAsia="Calibri" w:hAnsi="Calibri" w:cs="Calibri"/>
          <w:sz w:val="22"/>
          <w:szCs w:val="22"/>
          <w:lang w:val="en-US"/>
        </w:rPr>
      </w:pPr>
      <w:r>
        <w:rPr>
          <w:rFonts w:ascii="Calibri" w:eastAsia="Calibri" w:hAnsi="Calibri" w:cs="Calibri"/>
          <w:color w:val="A6A6A6"/>
          <w:sz w:val="22"/>
          <w:szCs w:val="22"/>
          <w:lang w:val="en-US"/>
        </w:rPr>
        <w:t xml:space="preserve">Second intermediate deadline (for rapporteur's summary in </w:t>
      </w:r>
      <w:hyperlink r:id="rId15" w:tooltip="C:Data3GPPRAN2InboxR2-2003896.zip" w:history="1">
        <w:r>
          <w:rPr>
            <w:rFonts w:ascii="Calibri" w:eastAsia="Calibri" w:hAnsi="Calibri" w:cs="Calibri"/>
            <w:color w:val="A6A6A6"/>
            <w:sz w:val="22"/>
            <w:szCs w:val="22"/>
            <w:u w:val="single"/>
            <w:lang w:val="en-US"/>
          </w:rPr>
          <w:t>R2-2003896</w:t>
        </w:r>
      </w:hyperlink>
      <w:r>
        <w:rPr>
          <w:rFonts w:ascii="Calibri" w:eastAsia="Calibri" w:hAnsi="Calibri" w:cs="Calibri"/>
          <w:color w:val="A6A6A6"/>
          <w:sz w:val="22"/>
          <w:szCs w:val="22"/>
          <w:lang w:val="en-US"/>
        </w:rPr>
        <w:t xml:space="preserve">):  Friday 2020-04-24 10:00 UTC </w:t>
      </w:r>
    </w:p>
    <w:p w:rsidR="00360D74" w:rsidRDefault="008732A1">
      <w:pPr>
        <w:spacing w:after="0" w:line="240" w:lineRule="auto"/>
        <w:ind w:left="1620"/>
        <w:rPr>
          <w:rFonts w:ascii="Calibri" w:eastAsia="Calibri" w:hAnsi="Calibri" w:cs="Calibri"/>
          <w:sz w:val="22"/>
          <w:szCs w:val="22"/>
          <w:lang w:val="en-US"/>
        </w:rPr>
      </w:pPr>
      <w:r>
        <w:rPr>
          <w:rFonts w:ascii="Calibri" w:eastAsia="Calibri" w:hAnsi="Calibri" w:cs="Calibri"/>
          <w:sz w:val="22"/>
          <w:szCs w:val="22"/>
          <w:lang w:val="en-US"/>
        </w:rPr>
        <w:t>Final scope: discuss whether PCI ranges can be optionally broadcast by all cells (both public cells and private cells) and the PCI range validity time</w:t>
      </w:r>
    </w:p>
    <w:p w:rsidR="00360D74" w:rsidRDefault="008732A1">
      <w:pPr>
        <w:spacing w:after="0" w:line="240" w:lineRule="auto"/>
        <w:ind w:left="1620"/>
        <w:rPr>
          <w:rFonts w:ascii="Calibri" w:eastAsia="Calibri" w:hAnsi="Calibri" w:cs="Calibri"/>
          <w:sz w:val="22"/>
          <w:szCs w:val="22"/>
          <w:lang w:val="en-US"/>
        </w:rPr>
      </w:pPr>
      <w:r>
        <w:rPr>
          <w:rFonts w:ascii="Calibri" w:eastAsia="Calibri" w:hAnsi="Calibri" w:cs="Calibri"/>
          <w:sz w:val="22"/>
          <w:szCs w:val="22"/>
          <w:lang w:val="en-US"/>
        </w:rPr>
        <w:t>Final intended outcome: summary of the offline discussion with e.g.:</w:t>
      </w:r>
    </w:p>
    <w:p w:rsidR="00360D74" w:rsidRDefault="008732A1">
      <w:pPr>
        <w:spacing w:after="0" w:line="240" w:lineRule="auto"/>
        <w:ind w:left="1980"/>
        <w:rPr>
          <w:rFonts w:ascii="Calibri" w:eastAsia="Calibri" w:hAnsi="Calibri" w:cs="Calibri"/>
          <w:sz w:val="22"/>
          <w:szCs w:val="22"/>
          <w:lang w:val="en-US"/>
        </w:rPr>
      </w:pPr>
      <w:proofErr w:type="gramStart"/>
      <w:r>
        <w:rPr>
          <w:rFonts w:ascii="Wingdings" w:eastAsia="Calibri" w:hAnsi="Wingdings" w:cs="Calibri"/>
          <w:sz w:val="22"/>
          <w:szCs w:val="22"/>
          <w:lang w:val="en-US"/>
        </w:rPr>
        <w:t></w:t>
      </w:r>
      <w:r>
        <w:rPr>
          <w:rFonts w:eastAsia="Calibri"/>
          <w:sz w:val="14"/>
          <w:szCs w:val="14"/>
          <w:lang w:val="en-US"/>
        </w:rPr>
        <w:t xml:space="preserve">  </w:t>
      </w:r>
      <w:r>
        <w:rPr>
          <w:rFonts w:ascii="Calibri" w:eastAsia="Calibri" w:hAnsi="Calibri" w:cs="Calibri"/>
          <w:sz w:val="22"/>
          <w:szCs w:val="22"/>
          <w:lang w:val="en-US"/>
        </w:rPr>
        <w:t>Set</w:t>
      </w:r>
      <w:proofErr w:type="gramEnd"/>
      <w:r>
        <w:rPr>
          <w:rFonts w:ascii="Calibri" w:eastAsia="Calibri" w:hAnsi="Calibri" w:cs="Calibri"/>
          <w:sz w:val="22"/>
          <w:szCs w:val="22"/>
          <w:lang w:val="en-US"/>
        </w:rPr>
        <w:t xml:space="preserve"> of proposals with full consensus, if any (agreeable over email)</w:t>
      </w:r>
    </w:p>
    <w:p w:rsidR="00360D74" w:rsidRDefault="008732A1">
      <w:pPr>
        <w:spacing w:after="0" w:line="240" w:lineRule="auto"/>
        <w:ind w:left="1980"/>
        <w:rPr>
          <w:rFonts w:ascii="Calibri" w:eastAsia="Calibri" w:hAnsi="Calibri" w:cs="Calibri"/>
          <w:sz w:val="22"/>
          <w:szCs w:val="22"/>
          <w:lang w:val="en-US"/>
        </w:rPr>
      </w:pPr>
      <w:proofErr w:type="gramStart"/>
      <w:r>
        <w:rPr>
          <w:rFonts w:ascii="Wingdings" w:eastAsia="Calibri" w:hAnsi="Wingdings" w:cs="Calibri"/>
          <w:sz w:val="22"/>
          <w:szCs w:val="22"/>
          <w:lang w:val="en-US"/>
        </w:rPr>
        <w:t></w:t>
      </w:r>
      <w:r>
        <w:rPr>
          <w:rFonts w:eastAsia="Calibri"/>
          <w:sz w:val="14"/>
          <w:szCs w:val="14"/>
          <w:lang w:val="en-US"/>
        </w:rPr>
        <w:t xml:space="preserve">  </w:t>
      </w:r>
      <w:r>
        <w:rPr>
          <w:rFonts w:ascii="Calibri" w:eastAsia="Calibri" w:hAnsi="Calibri" w:cs="Calibri"/>
          <w:sz w:val="22"/>
          <w:szCs w:val="22"/>
          <w:lang w:val="en-US"/>
        </w:rPr>
        <w:t>Set</w:t>
      </w:r>
      <w:proofErr w:type="gramEnd"/>
      <w:r>
        <w:rPr>
          <w:rFonts w:ascii="Calibri" w:eastAsia="Calibri" w:hAnsi="Calibri" w:cs="Calibri"/>
          <w:sz w:val="22"/>
          <w:szCs w:val="22"/>
          <w:lang w:val="en-US"/>
        </w:rPr>
        <w:t xml:space="preserve"> of proposals to postpone to after the meeting</w:t>
      </w:r>
    </w:p>
    <w:p w:rsidR="00360D74" w:rsidRDefault="008732A1">
      <w:pPr>
        <w:spacing w:after="0" w:line="240" w:lineRule="auto"/>
        <w:ind w:left="1620"/>
        <w:rPr>
          <w:rFonts w:ascii="Calibri" w:eastAsia="Calibri" w:hAnsi="Calibri" w:cs="Calibri"/>
          <w:color w:val="FF0000"/>
          <w:sz w:val="22"/>
          <w:szCs w:val="22"/>
          <w:lang w:val="en-US"/>
        </w:rPr>
      </w:pPr>
      <w:r>
        <w:rPr>
          <w:rFonts w:ascii="Calibri" w:eastAsia="Calibri" w:hAnsi="Calibri" w:cs="Calibri"/>
          <w:color w:val="FF0000"/>
          <w:sz w:val="22"/>
          <w:szCs w:val="22"/>
          <w:lang w:val="en-US"/>
        </w:rPr>
        <w:t>Final deadline (for companies' feedback): Wednesday 2020-04-29 10:00 UTC</w:t>
      </w:r>
    </w:p>
    <w:p w:rsidR="00360D74" w:rsidRDefault="008732A1">
      <w:pPr>
        <w:spacing w:after="0" w:line="240" w:lineRule="auto"/>
        <w:ind w:left="1620"/>
        <w:rPr>
          <w:rFonts w:ascii="Calibri" w:eastAsia="Calibri" w:hAnsi="Calibri" w:cs="Calibri"/>
          <w:sz w:val="22"/>
          <w:szCs w:val="22"/>
          <w:lang w:val="en-US"/>
        </w:rPr>
      </w:pPr>
      <w:r>
        <w:rPr>
          <w:rFonts w:ascii="Calibri" w:eastAsia="Calibri" w:hAnsi="Calibri" w:cs="Calibri"/>
          <w:sz w:val="22"/>
          <w:szCs w:val="22"/>
          <w:lang w:val="en-US"/>
        </w:rPr>
        <w:t xml:space="preserve">Final deadline (for rapporteur's summary in </w:t>
      </w:r>
      <w:r>
        <w:rPr>
          <w:rFonts w:ascii="Calibri" w:eastAsia="Calibri" w:hAnsi="Calibri" w:cs="Calibri"/>
          <w:sz w:val="22"/>
          <w:szCs w:val="22"/>
          <w:shd w:val="clear" w:color="auto" w:fill="FFFF00"/>
          <w:lang w:val="en-US"/>
        </w:rPr>
        <w:t>R2-2003907</w:t>
      </w:r>
      <w:r>
        <w:rPr>
          <w:rFonts w:ascii="Calibri" w:eastAsia="Calibri" w:hAnsi="Calibri" w:cs="Calibri"/>
          <w:sz w:val="22"/>
          <w:szCs w:val="22"/>
          <w:lang w:val="en-US"/>
        </w:rPr>
        <w:t>):  Wednesday 2020-04-29 16:00 UTC</w:t>
      </w:r>
    </w:p>
    <w:p w:rsidR="00360D74" w:rsidRDefault="008732A1">
      <w:pPr>
        <w:spacing w:after="0" w:line="240" w:lineRule="auto"/>
        <w:ind w:left="1620"/>
        <w:rPr>
          <w:rFonts w:ascii="Calibri" w:eastAsia="Calibri" w:hAnsi="Calibri" w:cs="Calibri"/>
          <w:sz w:val="22"/>
          <w:szCs w:val="22"/>
          <w:lang w:val="en-US"/>
        </w:rPr>
      </w:pPr>
      <w:r>
        <w:rPr>
          <w:rFonts w:ascii="Calibri" w:eastAsia="Calibri" w:hAnsi="Calibri" w:cs="Calibri"/>
          <w:sz w:val="22"/>
          <w:szCs w:val="22"/>
          <w:u w:val="single"/>
          <w:lang w:val="en-US"/>
        </w:rPr>
        <w:t xml:space="preserve">Proposed agreements in </w:t>
      </w:r>
      <w:r>
        <w:rPr>
          <w:rFonts w:ascii="Calibri" w:eastAsia="Calibri" w:hAnsi="Calibri" w:cs="Calibri"/>
          <w:sz w:val="22"/>
          <w:szCs w:val="22"/>
          <w:u w:val="single"/>
          <w:shd w:val="clear" w:color="auto" w:fill="FFFF00"/>
          <w:lang w:val="en-US"/>
        </w:rPr>
        <w:t>R2-2003907</w:t>
      </w:r>
      <w:r>
        <w:rPr>
          <w:rFonts w:ascii="Calibri" w:eastAsia="Calibri" w:hAnsi="Calibri" w:cs="Calibri"/>
          <w:sz w:val="22"/>
          <w:szCs w:val="22"/>
          <w:u w:val="single"/>
          <w:lang w:val="en-US"/>
        </w:rPr>
        <w:t xml:space="preserve"> indicated for email agreement and not challenged until Thursday 2020-04-30 06:00 UTC will be declared as agreed by the session chair. For the other ones, the discussion will continue after the meeting.</w:t>
      </w:r>
    </w:p>
    <w:p w:rsidR="00360D74" w:rsidRDefault="00360D74">
      <w:pPr>
        <w:spacing w:after="0"/>
      </w:pPr>
    </w:p>
    <w:p w:rsidR="00360D74" w:rsidRDefault="008732A1">
      <w:pPr>
        <w:pStyle w:val="Heading1"/>
      </w:pPr>
      <w:r>
        <w:lastRenderedPageBreak/>
        <w:t>2</w:t>
      </w:r>
      <w:r>
        <w:tab/>
        <w:t>Discussion</w:t>
      </w:r>
    </w:p>
    <w:p w:rsidR="00360D74" w:rsidRDefault="008732A1">
      <w:pPr>
        <w:pStyle w:val="Heading2"/>
      </w:pPr>
      <w:r>
        <w:t>2.1</w:t>
      </w:r>
      <w:r>
        <w:tab/>
        <w:t>Broadcasting PCI ranges for CAGs by all cells</w:t>
      </w:r>
    </w:p>
    <w:p w:rsidR="00360D74" w:rsidRDefault="008732A1">
      <w:r>
        <w:rPr>
          <w:b/>
          <w:bCs/>
        </w:rPr>
        <w:t xml:space="preserve">Open issue description: </w:t>
      </w:r>
      <w:r>
        <w:t>It is FFS whether any cells including PLMN cells that do not support CAG IDs can optionally broadcast the PCI ranges for CAG cells.</w:t>
      </w:r>
    </w:p>
    <w:p w:rsidR="00360D74" w:rsidRDefault="008732A1">
      <w:r>
        <w:rPr>
          <w:b/>
          <w:bCs/>
        </w:rPr>
        <w:t>Background:</w:t>
      </w:r>
      <w:r>
        <w:t xml:space="preserve"> During the RAN2#109bis online session the following was agreed</w:t>
      </w:r>
    </w:p>
    <w:p w:rsidR="00360D74" w:rsidRDefault="008732A1">
      <w:pPr>
        <w:ind w:left="284"/>
      </w:pPr>
      <w:r>
        <w:t>The PCI range(s) can be optionally signalled per PLMN and per frequency when the CAG cell is shared among different PLMNs</w:t>
      </w:r>
    </w:p>
    <w:p w:rsidR="00360D74" w:rsidRDefault="00360D74">
      <w:pPr>
        <w:rPr>
          <w:b/>
          <w:bCs/>
        </w:rPr>
      </w:pPr>
    </w:p>
    <w:p w:rsidR="00360D74" w:rsidRDefault="008732A1">
      <w:r>
        <w:rPr>
          <w:b/>
          <w:bCs/>
        </w:rPr>
        <w:t>Question 1a:</w:t>
      </w:r>
      <w:r>
        <w:t xml:space="preserve"> Do you agree that a PLMN cell that is </w:t>
      </w:r>
      <w:r>
        <w:rPr>
          <w:u w:val="single"/>
        </w:rPr>
        <w:t>not a shared cell and supports CAGs can</w:t>
      </w:r>
      <w:r>
        <w:t xml:space="preserve"> optionally broadcast PCI ranges for CAGs per frequency as agreed for CAG cells that are shared among different PLMNs?</w:t>
      </w:r>
    </w:p>
    <w:p w:rsidR="00360D74" w:rsidRDefault="008732A1">
      <w:r>
        <w:rPr>
          <w:b/>
          <w:bCs/>
        </w:rPr>
        <w:t>Question 1b:</w:t>
      </w:r>
      <w:r>
        <w:t xml:space="preserve"> Do you agree that a PLMN cell that </w:t>
      </w:r>
      <w:r>
        <w:rPr>
          <w:u w:val="single"/>
        </w:rPr>
        <w:t>does not support CAGs</w:t>
      </w:r>
      <w:r>
        <w:t xml:space="preserve"> can optionally broadcast PCI ranges for CAG cells per PLMN and per frequency as agreed for CAG cells that are shared among different PLMNs?</w:t>
      </w:r>
    </w:p>
    <w:tbl>
      <w:tblPr>
        <w:tblStyle w:val="TableGrid"/>
        <w:tblW w:w="9715" w:type="dxa"/>
        <w:tblLayout w:type="fixed"/>
        <w:tblLook w:val="04A0" w:firstRow="1" w:lastRow="0" w:firstColumn="1" w:lastColumn="0" w:noHBand="0" w:noVBand="1"/>
      </w:tblPr>
      <w:tblGrid>
        <w:gridCol w:w="1227"/>
        <w:gridCol w:w="748"/>
        <w:gridCol w:w="810"/>
        <w:gridCol w:w="6930"/>
      </w:tblGrid>
      <w:tr w:rsidR="00360D74">
        <w:tc>
          <w:tcPr>
            <w:tcW w:w="1227" w:type="dxa"/>
            <w:vAlign w:val="center"/>
          </w:tcPr>
          <w:p w:rsidR="00360D74" w:rsidRDefault="008732A1">
            <w:pPr>
              <w:pStyle w:val="TAC"/>
              <w:jc w:val="left"/>
              <w:rPr>
                <w:rFonts w:ascii="Times New Roman" w:hAnsi="Times New Roman"/>
                <w:b/>
                <w:bCs/>
                <w:sz w:val="20"/>
              </w:rPr>
            </w:pPr>
            <w:r>
              <w:rPr>
                <w:rFonts w:ascii="Times New Roman" w:hAnsi="Times New Roman"/>
                <w:b/>
                <w:bCs/>
                <w:sz w:val="20"/>
              </w:rPr>
              <w:lastRenderedPageBreak/>
              <w:t>Company</w:t>
            </w:r>
          </w:p>
        </w:tc>
        <w:tc>
          <w:tcPr>
            <w:tcW w:w="748" w:type="dxa"/>
          </w:tcPr>
          <w:p w:rsidR="00360D74" w:rsidRDefault="008732A1">
            <w:pPr>
              <w:pStyle w:val="TAC"/>
              <w:jc w:val="left"/>
              <w:rPr>
                <w:rFonts w:ascii="Times New Roman" w:hAnsi="Times New Roman"/>
                <w:b/>
                <w:bCs/>
                <w:sz w:val="20"/>
              </w:rPr>
            </w:pPr>
            <w:r>
              <w:rPr>
                <w:rFonts w:ascii="Times New Roman" w:hAnsi="Times New Roman"/>
                <w:b/>
                <w:bCs/>
                <w:sz w:val="20"/>
              </w:rPr>
              <w:t>Q1a</w:t>
            </w:r>
          </w:p>
        </w:tc>
        <w:tc>
          <w:tcPr>
            <w:tcW w:w="810" w:type="dxa"/>
            <w:vAlign w:val="center"/>
          </w:tcPr>
          <w:p w:rsidR="00360D74" w:rsidRDefault="008732A1">
            <w:pPr>
              <w:pStyle w:val="TAC"/>
              <w:jc w:val="left"/>
              <w:rPr>
                <w:rFonts w:ascii="Times New Roman" w:hAnsi="Times New Roman"/>
                <w:b/>
                <w:bCs/>
                <w:sz w:val="20"/>
              </w:rPr>
            </w:pPr>
            <w:r>
              <w:rPr>
                <w:rFonts w:ascii="Times New Roman" w:hAnsi="Times New Roman"/>
                <w:b/>
                <w:bCs/>
                <w:sz w:val="20"/>
              </w:rPr>
              <w:t>Q1b</w:t>
            </w:r>
          </w:p>
        </w:tc>
        <w:tc>
          <w:tcPr>
            <w:tcW w:w="6930" w:type="dxa"/>
            <w:vAlign w:val="center"/>
          </w:tcPr>
          <w:p w:rsidR="00360D74" w:rsidRDefault="008732A1">
            <w:pPr>
              <w:pStyle w:val="TAC"/>
              <w:jc w:val="left"/>
              <w:rPr>
                <w:rFonts w:ascii="Times New Roman" w:hAnsi="Times New Roman"/>
                <w:b/>
                <w:bCs/>
                <w:sz w:val="20"/>
              </w:rPr>
            </w:pPr>
            <w:r>
              <w:rPr>
                <w:rFonts w:ascii="Times New Roman" w:hAnsi="Times New Roman"/>
                <w:b/>
                <w:bCs/>
                <w:sz w:val="20"/>
              </w:rPr>
              <w:t>Comment</w:t>
            </w:r>
          </w:p>
        </w:tc>
      </w:tr>
      <w:tr w:rsidR="00360D74">
        <w:tc>
          <w:tcPr>
            <w:tcW w:w="1227" w:type="dxa"/>
            <w:vAlign w:val="center"/>
          </w:tcPr>
          <w:p w:rsidR="00360D74" w:rsidRDefault="008732A1">
            <w:pPr>
              <w:pStyle w:val="TAC"/>
              <w:jc w:val="left"/>
              <w:rPr>
                <w:rFonts w:ascii="Times New Roman" w:hAnsi="Times New Roman"/>
                <w:sz w:val="20"/>
              </w:rPr>
            </w:pPr>
            <w:r>
              <w:rPr>
                <w:rFonts w:ascii="Times New Roman" w:hAnsi="Times New Roman"/>
                <w:sz w:val="20"/>
              </w:rPr>
              <w:t>Ericsson</w:t>
            </w:r>
          </w:p>
        </w:tc>
        <w:tc>
          <w:tcPr>
            <w:tcW w:w="748" w:type="dxa"/>
          </w:tcPr>
          <w:p w:rsidR="00360D74" w:rsidRDefault="008732A1">
            <w:pPr>
              <w:pStyle w:val="TAC"/>
              <w:jc w:val="left"/>
              <w:rPr>
                <w:rFonts w:ascii="Times New Roman" w:hAnsi="Times New Roman"/>
                <w:sz w:val="20"/>
              </w:rPr>
            </w:pPr>
            <w:r>
              <w:rPr>
                <w:rFonts w:ascii="Times New Roman" w:hAnsi="Times New Roman"/>
                <w:sz w:val="20"/>
              </w:rPr>
              <w:t>Y</w:t>
            </w:r>
          </w:p>
        </w:tc>
        <w:tc>
          <w:tcPr>
            <w:tcW w:w="810" w:type="dxa"/>
          </w:tcPr>
          <w:p w:rsidR="00360D74" w:rsidRDefault="008732A1">
            <w:pPr>
              <w:pStyle w:val="TAC"/>
              <w:jc w:val="left"/>
              <w:rPr>
                <w:rFonts w:ascii="Times New Roman" w:hAnsi="Times New Roman"/>
                <w:sz w:val="20"/>
              </w:rPr>
            </w:pPr>
            <w:r>
              <w:rPr>
                <w:rFonts w:ascii="Times New Roman" w:hAnsi="Times New Roman"/>
                <w:sz w:val="20"/>
              </w:rPr>
              <w:t>N?</w:t>
            </w:r>
          </w:p>
          <w:p w:rsidR="00360D74" w:rsidRDefault="00360D74">
            <w:pPr>
              <w:pStyle w:val="TAC"/>
              <w:jc w:val="left"/>
              <w:rPr>
                <w:rFonts w:ascii="Times New Roman" w:hAnsi="Times New Roman"/>
                <w:sz w:val="20"/>
              </w:rPr>
            </w:pPr>
          </w:p>
          <w:p w:rsidR="00360D74" w:rsidRDefault="008732A1">
            <w:pPr>
              <w:pStyle w:val="TAC"/>
              <w:jc w:val="left"/>
              <w:rPr>
                <w:rFonts w:ascii="Times New Roman" w:hAnsi="Times New Roman"/>
                <w:sz w:val="20"/>
              </w:rPr>
            </w:pPr>
            <w:r>
              <w:rPr>
                <w:rFonts w:ascii="Times New Roman" w:hAnsi="Times New Roman"/>
                <w:sz w:val="20"/>
              </w:rPr>
              <w:t>(Does not seem needed)</w:t>
            </w:r>
          </w:p>
        </w:tc>
        <w:tc>
          <w:tcPr>
            <w:tcW w:w="6930" w:type="dxa"/>
            <w:vAlign w:val="center"/>
          </w:tcPr>
          <w:p w:rsidR="00360D74" w:rsidRDefault="008732A1">
            <w:pPr>
              <w:pStyle w:val="TAC"/>
              <w:jc w:val="left"/>
              <w:rPr>
                <w:rFonts w:ascii="Times New Roman" w:hAnsi="Times New Roman"/>
                <w:sz w:val="20"/>
              </w:rPr>
            </w:pPr>
            <w:r>
              <w:rPr>
                <w:rFonts w:ascii="Times New Roman" w:hAnsi="Times New Roman"/>
                <w:sz w:val="20"/>
              </w:rPr>
              <w:t>We assume the PCI range will contain the PCIs used by CAG cells and the PCIs outside the range will be used by the public cells. The PCI range will then be used like this:</w:t>
            </w:r>
          </w:p>
          <w:p w:rsidR="00360D74" w:rsidRDefault="00360D74">
            <w:pPr>
              <w:pStyle w:val="TAC"/>
              <w:jc w:val="left"/>
              <w:rPr>
                <w:rFonts w:ascii="Times New Roman" w:hAnsi="Times New Roman"/>
                <w:sz w:val="20"/>
              </w:rPr>
            </w:pPr>
          </w:p>
          <w:p w:rsidR="00360D74" w:rsidRDefault="008732A1">
            <w:pPr>
              <w:pStyle w:val="TAC"/>
              <w:numPr>
                <w:ilvl w:val="0"/>
                <w:numId w:val="2"/>
              </w:numPr>
              <w:jc w:val="left"/>
              <w:rPr>
                <w:rFonts w:ascii="Times New Roman" w:hAnsi="Times New Roman"/>
                <w:sz w:val="20"/>
              </w:rPr>
            </w:pPr>
            <w:r>
              <w:rPr>
                <w:rFonts w:ascii="Times New Roman" w:hAnsi="Times New Roman"/>
                <w:sz w:val="20"/>
              </w:rPr>
              <w:t xml:space="preserve">A CAG UE w/ CAG only indication only need to consider cells inside the PCI range when it searches for cells. </w:t>
            </w:r>
          </w:p>
          <w:p w:rsidR="00360D74" w:rsidRDefault="00360D74">
            <w:pPr>
              <w:pStyle w:val="TAC"/>
              <w:ind w:left="720"/>
              <w:jc w:val="left"/>
              <w:rPr>
                <w:rFonts w:ascii="Times New Roman" w:hAnsi="Times New Roman"/>
                <w:sz w:val="20"/>
              </w:rPr>
            </w:pPr>
          </w:p>
          <w:p w:rsidR="00360D74" w:rsidRDefault="008732A1">
            <w:pPr>
              <w:pStyle w:val="TAC"/>
              <w:numPr>
                <w:ilvl w:val="0"/>
                <w:numId w:val="2"/>
              </w:numPr>
              <w:jc w:val="left"/>
              <w:rPr>
                <w:rFonts w:ascii="Times New Roman" w:hAnsi="Times New Roman"/>
                <w:sz w:val="20"/>
              </w:rPr>
            </w:pPr>
            <w:r>
              <w:rPr>
                <w:rFonts w:ascii="Times New Roman" w:hAnsi="Times New Roman"/>
                <w:sz w:val="20"/>
              </w:rPr>
              <w:t xml:space="preserve">A CAG UE w/o CAG only indication considers all cells since it </w:t>
            </w:r>
            <w:proofErr w:type="gramStart"/>
            <w:r>
              <w:rPr>
                <w:rFonts w:ascii="Times New Roman" w:hAnsi="Times New Roman"/>
                <w:sz w:val="20"/>
              </w:rPr>
              <w:t>camp</w:t>
            </w:r>
            <w:proofErr w:type="gramEnd"/>
            <w:r>
              <w:rPr>
                <w:rFonts w:ascii="Times New Roman" w:hAnsi="Times New Roman"/>
                <w:sz w:val="20"/>
              </w:rPr>
              <w:t xml:space="preserve"> on both public and CAG cells.</w:t>
            </w:r>
          </w:p>
          <w:p w:rsidR="00360D74" w:rsidRDefault="00360D74">
            <w:pPr>
              <w:pStyle w:val="ListParagraph"/>
            </w:pPr>
          </w:p>
          <w:p w:rsidR="00360D74" w:rsidRDefault="008732A1">
            <w:pPr>
              <w:pStyle w:val="TAC"/>
              <w:numPr>
                <w:ilvl w:val="0"/>
                <w:numId w:val="2"/>
              </w:numPr>
              <w:jc w:val="left"/>
              <w:rPr>
                <w:rFonts w:ascii="Times New Roman" w:hAnsi="Times New Roman"/>
                <w:sz w:val="20"/>
              </w:rPr>
            </w:pPr>
            <w:r>
              <w:rPr>
                <w:rFonts w:ascii="Times New Roman" w:hAnsi="Times New Roman"/>
                <w:sz w:val="20"/>
              </w:rPr>
              <w:t xml:space="preserve">A non-CAG UE considers all cells since some of the cells within the PCI range may be “hybrid” cells (hybrid cells are not supported in Rel-16 but we may want to support it in the future) </w:t>
            </w:r>
          </w:p>
          <w:p w:rsidR="00360D74" w:rsidRDefault="00360D74"/>
          <w:p w:rsidR="00360D74" w:rsidRDefault="008732A1">
            <w:pPr>
              <w:pStyle w:val="TAC"/>
              <w:jc w:val="left"/>
              <w:rPr>
                <w:rFonts w:ascii="Times New Roman" w:hAnsi="Times New Roman"/>
                <w:sz w:val="20"/>
              </w:rPr>
            </w:pPr>
            <w:r>
              <w:rPr>
                <w:rFonts w:ascii="Times New Roman" w:hAnsi="Times New Roman"/>
                <w:sz w:val="20"/>
              </w:rPr>
              <w:t>If no PCI range information is configured the UE does not make any assumption whether a cell is a public or CAG cell based on PCI, i.e. all cells need to be considered during the cell search regardless of whether the UE is a CAG or non-CAG UE or whether the CAG only indication is set or not.</w:t>
            </w:r>
          </w:p>
          <w:p w:rsidR="00360D74" w:rsidRDefault="00360D74">
            <w:pPr>
              <w:pStyle w:val="TAC"/>
              <w:jc w:val="left"/>
              <w:rPr>
                <w:rFonts w:ascii="Times New Roman" w:hAnsi="Times New Roman"/>
                <w:sz w:val="20"/>
              </w:rPr>
            </w:pPr>
          </w:p>
          <w:p w:rsidR="00360D74" w:rsidRDefault="008732A1">
            <w:pPr>
              <w:pStyle w:val="TAC"/>
              <w:jc w:val="left"/>
              <w:rPr>
                <w:rFonts w:ascii="Times New Roman" w:hAnsi="Times New Roman"/>
                <w:sz w:val="20"/>
              </w:rPr>
            </w:pPr>
            <w:r>
              <w:rPr>
                <w:rFonts w:ascii="Times New Roman" w:hAnsi="Times New Roman"/>
                <w:sz w:val="20"/>
              </w:rPr>
              <w:t xml:space="preserve">Based on the above analysis it seems the PCI range information only provide a benefit for the CAG UEs w/ CAG only indication. But these UEs would never camp on a public cell (except for emergency) so it doesn’t seem necessary to broadcast PCI range information in such cells. </w:t>
            </w:r>
          </w:p>
          <w:p w:rsidR="00360D74" w:rsidRDefault="00360D74">
            <w:pPr>
              <w:pStyle w:val="TAC"/>
              <w:jc w:val="left"/>
              <w:rPr>
                <w:rFonts w:ascii="Times New Roman" w:hAnsi="Times New Roman"/>
                <w:sz w:val="20"/>
              </w:rPr>
            </w:pPr>
          </w:p>
        </w:tc>
      </w:tr>
      <w:tr w:rsidR="00360D74">
        <w:tc>
          <w:tcPr>
            <w:tcW w:w="1227" w:type="dxa"/>
            <w:vAlign w:val="center"/>
          </w:tcPr>
          <w:p w:rsidR="00360D74" w:rsidRDefault="008732A1">
            <w:pPr>
              <w:pStyle w:val="TAC"/>
              <w:jc w:val="left"/>
              <w:rPr>
                <w:rFonts w:ascii="Times New Roman" w:hAnsi="Times New Roman"/>
                <w:sz w:val="20"/>
                <w:lang w:eastAsia="zh-CN"/>
              </w:rPr>
            </w:pPr>
            <w:r>
              <w:rPr>
                <w:rFonts w:ascii="Times New Roman" w:hAnsi="Times New Roman"/>
                <w:sz w:val="20"/>
              </w:rPr>
              <w:t>Intel</w:t>
            </w:r>
          </w:p>
        </w:tc>
        <w:tc>
          <w:tcPr>
            <w:tcW w:w="748" w:type="dxa"/>
          </w:tcPr>
          <w:p w:rsidR="00360D74" w:rsidRDefault="008732A1">
            <w:pPr>
              <w:pStyle w:val="TAC"/>
              <w:jc w:val="left"/>
              <w:rPr>
                <w:rFonts w:ascii="Times New Roman" w:hAnsi="Times New Roman"/>
                <w:sz w:val="20"/>
                <w:lang w:eastAsia="zh-CN"/>
              </w:rPr>
            </w:pPr>
            <w:r>
              <w:rPr>
                <w:rFonts w:ascii="Times New Roman" w:hAnsi="Times New Roman"/>
                <w:sz w:val="20"/>
              </w:rPr>
              <w:t>Yes</w:t>
            </w:r>
          </w:p>
        </w:tc>
        <w:tc>
          <w:tcPr>
            <w:tcW w:w="810" w:type="dxa"/>
            <w:vAlign w:val="center"/>
          </w:tcPr>
          <w:p w:rsidR="00360D74" w:rsidRDefault="008732A1">
            <w:pPr>
              <w:pStyle w:val="TAC"/>
              <w:jc w:val="left"/>
              <w:rPr>
                <w:rFonts w:ascii="Times New Roman" w:hAnsi="Times New Roman"/>
                <w:sz w:val="20"/>
                <w:lang w:eastAsia="zh-CN"/>
              </w:rPr>
            </w:pPr>
            <w:r>
              <w:rPr>
                <w:rFonts w:ascii="Times New Roman" w:hAnsi="Times New Roman"/>
                <w:sz w:val="20"/>
              </w:rPr>
              <w:t>Yes</w:t>
            </w:r>
          </w:p>
        </w:tc>
        <w:tc>
          <w:tcPr>
            <w:tcW w:w="6930" w:type="dxa"/>
            <w:vAlign w:val="center"/>
          </w:tcPr>
          <w:p w:rsidR="00360D74" w:rsidRDefault="008732A1">
            <w:pPr>
              <w:pStyle w:val="TAC"/>
              <w:jc w:val="left"/>
              <w:rPr>
                <w:rFonts w:ascii="Times New Roman" w:hAnsi="Times New Roman"/>
                <w:sz w:val="20"/>
                <w:lang w:eastAsia="zh-CN"/>
              </w:rPr>
            </w:pPr>
            <w:r>
              <w:rPr>
                <w:rFonts w:ascii="Times New Roman" w:hAnsi="Times New Roman"/>
                <w:sz w:val="20"/>
              </w:rPr>
              <w:t>We do not see why there is a need of restriction to provide such information by a cell.  It is basically just providing a neighbour cell list to assist the CAG capable UE with non-empty allowed CAG list to find CAG cells.  UE should still follow best and highest rank cell concept in cell reselection.</w:t>
            </w:r>
          </w:p>
        </w:tc>
      </w:tr>
      <w:tr w:rsidR="00360D74">
        <w:tc>
          <w:tcPr>
            <w:tcW w:w="1227" w:type="dxa"/>
            <w:vAlign w:val="center"/>
          </w:tcPr>
          <w:p w:rsidR="00360D74" w:rsidRDefault="008732A1">
            <w:pPr>
              <w:pStyle w:val="TAC"/>
              <w:jc w:val="left"/>
              <w:rPr>
                <w:rFonts w:ascii="Times New Roman" w:hAnsi="Times New Roman"/>
                <w:sz w:val="20"/>
                <w:lang w:eastAsia="zh-CN"/>
              </w:rPr>
            </w:pPr>
            <w:r>
              <w:rPr>
                <w:rFonts w:ascii="Times New Roman" w:hAnsi="Times New Roman"/>
                <w:sz w:val="20"/>
                <w:lang w:eastAsia="zh-CN"/>
              </w:rPr>
              <w:t>Nokia</w:t>
            </w:r>
          </w:p>
        </w:tc>
        <w:tc>
          <w:tcPr>
            <w:tcW w:w="748" w:type="dxa"/>
          </w:tcPr>
          <w:p w:rsidR="00360D74" w:rsidRDefault="008732A1">
            <w:pPr>
              <w:pStyle w:val="TAC"/>
              <w:jc w:val="left"/>
              <w:rPr>
                <w:rFonts w:ascii="Times New Roman" w:hAnsi="Times New Roman"/>
                <w:sz w:val="20"/>
                <w:lang w:eastAsia="zh-CN"/>
              </w:rPr>
            </w:pPr>
            <w:r>
              <w:rPr>
                <w:rFonts w:ascii="Times New Roman" w:hAnsi="Times New Roman"/>
                <w:sz w:val="20"/>
                <w:lang w:eastAsia="zh-CN"/>
              </w:rPr>
              <w:t>Yes</w:t>
            </w:r>
          </w:p>
        </w:tc>
        <w:tc>
          <w:tcPr>
            <w:tcW w:w="810" w:type="dxa"/>
            <w:vAlign w:val="center"/>
          </w:tcPr>
          <w:p w:rsidR="00360D74" w:rsidRDefault="008732A1">
            <w:pPr>
              <w:pStyle w:val="TAC"/>
              <w:jc w:val="left"/>
              <w:rPr>
                <w:rFonts w:ascii="Times New Roman" w:hAnsi="Times New Roman"/>
                <w:sz w:val="20"/>
                <w:lang w:eastAsia="zh-CN"/>
              </w:rPr>
            </w:pPr>
            <w:r>
              <w:rPr>
                <w:rFonts w:ascii="Times New Roman" w:hAnsi="Times New Roman"/>
                <w:sz w:val="20"/>
                <w:lang w:eastAsia="zh-CN"/>
              </w:rPr>
              <w:t>No?</w:t>
            </w:r>
          </w:p>
        </w:tc>
        <w:tc>
          <w:tcPr>
            <w:tcW w:w="6930" w:type="dxa"/>
            <w:vAlign w:val="center"/>
          </w:tcPr>
          <w:p w:rsidR="00360D74" w:rsidRDefault="008732A1">
            <w:pPr>
              <w:pStyle w:val="TAC"/>
              <w:jc w:val="left"/>
              <w:rPr>
                <w:rFonts w:ascii="Times New Roman" w:hAnsi="Times New Roman"/>
                <w:sz w:val="20"/>
                <w:lang w:eastAsia="zh-CN"/>
              </w:rPr>
            </w:pPr>
            <w:r>
              <w:rPr>
                <w:rFonts w:ascii="Times New Roman" w:hAnsi="Times New Roman"/>
                <w:sz w:val="20"/>
                <w:lang w:eastAsia="zh-CN"/>
              </w:rPr>
              <w:t>We also think that PCI range for CAG cells are only beneficial for CAG UEs with CAG only indication, but this type of UEs will never camp on a PLMN cell that does not support CAGs. Therefore, advertising PCI ranges for CAG cells do not seem necessary.</w:t>
            </w:r>
          </w:p>
        </w:tc>
      </w:tr>
      <w:tr w:rsidR="00360D74">
        <w:tc>
          <w:tcPr>
            <w:tcW w:w="1227" w:type="dxa"/>
            <w:vAlign w:val="center"/>
          </w:tcPr>
          <w:p w:rsidR="00360D74" w:rsidRDefault="008732A1">
            <w:pPr>
              <w:pStyle w:val="TAC"/>
              <w:jc w:val="left"/>
              <w:rPr>
                <w:rFonts w:ascii="Times New Roman" w:hAnsi="Times New Roman"/>
                <w:sz w:val="20"/>
                <w:lang w:eastAsia="zh-CN"/>
              </w:rPr>
            </w:pPr>
            <w:r>
              <w:rPr>
                <w:rFonts w:ascii="Times New Roman" w:hAnsi="Times New Roman"/>
                <w:sz w:val="20"/>
                <w:lang w:eastAsia="zh-CN"/>
              </w:rPr>
              <w:t>Sony</w:t>
            </w:r>
          </w:p>
        </w:tc>
        <w:tc>
          <w:tcPr>
            <w:tcW w:w="748" w:type="dxa"/>
          </w:tcPr>
          <w:p w:rsidR="00360D74" w:rsidRDefault="008732A1">
            <w:pPr>
              <w:pStyle w:val="TAC"/>
              <w:jc w:val="left"/>
              <w:rPr>
                <w:rFonts w:ascii="Times New Roman" w:hAnsi="Times New Roman"/>
                <w:sz w:val="20"/>
                <w:lang w:eastAsia="zh-CN"/>
              </w:rPr>
            </w:pPr>
            <w:r>
              <w:rPr>
                <w:rFonts w:ascii="Times New Roman" w:hAnsi="Times New Roman"/>
                <w:sz w:val="20"/>
                <w:lang w:eastAsia="zh-CN"/>
              </w:rPr>
              <w:t>Yes</w:t>
            </w:r>
          </w:p>
        </w:tc>
        <w:tc>
          <w:tcPr>
            <w:tcW w:w="810" w:type="dxa"/>
            <w:vAlign w:val="center"/>
          </w:tcPr>
          <w:p w:rsidR="00360D74" w:rsidRDefault="008732A1">
            <w:pPr>
              <w:pStyle w:val="TAC"/>
              <w:jc w:val="left"/>
              <w:rPr>
                <w:rFonts w:ascii="Times New Roman" w:hAnsi="Times New Roman"/>
                <w:sz w:val="20"/>
                <w:lang w:eastAsia="zh-CN"/>
              </w:rPr>
            </w:pPr>
            <w:r>
              <w:rPr>
                <w:rFonts w:ascii="Times New Roman" w:hAnsi="Times New Roman"/>
                <w:sz w:val="20"/>
                <w:lang w:eastAsia="zh-CN"/>
              </w:rPr>
              <w:t>Yes</w:t>
            </w:r>
          </w:p>
        </w:tc>
        <w:tc>
          <w:tcPr>
            <w:tcW w:w="6930" w:type="dxa"/>
            <w:vAlign w:val="center"/>
          </w:tcPr>
          <w:p w:rsidR="00360D74" w:rsidRDefault="008732A1">
            <w:pPr>
              <w:pStyle w:val="TAC"/>
              <w:jc w:val="left"/>
              <w:rPr>
                <w:rFonts w:ascii="Times New Roman" w:hAnsi="Times New Roman"/>
                <w:sz w:val="20"/>
              </w:rPr>
            </w:pPr>
            <w:r>
              <w:rPr>
                <w:rFonts w:ascii="Times New Roman" w:hAnsi="Times New Roman"/>
                <w:sz w:val="20"/>
              </w:rPr>
              <w:t>Agree with Intel.</w:t>
            </w:r>
          </w:p>
          <w:p w:rsidR="00360D74" w:rsidRDefault="008732A1">
            <w:pPr>
              <w:pStyle w:val="TAC"/>
              <w:jc w:val="left"/>
              <w:rPr>
                <w:rFonts w:ascii="Times New Roman" w:hAnsi="Times New Roman"/>
                <w:sz w:val="20"/>
                <w:lang w:eastAsia="zh-CN"/>
              </w:rPr>
            </w:pPr>
            <w:r>
              <w:rPr>
                <w:rFonts w:ascii="Times New Roman" w:hAnsi="Times New Roman"/>
                <w:sz w:val="20"/>
              </w:rPr>
              <w:t xml:space="preserve">We also wonder how </w:t>
            </w:r>
            <w:proofErr w:type="gramStart"/>
            <w:r>
              <w:rPr>
                <w:rFonts w:ascii="Times New Roman" w:hAnsi="Times New Roman"/>
                <w:sz w:val="20"/>
              </w:rPr>
              <w:t>would the CAG PCI range</w:t>
            </w:r>
            <w:proofErr w:type="gramEnd"/>
            <w:r>
              <w:rPr>
                <w:rFonts w:ascii="Times New Roman" w:hAnsi="Times New Roman"/>
                <w:sz w:val="20"/>
              </w:rPr>
              <w:t xml:space="preserve"> be used by non-CAG UEs. We don’t see a need for a hybrid cell’s PCI, </w:t>
            </w:r>
            <w:proofErr w:type="gramStart"/>
            <w:r>
              <w:rPr>
                <w:rFonts w:ascii="Times New Roman" w:hAnsi="Times New Roman"/>
                <w:sz w:val="20"/>
              </w:rPr>
              <w:t>if and when</w:t>
            </w:r>
            <w:proofErr w:type="gramEnd"/>
            <w:r>
              <w:rPr>
                <w:rFonts w:ascii="Times New Roman" w:hAnsi="Times New Roman"/>
                <w:sz w:val="20"/>
              </w:rPr>
              <w:t xml:space="preserve"> introduced in the later release, to be included in the CAG PCI range as normal cell selection/reselection rules should apply for a hybrid cell for both member and </w:t>
            </w:r>
            <w:proofErr w:type="spellStart"/>
            <w:r>
              <w:rPr>
                <w:rFonts w:ascii="Times New Roman" w:hAnsi="Times New Roman"/>
                <w:sz w:val="20"/>
              </w:rPr>
              <w:t>non member</w:t>
            </w:r>
            <w:proofErr w:type="spellEnd"/>
            <w:r>
              <w:rPr>
                <w:rFonts w:ascii="Times New Roman" w:hAnsi="Times New Roman"/>
                <w:sz w:val="20"/>
              </w:rPr>
              <w:t xml:space="preserve"> UEs.</w:t>
            </w:r>
          </w:p>
        </w:tc>
      </w:tr>
      <w:tr w:rsidR="00360D74">
        <w:tc>
          <w:tcPr>
            <w:tcW w:w="1227" w:type="dxa"/>
            <w:vAlign w:val="center"/>
          </w:tcPr>
          <w:p w:rsidR="00360D74" w:rsidRDefault="008732A1">
            <w:pPr>
              <w:pStyle w:val="TAC"/>
              <w:jc w:val="left"/>
              <w:rPr>
                <w:rFonts w:ascii="Times New Roman" w:hAnsi="Times New Roman"/>
                <w:sz w:val="20"/>
              </w:rPr>
            </w:pPr>
            <w:r>
              <w:rPr>
                <w:rFonts w:ascii="Times New Roman" w:hAnsi="Times New Roman"/>
                <w:sz w:val="20"/>
              </w:rPr>
              <w:t>Qualcomm</w:t>
            </w:r>
          </w:p>
        </w:tc>
        <w:tc>
          <w:tcPr>
            <w:tcW w:w="748" w:type="dxa"/>
          </w:tcPr>
          <w:p w:rsidR="00360D74" w:rsidRDefault="008732A1">
            <w:pPr>
              <w:pStyle w:val="TAC"/>
              <w:jc w:val="left"/>
              <w:rPr>
                <w:rFonts w:ascii="Times New Roman" w:hAnsi="Times New Roman"/>
                <w:sz w:val="20"/>
              </w:rPr>
            </w:pPr>
            <w:r>
              <w:rPr>
                <w:rFonts w:ascii="Times New Roman" w:hAnsi="Times New Roman"/>
                <w:sz w:val="20"/>
              </w:rPr>
              <w:t>Yes</w:t>
            </w:r>
          </w:p>
        </w:tc>
        <w:tc>
          <w:tcPr>
            <w:tcW w:w="810" w:type="dxa"/>
            <w:vAlign w:val="center"/>
          </w:tcPr>
          <w:p w:rsidR="00360D74" w:rsidRDefault="008732A1">
            <w:pPr>
              <w:pStyle w:val="TAC"/>
              <w:jc w:val="left"/>
              <w:rPr>
                <w:rFonts w:ascii="Times New Roman" w:hAnsi="Times New Roman"/>
                <w:sz w:val="20"/>
              </w:rPr>
            </w:pPr>
            <w:r>
              <w:rPr>
                <w:rFonts w:ascii="Times New Roman" w:hAnsi="Times New Roman"/>
                <w:sz w:val="20"/>
              </w:rPr>
              <w:t>Yes</w:t>
            </w:r>
          </w:p>
        </w:tc>
        <w:tc>
          <w:tcPr>
            <w:tcW w:w="6930" w:type="dxa"/>
            <w:vAlign w:val="center"/>
          </w:tcPr>
          <w:p w:rsidR="00360D74" w:rsidRDefault="008732A1">
            <w:pPr>
              <w:pStyle w:val="TAC"/>
              <w:jc w:val="left"/>
              <w:rPr>
                <w:rFonts w:ascii="Times New Roman" w:hAnsi="Times New Roman"/>
                <w:sz w:val="20"/>
              </w:rPr>
            </w:pPr>
            <w:r>
              <w:rPr>
                <w:rFonts w:ascii="Times New Roman" w:hAnsi="Times New Roman"/>
                <w:sz w:val="20"/>
              </w:rPr>
              <w:t>It is okay for the CAG PCI range to be broadcasted by both CAG and non-CAG cells.</w:t>
            </w:r>
          </w:p>
          <w:p w:rsidR="00360D74" w:rsidRDefault="008732A1">
            <w:pPr>
              <w:pStyle w:val="TAC"/>
              <w:jc w:val="left"/>
              <w:rPr>
                <w:rFonts w:ascii="Times New Roman" w:hAnsi="Times New Roman"/>
                <w:sz w:val="20"/>
              </w:rPr>
            </w:pPr>
            <w:r>
              <w:rPr>
                <w:rFonts w:ascii="Times New Roman" w:hAnsi="Times New Roman"/>
                <w:sz w:val="20"/>
              </w:rPr>
              <w:t>Regarding how the UEs use it, it is used by CAG-capable UEs to optimize the implementation dependent function for CAG cell search.</w:t>
            </w:r>
          </w:p>
          <w:p w:rsidR="00360D74" w:rsidRDefault="008732A1">
            <w:pPr>
              <w:pStyle w:val="TAC"/>
              <w:jc w:val="left"/>
              <w:rPr>
                <w:rFonts w:ascii="Times New Roman" w:hAnsi="Times New Roman"/>
                <w:sz w:val="20"/>
              </w:rPr>
            </w:pPr>
            <w:r>
              <w:rPr>
                <w:rFonts w:ascii="Times New Roman" w:hAnsi="Times New Roman"/>
                <w:sz w:val="20"/>
              </w:rPr>
              <w:t>The non-CAG UEs (non-capable or empty Allowed list) don’t need to use the CAG PCI list, because they are required to rank every cell (as opposed to LTE, where the strongest cell could be omitted from ranking if it was a CSG cell).</w:t>
            </w:r>
          </w:p>
        </w:tc>
      </w:tr>
      <w:tr w:rsidR="00360D74">
        <w:tc>
          <w:tcPr>
            <w:tcW w:w="1227" w:type="dxa"/>
            <w:vAlign w:val="center"/>
          </w:tcPr>
          <w:p w:rsidR="00360D74" w:rsidRDefault="008732A1">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748" w:type="dxa"/>
          </w:tcPr>
          <w:p w:rsidR="00360D74" w:rsidRDefault="008732A1">
            <w:pPr>
              <w:pStyle w:val="TAC"/>
              <w:jc w:val="left"/>
              <w:rPr>
                <w:rFonts w:ascii="Times New Roman" w:hAnsi="Times New Roman"/>
                <w:sz w:val="20"/>
              </w:rPr>
            </w:pPr>
            <w:r>
              <w:rPr>
                <w:rFonts w:ascii="Times New Roman" w:hAnsi="Times New Roman"/>
                <w:sz w:val="20"/>
              </w:rPr>
              <w:t>Yes</w:t>
            </w:r>
          </w:p>
        </w:tc>
        <w:tc>
          <w:tcPr>
            <w:tcW w:w="810" w:type="dxa"/>
            <w:vAlign w:val="center"/>
          </w:tcPr>
          <w:p w:rsidR="00360D74" w:rsidRDefault="008732A1">
            <w:pPr>
              <w:pStyle w:val="TAC"/>
              <w:jc w:val="left"/>
              <w:rPr>
                <w:rFonts w:ascii="Times New Roman" w:hAnsi="Times New Roman"/>
                <w:sz w:val="20"/>
              </w:rPr>
            </w:pPr>
            <w:r>
              <w:rPr>
                <w:rFonts w:ascii="Times New Roman" w:hAnsi="Times New Roman"/>
                <w:sz w:val="20"/>
              </w:rPr>
              <w:t>Yes</w:t>
            </w:r>
          </w:p>
        </w:tc>
        <w:tc>
          <w:tcPr>
            <w:tcW w:w="6930" w:type="dxa"/>
            <w:vAlign w:val="center"/>
          </w:tcPr>
          <w:p w:rsidR="00360D74" w:rsidRDefault="008732A1">
            <w:pPr>
              <w:pStyle w:val="TAC"/>
              <w:jc w:val="left"/>
              <w:rPr>
                <w:rFonts w:ascii="Times New Roman" w:hAnsi="Times New Roman"/>
                <w:sz w:val="20"/>
              </w:rPr>
            </w:pPr>
            <w:r>
              <w:rPr>
                <w:rFonts w:ascii="Times New Roman" w:hAnsi="Times New Roman"/>
                <w:sz w:val="20"/>
              </w:rPr>
              <w:t>PCI range can provide information of PCIs used by a CAG in the neighbouring area. It helps CAG-capable UE to search suitable CAG cells for cell reselection.</w:t>
            </w:r>
          </w:p>
        </w:tc>
      </w:tr>
      <w:tr w:rsidR="00360D74">
        <w:tc>
          <w:tcPr>
            <w:tcW w:w="1227" w:type="dxa"/>
            <w:vAlign w:val="center"/>
          </w:tcPr>
          <w:p w:rsidR="00360D74" w:rsidRDefault="008732A1">
            <w:pPr>
              <w:pStyle w:val="TAC"/>
              <w:jc w:val="left"/>
              <w:rPr>
                <w:rFonts w:ascii="Times New Roman" w:hAnsi="Times New Roman"/>
                <w:sz w:val="20"/>
              </w:rPr>
            </w:pPr>
            <w:r>
              <w:rPr>
                <w:rFonts w:ascii="Times New Roman" w:hAnsi="Times New Roman" w:hint="eastAsia"/>
                <w:sz w:val="20"/>
                <w:lang w:eastAsia="zh-CN"/>
              </w:rPr>
              <w:t>China</w:t>
            </w:r>
            <w:r>
              <w:rPr>
                <w:rFonts w:ascii="Times New Roman" w:hAnsi="Times New Roman"/>
                <w:sz w:val="20"/>
              </w:rPr>
              <w:t xml:space="preserve"> </w:t>
            </w:r>
            <w:r>
              <w:rPr>
                <w:rFonts w:ascii="Times New Roman" w:hAnsi="Times New Roman" w:hint="eastAsia"/>
                <w:sz w:val="20"/>
                <w:lang w:eastAsia="zh-CN"/>
              </w:rPr>
              <w:t>Telecom</w:t>
            </w:r>
          </w:p>
        </w:tc>
        <w:tc>
          <w:tcPr>
            <w:tcW w:w="748" w:type="dxa"/>
          </w:tcPr>
          <w:p w:rsidR="00360D74" w:rsidRDefault="008732A1">
            <w:pPr>
              <w:pStyle w:val="TAC"/>
              <w:jc w:val="left"/>
              <w:rPr>
                <w:rFonts w:ascii="Times New Roman" w:hAnsi="Times New Roman"/>
                <w:sz w:val="20"/>
              </w:rPr>
            </w:pPr>
            <w:r>
              <w:rPr>
                <w:rFonts w:ascii="Times New Roman" w:hAnsi="Times New Roman" w:hint="eastAsia"/>
                <w:sz w:val="20"/>
                <w:lang w:eastAsia="zh-CN"/>
              </w:rPr>
              <w:t>Yes</w:t>
            </w:r>
          </w:p>
        </w:tc>
        <w:tc>
          <w:tcPr>
            <w:tcW w:w="810" w:type="dxa"/>
            <w:vAlign w:val="center"/>
          </w:tcPr>
          <w:p w:rsidR="00360D74" w:rsidRDefault="008732A1">
            <w:pPr>
              <w:pStyle w:val="TAC"/>
              <w:jc w:val="left"/>
              <w:rPr>
                <w:rFonts w:ascii="Times New Roman" w:hAnsi="Times New Roman"/>
                <w:sz w:val="20"/>
              </w:rPr>
            </w:pPr>
            <w:r>
              <w:rPr>
                <w:rFonts w:ascii="Times New Roman" w:hAnsi="Times New Roman"/>
                <w:sz w:val="20"/>
                <w:lang w:eastAsia="zh-CN"/>
              </w:rPr>
              <w:t>Yes</w:t>
            </w:r>
          </w:p>
        </w:tc>
        <w:tc>
          <w:tcPr>
            <w:tcW w:w="6930" w:type="dxa"/>
            <w:vAlign w:val="center"/>
          </w:tcPr>
          <w:p w:rsidR="00360D74" w:rsidRDefault="008732A1">
            <w:pPr>
              <w:pStyle w:val="TAC"/>
              <w:jc w:val="left"/>
              <w:rPr>
                <w:rFonts w:ascii="Times New Roman" w:hAnsi="Times New Roman"/>
                <w:sz w:val="20"/>
                <w:lang w:eastAsia="zh-CN"/>
              </w:rPr>
            </w:pPr>
            <w:r>
              <w:rPr>
                <w:rFonts w:ascii="Times New Roman" w:hAnsi="Times New Roman" w:hint="eastAsia"/>
                <w:sz w:val="20"/>
                <w:lang w:eastAsia="zh-CN"/>
              </w:rPr>
              <w:t>W</w:t>
            </w:r>
            <w:r>
              <w:rPr>
                <w:rFonts w:ascii="Times New Roman" w:hAnsi="Times New Roman"/>
                <w:sz w:val="20"/>
                <w:lang w:eastAsia="zh-CN"/>
              </w:rPr>
              <w:t>e think PCI range is useful for a CAG-capable UE no matter whether it is with CAG-only indication. Since this is an optional choice, we are ok to not broadcast PCI range in a PLMN cell that does not support CAGs for signalling reduction.</w:t>
            </w:r>
          </w:p>
        </w:tc>
      </w:tr>
      <w:tr w:rsidR="00360D74">
        <w:tc>
          <w:tcPr>
            <w:tcW w:w="1227" w:type="dxa"/>
            <w:vAlign w:val="center"/>
          </w:tcPr>
          <w:p w:rsidR="00360D74" w:rsidRDefault="008732A1">
            <w:pPr>
              <w:pStyle w:val="TAC"/>
              <w:jc w:val="left"/>
              <w:rPr>
                <w:rFonts w:ascii="Times New Roman" w:hAnsi="Times New Roman"/>
                <w:sz w:val="20"/>
                <w:lang w:val="en-US" w:eastAsia="zh-CN"/>
              </w:rPr>
            </w:pPr>
            <w:r>
              <w:rPr>
                <w:rFonts w:ascii="Times New Roman" w:hAnsi="Times New Roman" w:hint="eastAsia"/>
                <w:sz w:val="20"/>
                <w:lang w:val="en-US" w:eastAsia="zh-CN"/>
              </w:rPr>
              <w:lastRenderedPageBreak/>
              <w:t>ZTE</w:t>
            </w:r>
          </w:p>
        </w:tc>
        <w:tc>
          <w:tcPr>
            <w:tcW w:w="748" w:type="dxa"/>
          </w:tcPr>
          <w:p w:rsidR="00360D74" w:rsidRDefault="008732A1">
            <w:pPr>
              <w:pStyle w:val="TAC"/>
              <w:jc w:val="left"/>
              <w:rPr>
                <w:rFonts w:ascii="Times New Roman" w:hAnsi="Times New Roman"/>
                <w:sz w:val="20"/>
                <w:lang w:val="en-US" w:eastAsia="zh-CN"/>
              </w:rPr>
            </w:pPr>
            <w:r>
              <w:rPr>
                <w:rFonts w:ascii="Times New Roman" w:hAnsi="Times New Roman" w:hint="eastAsia"/>
                <w:sz w:val="20"/>
                <w:lang w:val="en-US" w:eastAsia="zh-CN"/>
              </w:rPr>
              <w:t>Yes</w:t>
            </w:r>
          </w:p>
        </w:tc>
        <w:tc>
          <w:tcPr>
            <w:tcW w:w="810" w:type="dxa"/>
            <w:vAlign w:val="center"/>
          </w:tcPr>
          <w:p w:rsidR="00360D74" w:rsidRDefault="008732A1">
            <w:pPr>
              <w:pStyle w:val="TAC"/>
              <w:jc w:val="left"/>
              <w:rPr>
                <w:rFonts w:ascii="Times New Roman" w:hAnsi="Times New Roman"/>
                <w:sz w:val="20"/>
                <w:lang w:val="en-US" w:eastAsia="zh-CN"/>
              </w:rPr>
            </w:pPr>
            <w:r>
              <w:rPr>
                <w:rFonts w:ascii="Times New Roman" w:hAnsi="Times New Roman" w:hint="eastAsia"/>
                <w:sz w:val="20"/>
                <w:lang w:val="en-US" w:eastAsia="zh-CN"/>
              </w:rPr>
              <w:t>Yes</w:t>
            </w:r>
          </w:p>
        </w:tc>
        <w:tc>
          <w:tcPr>
            <w:tcW w:w="6930" w:type="dxa"/>
            <w:vAlign w:val="center"/>
          </w:tcPr>
          <w:p w:rsidR="00360D74" w:rsidRDefault="008732A1">
            <w:pPr>
              <w:pStyle w:val="TAC"/>
              <w:jc w:val="left"/>
              <w:rPr>
                <w:rFonts w:ascii="Times New Roman" w:hAnsi="Times New Roman"/>
                <w:sz w:val="20"/>
                <w:lang w:val="en-US" w:eastAsia="zh-CN"/>
              </w:rPr>
            </w:pPr>
            <w:r>
              <w:rPr>
                <w:rFonts w:ascii="Times New Roman" w:hAnsi="Times New Roman" w:hint="eastAsia"/>
                <w:sz w:val="20"/>
                <w:lang w:val="en-US" w:eastAsia="zh-CN"/>
              </w:rPr>
              <w:t>In LTE, the CSG PCI range is mandatory present in SIB4 broadcast from a CSG cell but optional for non-CSG cells.</w:t>
            </w:r>
          </w:p>
          <w:p w:rsidR="00360D74" w:rsidRDefault="008732A1">
            <w:pPr>
              <w:pStyle w:val="TAC"/>
              <w:jc w:val="left"/>
              <w:rPr>
                <w:rFonts w:ascii="Times New Roman" w:hAnsi="Times New Roman"/>
                <w:sz w:val="20"/>
                <w:lang w:val="en-US" w:eastAsia="zh-CN"/>
              </w:rPr>
            </w:pPr>
            <w:r>
              <w:rPr>
                <w:rFonts w:ascii="Times New Roman" w:hAnsi="Times New Roman" w:hint="eastAsia"/>
                <w:sz w:val="20"/>
                <w:lang w:val="en-US" w:eastAsia="zh-CN"/>
              </w:rPr>
              <w:t>We do not see strong motivation to make CAG PCI range mandatory present in system information from a CAG cell and prefers to make it optional.</w:t>
            </w:r>
          </w:p>
          <w:p w:rsidR="00360D74" w:rsidRDefault="008732A1">
            <w:pPr>
              <w:pStyle w:val="TAC"/>
              <w:jc w:val="left"/>
              <w:rPr>
                <w:rFonts w:ascii="Times New Roman" w:hAnsi="Times New Roman"/>
                <w:sz w:val="20"/>
                <w:lang w:val="en-US" w:eastAsia="zh-CN"/>
              </w:rPr>
            </w:pPr>
            <w:r>
              <w:rPr>
                <w:rFonts w:ascii="Times New Roman" w:hAnsi="Times New Roman" w:hint="eastAsia"/>
                <w:sz w:val="20"/>
                <w:lang w:val="en-US" w:eastAsia="zh-CN"/>
              </w:rPr>
              <w:t xml:space="preserve">For </w:t>
            </w:r>
            <w:r>
              <w:rPr>
                <w:rFonts w:ascii="Times New Roman" w:hAnsi="Times New Roman"/>
                <w:sz w:val="20"/>
                <w:lang w:val="en-US" w:eastAsia="zh-CN"/>
              </w:rPr>
              <w:t>a PLMN cell that does not support CAGs</w:t>
            </w:r>
            <w:r>
              <w:rPr>
                <w:rFonts w:ascii="Times New Roman" w:hAnsi="Times New Roman" w:hint="eastAsia"/>
                <w:sz w:val="20"/>
                <w:lang w:val="en-US" w:eastAsia="zh-CN"/>
              </w:rPr>
              <w:t xml:space="preserve">, it can broadcast the CAG PCI range if it has such information. Even though a </w:t>
            </w:r>
            <w:r>
              <w:rPr>
                <w:rFonts w:ascii="Times New Roman" w:hAnsi="Times New Roman"/>
                <w:sz w:val="20"/>
              </w:rPr>
              <w:t>CAG UE w/ CAG only indication</w:t>
            </w:r>
            <w:r>
              <w:rPr>
                <w:rFonts w:ascii="Times New Roman" w:hAnsi="Times New Roman" w:hint="eastAsia"/>
                <w:sz w:val="20"/>
                <w:lang w:val="en-US" w:eastAsia="zh-CN"/>
              </w:rPr>
              <w:t xml:space="preserve"> cannot camp on a non-CAG cell as a suitable, UE can still read the CAG PCI range broadcast from a non-CAG cell to assist cell reselection.</w:t>
            </w:r>
          </w:p>
        </w:tc>
      </w:tr>
      <w:tr w:rsidR="005E1BEA">
        <w:tc>
          <w:tcPr>
            <w:tcW w:w="1227" w:type="dxa"/>
            <w:vAlign w:val="center"/>
          </w:tcPr>
          <w:p w:rsidR="005E1BEA" w:rsidRDefault="005E1BEA" w:rsidP="005E1BEA">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748" w:type="dxa"/>
          </w:tcPr>
          <w:p w:rsidR="005E1BEA" w:rsidRDefault="005E1BEA" w:rsidP="005E1BEA">
            <w:pPr>
              <w:pStyle w:val="TAC"/>
              <w:jc w:val="left"/>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810" w:type="dxa"/>
            <w:vAlign w:val="center"/>
          </w:tcPr>
          <w:p w:rsidR="005E1BEA" w:rsidRDefault="005E1BEA" w:rsidP="005E1BEA">
            <w:pPr>
              <w:pStyle w:val="TAC"/>
              <w:jc w:val="left"/>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930" w:type="dxa"/>
            <w:vAlign w:val="center"/>
          </w:tcPr>
          <w:p w:rsidR="005E1BEA" w:rsidRDefault="005E1BEA" w:rsidP="005E1BEA">
            <w:pPr>
              <w:pStyle w:val="TAC"/>
              <w:jc w:val="left"/>
              <w:rPr>
                <w:rFonts w:ascii="Times New Roman" w:hAnsi="Times New Roman"/>
                <w:sz w:val="20"/>
                <w:lang w:eastAsia="zh-CN"/>
              </w:rPr>
            </w:pPr>
            <w:r>
              <w:rPr>
                <w:rFonts w:ascii="Times New Roman" w:hAnsi="Times New Roman"/>
                <w:sz w:val="20"/>
                <w:lang w:eastAsia="zh-CN"/>
              </w:rPr>
              <w:t>UEs with CAG-only indication can still camp on a PLMN cell for emergency service.</w:t>
            </w:r>
          </w:p>
          <w:p w:rsidR="005E1BEA" w:rsidRDefault="005E1BEA" w:rsidP="005E1BEA">
            <w:pPr>
              <w:pStyle w:val="TAC"/>
              <w:jc w:val="left"/>
              <w:rPr>
                <w:rFonts w:ascii="Times New Roman" w:hAnsi="Times New Roman"/>
                <w:sz w:val="20"/>
                <w:lang w:eastAsia="zh-CN"/>
              </w:rPr>
            </w:pPr>
            <w:r>
              <w:rPr>
                <w:rFonts w:ascii="Times New Roman" w:hAnsi="Times New Roman"/>
                <w:sz w:val="20"/>
                <w:lang w:eastAsia="zh-CN"/>
              </w:rPr>
              <w:t>Besides, if a UE is CAG capable, even if the CAG-only indication is not set to true for the moment, it is useful for the UE to acquire reserved PCI information from a PLMN cell for later cell selection/reselection.</w:t>
            </w:r>
          </w:p>
          <w:p w:rsidR="005E1BEA" w:rsidRDefault="005E1BEA" w:rsidP="005E1BEA">
            <w:pPr>
              <w:pStyle w:val="TAC"/>
              <w:jc w:val="left"/>
              <w:rPr>
                <w:rFonts w:ascii="Times New Roman" w:hAnsi="Times New Roman"/>
                <w:sz w:val="20"/>
                <w:lang w:eastAsia="zh-CN"/>
              </w:rPr>
            </w:pPr>
            <w:r>
              <w:rPr>
                <w:rFonts w:ascii="Times New Roman" w:hAnsi="Times New Roman"/>
                <w:sz w:val="20"/>
                <w:lang w:eastAsia="zh-CN"/>
              </w:rPr>
              <w:t>Considering the reserved list is optional, we think having a consistent agreement for all cell types is the easiest way to go.</w:t>
            </w:r>
          </w:p>
        </w:tc>
      </w:tr>
      <w:tr w:rsidR="0004693E">
        <w:tc>
          <w:tcPr>
            <w:tcW w:w="1227" w:type="dxa"/>
            <w:vAlign w:val="center"/>
          </w:tcPr>
          <w:p w:rsidR="0004693E" w:rsidRDefault="0004693E" w:rsidP="00F7196C">
            <w:pPr>
              <w:pStyle w:val="TAC"/>
              <w:jc w:val="left"/>
              <w:rPr>
                <w:rFonts w:ascii="Times New Roman" w:hAnsi="Times New Roman"/>
                <w:sz w:val="20"/>
                <w:lang w:eastAsia="zh-CN"/>
              </w:rPr>
            </w:pPr>
            <w:r>
              <w:rPr>
                <w:rFonts w:ascii="Times New Roman" w:hAnsi="Times New Roman" w:hint="eastAsia"/>
                <w:sz w:val="20"/>
                <w:lang w:eastAsia="zh-CN"/>
              </w:rPr>
              <w:t>CATT</w:t>
            </w:r>
          </w:p>
        </w:tc>
        <w:tc>
          <w:tcPr>
            <w:tcW w:w="748" w:type="dxa"/>
          </w:tcPr>
          <w:p w:rsidR="0004693E" w:rsidRDefault="0004693E" w:rsidP="00F7196C">
            <w:pPr>
              <w:pStyle w:val="TAC"/>
              <w:jc w:val="left"/>
              <w:rPr>
                <w:rFonts w:ascii="Times New Roman" w:hAnsi="Times New Roman"/>
                <w:sz w:val="20"/>
                <w:lang w:eastAsia="zh-CN"/>
              </w:rPr>
            </w:pPr>
            <w:r>
              <w:rPr>
                <w:rFonts w:ascii="Times New Roman" w:hAnsi="Times New Roman" w:hint="eastAsia"/>
                <w:sz w:val="20"/>
                <w:lang w:eastAsia="zh-CN"/>
              </w:rPr>
              <w:t>Yes</w:t>
            </w:r>
          </w:p>
        </w:tc>
        <w:tc>
          <w:tcPr>
            <w:tcW w:w="810" w:type="dxa"/>
            <w:vAlign w:val="center"/>
          </w:tcPr>
          <w:p w:rsidR="0004693E" w:rsidRDefault="0004693E" w:rsidP="00F7196C">
            <w:pPr>
              <w:pStyle w:val="TAC"/>
              <w:jc w:val="left"/>
              <w:rPr>
                <w:rFonts w:ascii="Times New Roman" w:hAnsi="Times New Roman"/>
                <w:sz w:val="20"/>
                <w:lang w:eastAsia="zh-CN"/>
              </w:rPr>
            </w:pPr>
            <w:r>
              <w:rPr>
                <w:rFonts w:ascii="Times New Roman" w:hAnsi="Times New Roman" w:hint="eastAsia"/>
                <w:sz w:val="20"/>
                <w:lang w:eastAsia="zh-CN"/>
              </w:rPr>
              <w:t>Yes</w:t>
            </w:r>
          </w:p>
        </w:tc>
        <w:tc>
          <w:tcPr>
            <w:tcW w:w="6930" w:type="dxa"/>
            <w:vAlign w:val="center"/>
          </w:tcPr>
          <w:p w:rsidR="0004693E" w:rsidRDefault="0004693E" w:rsidP="00F7196C">
            <w:pPr>
              <w:pStyle w:val="TAC"/>
              <w:jc w:val="left"/>
              <w:rPr>
                <w:rFonts w:ascii="Times New Roman" w:hAnsi="Times New Roman"/>
                <w:sz w:val="20"/>
                <w:lang w:eastAsia="zh-CN"/>
              </w:rPr>
            </w:pPr>
            <w:r w:rsidRPr="0004693E">
              <w:rPr>
                <w:rFonts w:ascii="Times New Roman" w:hAnsi="Times New Roman" w:hint="eastAsia"/>
                <w:b/>
                <w:sz w:val="20"/>
                <w:lang w:eastAsia="zh-CN"/>
              </w:rPr>
              <w:t xml:space="preserve">Answer to </w:t>
            </w:r>
            <w:r w:rsidRPr="0004693E">
              <w:rPr>
                <w:rFonts w:ascii="Times New Roman" w:hAnsi="Times New Roman"/>
                <w:b/>
                <w:bCs/>
                <w:sz w:val="20"/>
              </w:rPr>
              <w:t>Q1</w:t>
            </w:r>
            <w:proofErr w:type="gramStart"/>
            <w:r w:rsidRPr="0004693E">
              <w:rPr>
                <w:rFonts w:ascii="Times New Roman" w:hAnsi="Times New Roman"/>
                <w:b/>
                <w:bCs/>
                <w:sz w:val="20"/>
              </w:rPr>
              <w:t>b</w:t>
            </w:r>
            <w:r w:rsidRPr="0004693E">
              <w:rPr>
                <w:rFonts w:ascii="Times New Roman" w:hAnsi="Times New Roman" w:hint="eastAsia"/>
                <w:b/>
                <w:sz w:val="20"/>
                <w:lang w:eastAsia="zh-CN"/>
              </w:rPr>
              <w:t xml:space="preserve">  is</w:t>
            </w:r>
            <w:proofErr w:type="gramEnd"/>
            <w:r w:rsidRPr="0004693E">
              <w:rPr>
                <w:rFonts w:ascii="Times New Roman" w:hAnsi="Times New Roman" w:hint="eastAsia"/>
                <w:b/>
                <w:sz w:val="20"/>
                <w:lang w:eastAsia="zh-CN"/>
              </w:rPr>
              <w:t xml:space="preserve"> Yes but we disagree the assumption mentioned by Ericsson that the </w:t>
            </w:r>
            <w:r w:rsidRPr="0004693E">
              <w:rPr>
                <w:rFonts w:ascii="Times New Roman" w:hAnsi="Times New Roman"/>
                <w:b/>
                <w:sz w:val="20"/>
                <w:lang w:eastAsia="zh-CN"/>
              </w:rPr>
              <w:t>PCI range will contain the PCIs used by CAG cells and the PCIs outside the range will be used by the public cells.</w:t>
            </w:r>
            <w:r w:rsidRPr="0004693E">
              <w:rPr>
                <w:rFonts w:ascii="Times New Roman" w:hAnsi="Times New Roman" w:hint="eastAsia"/>
                <w:b/>
                <w:sz w:val="20"/>
                <w:lang w:eastAsia="zh-CN"/>
              </w:rPr>
              <w:t xml:space="preserve"> </w:t>
            </w:r>
            <w:r>
              <w:rPr>
                <w:rFonts w:ascii="Times New Roman" w:hAnsi="Times New Roman"/>
                <w:sz w:val="20"/>
                <w:lang w:eastAsia="zh-CN"/>
              </w:rPr>
              <w:t>W</w:t>
            </w:r>
            <w:r>
              <w:rPr>
                <w:rFonts w:ascii="Times New Roman" w:hAnsi="Times New Roman" w:hint="eastAsia"/>
                <w:sz w:val="20"/>
                <w:lang w:eastAsia="zh-CN"/>
              </w:rPr>
              <w:t>ith this assumption,</w:t>
            </w:r>
            <w:r>
              <w:rPr>
                <w:rFonts w:ascii="Times New Roman" w:hAnsi="Times New Roman"/>
                <w:sz w:val="20"/>
              </w:rPr>
              <w:t xml:space="preserve"> </w:t>
            </w:r>
            <w:proofErr w:type="gramStart"/>
            <w:r>
              <w:rPr>
                <w:rFonts w:ascii="Times New Roman" w:hAnsi="Times New Roman" w:hint="eastAsia"/>
                <w:sz w:val="20"/>
                <w:lang w:eastAsia="zh-CN"/>
              </w:rPr>
              <w:t>It</w:t>
            </w:r>
            <w:proofErr w:type="gramEnd"/>
            <w:r>
              <w:rPr>
                <w:rFonts w:ascii="Times New Roman" w:hAnsi="Times New Roman" w:hint="eastAsia"/>
                <w:sz w:val="20"/>
                <w:lang w:eastAsia="zh-CN"/>
              </w:rPr>
              <w:t xml:space="preserve"> will only beneficial for the</w:t>
            </w:r>
            <w:r>
              <w:rPr>
                <w:rFonts w:ascii="Times New Roman" w:hAnsi="Times New Roman"/>
                <w:sz w:val="20"/>
              </w:rPr>
              <w:t xml:space="preserve"> CAG UE w/ CAG only indication only</w:t>
            </w:r>
            <w:r>
              <w:rPr>
                <w:rFonts w:ascii="Times New Roman" w:hAnsi="Times New Roman" w:hint="eastAsia"/>
                <w:sz w:val="20"/>
                <w:lang w:eastAsia="zh-CN"/>
              </w:rPr>
              <w:t xml:space="preserve"> set to TRUE. All the other UEs including CAG capable UE and non-CAG capable UE cannot use it. The benefit is very limited as we are wondering how many UE will be configured with </w:t>
            </w:r>
            <w:r>
              <w:rPr>
                <w:rFonts w:ascii="Times New Roman" w:hAnsi="Times New Roman"/>
                <w:sz w:val="20"/>
              </w:rPr>
              <w:t>CAG only indication only</w:t>
            </w:r>
            <w:r>
              <w:rPr>
                <w:rFonts w:ascii="Times New Roman" w:hAnsi="Times New Roman" w:hint="eastAsia"/>
                <w:sz w:val="20"/>
                <w:lang w:eastAsia="zh-CN"/>
              </w:rPr>
              <w:t xml:space="preserve"> set to TRUE.</w:t>
            </w:r>
          </w:p>
          <w:p w:rsidR="007D259F" w:rsidRDefault="007D259F" w:rsidP="00F7196C">
            <w:pPr>
              <w:pStyle w:val="TAC"/>
              <w:jc w:val="left"/>
              <w:rPr>
                <w:rFonts w:ascii="Times New Roman" w:hAnsi="Times New Roman"/>
                <w:sz w:val="20"/>
                <w:lang w:eastAsia="zh-CN"/>
              </w:rPr>
            </w:pPr>
          </w:p>
          <w:p w:rsidR="0004693E" w:rsidRDefault="0004693E" w:rsidP="00F7196C">
            <w:pPr>
              <w:pStyle w:val="TAC"/>
              <w:jc w:val="left"/>
              <w:rPr>
                <w:rFonts w:ascii="Times New Roman" w:hAnsi="Times New Roman"/>
                <w:sz w:val="20"/>
                <w:lang w:eastAsia="zh-CN"/>
              </w:rPr>
            </w:pPr>
            <w:r>
              <w:rPr>
                <w:rFonts w:ascii="Times New Roman" w:hAnsi="Times New Roman"/>
                <w:sz w:val="20"/>
                <w:lang w:eastAsia="zh-CN"/>
              </w:rPr>
              <w:t>W</w:t>
            </w:r>
            <w:r>
              <w:rPr>
                <w:rFonts w:ascii="Times New Roman" w:hAnsi="Times New Roman" w:hint="eastAsia"/>
                <w:sz w:val="20"/>
                <w:lang w:eastAsia="zh-CN"/>
              </w:rPr>
              <w:t>e understand that PCI range will contain the PCIs used by CAG-only cells.</w:t>
            </w:r>
          </w:p>
          <w:p w:rsidR="0004693E" w:rsidRDefault="0004693E" w:rsidP="00F7196C">
            <w:pPr>
              <w:pStyle w:val="TAC"/>
              <w:jc w:val="left"/>
              <w:rPr>
                <w:rFonts w:ascii="Times New Roman" w:hAnsi="Times New Roman"/>
                <w:sz w:val="20"/>
                <w:lang w:eastAsia="zh-CN"/>
              </w:rPr>
            </w:pPr>
            <w:r>
              <w:rPr>
                <w:rFonts w:ascii="Times New Roman" w:hAnsi="Times New Roman" w:hint="eastAsia"/>
                <w:sz w:val="20"/>
                <w:lang w:eastAsia="zh-CN"/>
              </w:rPr>
              <w:t>Then it will be beneficial for all the UEs.</w:t>
            </w:r>
          </w:p>
          <w:p w:rsidR="0004693E" w:rsidRDefault="0004693E" w:rsidP="00F7196C">
            <w:pPr>
              <w:pStyle w:val="TAC"/>
              <w:jc w:val="left"/>
              <w:rPr>
                <w:rFonts w:ascii="Times New Roman" w:hAnsi="Times New Roman"/>
                <w:sz w:val="20"/>
                <w:lang w:eastAsia="zh-CN"/>
              </w:rPr>
            </w:pPr>
            <w:r w:rsidRPr="000656E3">
              <w:rPr>
                <w:rFonts w:ascii="Times New Roman" w:hAnsi="Times New Roman"/>
                <w:sz w:val="20"/>
                <w:lang w:eastAsia="zh-CN"/>
              </w:rPr>
              <w:t>1.</w:t>
            </w:r>
            <w:r>
              <w:rPr>
                <w:rFonts w:ascii="Times New Roman" w:hAnsi="Times New Roman" w:hint="eastAsia"/>
                <w:sz w:val="20"/>
                <w:lang w:eastAsia="zh-CN"/>
              </w:rPr>
              <w:t xml:space="preserve"> </w:t>
            </w:r>
            <w:r w:rsidRPr="000656E3">
              <w:rPr>
                <w:rFonts w:ascii="Times New Roman" w:hAnsi="Times New Roman"/>
                <w:sz w:val="20"/>
                <w:lang w:eastAsia="zh-CN"/>
              </w:rPr>
              <w:t>CAG capable UE should not measure the cells in the PCI rang</w:t>
            </w:r>
            <w:r>
              <w:rPr>
                <w:rFonts w:ascii="Times New Roman" w:hAnsi="Times New Roman" w:hint="eastAsia"/>
                <w:sz w:val="20"/>
                <w:lang w:eastAsia="zh-CN"/>
              </w:rPr>
              <w:t>e</w:t>
            </w:r>
            <w:r w:rsidRPr="000656E3">
              <w:rPr>
                <w:rFonts w:ascii="Times New Roman" w:hAnsi="Times New Roman"/>
                <w:sz w:val="20"/>
                <w:lang w:eastAsia="zh-CN"/>
              </w:rPr>
              <w:t xml:space="preserve"> with PLMN ID is not equivalent to the registered PLMN during cell reselection. </w:t>
            </w:r>
          </w:p>
          <w:p w:rsidR="0004693E" w:rsidRDefault="0004693E" w:rsidP="00F7196C">
            <w:pPr>
              <w:pStyle w:val="TAC"/>
              <w:jc w:val="left"/>
              <w:rPr>
                <w:rFonts w:ascii="Times New Roman" w:hAnsi="Times New Roman"/>
                <w:sz w:val="20"/>
                <w:lang w:eastAsia="zh-CN"/>
              </w:rPr>
            </w:pPr>
            <w:r w:rsidRPr="000656E3">
              <w:rPr>
                <w:rFonts w:ascii="Times New Roman" w:hAnsi="Times New Roman"/>
                <w:sz w:val="20"/>
                <w:lang w:eastAsia="zh-CN"/>
              </w:rPr>
              <w:t>2.</w:t>
            </w:r>
            <w:r>
              <w:rPr>
                <w:rFonts w:ascii="Times New Roman" w:hAnsi="Times New Roman" w:hint="eastAsia"/>
                <w:sz w:val="20"/>
                <w:lang w:eastAsia="zh-CN"/>
              </w:rPr>
              <w:t xml:space="preserve"> </w:t>
            </w:r>
            <w:r w:rsidRPr="000656E3">
              <w:rPr>
                <w:rFonts w:ascii="Times New Roman" w:hAnsi="Times New Roman"/>
                <w:sz w:val="20"/>
                <w:lang w:eastAsia="zh-CN"/>
              </w:rPr>
              <w:t xml:space="preserve">Non-CAG capable UE </w:t>
            </w:r>
            <w:proofErr w:type="gramStart"/>
            <w:r w:rsidRPr="000656E3">
              <w:rPr>
                <w:rFonts w:ascii="Times New Roman" w:hAnsi="Times New Roman"/>
                <w:sz w:val="20"/>
                <w:lang w:eastAsia="zh-CN"/>
              </w:rPr>
              <w:t>should  exclude</w:t>
            </w:r>
            <w:proofErr w:type="gramEnd"/>
            <w:r w:rsidRPr="000656E3">
              <w:rPr>
                <w:rFonts w:ascii="Times New Roman" w:hAnsi="Times New Roman"/>
                <w:sz w:val="20"/>
                <w:lang w:eastAsia="zh-CN"/>
              </w:rPr>
              <w:t xml:space="preserve"> the cells indicated by PCI range for measurement during cell reselection.</w:t>
            </w:r>
          </w:p>
        </w:tc>
      </w:tr>
      <w:tr w:rsidR="0087592F">
        <w:tc>
          <w:tcPr>
            <w:tcW w:w="1227" w:type="dxa"/>
            <w:vAlign w:val="center"/>
          </w:tcPr>
          <w:p w:rsidR="0087592F" w:rsidRDefault="0087592F" w:rsidP="0087592F">
            <w:pPr>
              <w:pStyle w:val="TAC"/>
              <w:jc w:val="left"/>
              <w:rPr>
                <w:rFonts w:ascii="Times New Roman" w:hAnsi="Times New Roman"/>
                <w:sz w:val="20"/>
              </w:rPr>
            </w:pPr>
            <w:r>
              <w:rPr>
                <w:rFonts w:ascii="Times New Roman" w:hAnsi="Times New Roman"/>
                <w:sz w:val="20"/>
              </w:rPr>
              <w:t>Lenovo</w:t>
            </w:r>
          </w:p>
        </w:tc>
        <w:tc>
          <w:tcPr>
            <w:tcW w:w="748" w:type="dxa"/>
          </w:tcPr>
          <w:p w:rsidR="0087592F" w:rsidRDefault="0087592F" w:rsidP="0087592F">
            <w:pPr>
              <w:pStyle w:val="TAC"/>
              <w:jc w:val="left"/>
              <w:rPr>
                <w:rFonts w:ascii="Times New Roman" w:hAnsi="Times New Roman"/>
                <w:sz w:val="20"/>
              </w:rPr>
            </w:pPr>
            <w:r>
              <w:rPr>
                <w:rFonts w:ascii="Times New Roman" w:hAnsi="Times New Roman"/>
                <w:sz w:val="20"/>
              </w:rPr>
              <w:t>Yes</w:t>
            </w:r>
          </w:p>
        </w:tc>
        <w:tc>
          <w:tcPr>
            <w:tcW w:w="810" w:type="dxa"/>
            <w:vAlign w:val="center"/>
          </w:tcPr>
          <w:p w:rsidR="0087592F" w:rsidRDefault="0087592F" w:rsidP="0087592F">
            <w:pPr>
              <w:pStyle w:val="TAC"/>
              <w:jc w:val="left"/>
              <w:rPr>
                <w:rFonts w:ascii="Times New Roman" w:hAnsi="Times New Roman"/>
                <w:sz w:val="20"/>
              </w:rPr>
            </w:pPr>
            <w:r>
              <w:rPr>
                <w:rFonts w:ascii="Times New Roman" w:hAnsi="Times New Roman"/>
                <w:sz w:val="20"/>
              </w:rPr>
              <w:t>Yes</w:t>
            </w:r>
          </w:p>
        </w:tc>
        <w:tc>
          <w:tcPr>
            <w:tcW w:w="6930" w:type="dxa"/>
            <w:vAlign w:val="center"/>
          </w:tcPr>
          <w:p w:rsidR="0087592F" w:rsidRDefault="0087592F" w:rsidP="0087592F">
            <w:pPr>
              <w:pStyle w:val="TAC"/>
              <w:jc w:val="left"/>
              <w:rPr>
                <w:rFonts w:ascii="Times New Roman" w:hAnsi="Times New Roman"/>
                <w:sz w:val="20"/>
              </w:rPr>
            </w:pPr>
            <w:r>
              <w:rPr>
                <w:rFonts w:ascii="Times New Roman" w:hAnsi="Times New Roman"/>
                <w:sz w:val="20"/>
              </w:rPr>
              <w:t xml:space="preserve">To Q1b: If CAG-only indication is not set in the CAG UE, then it may camp and be serviced on a public cell. Due to ANR reporting by CAG and non-CAG UEs the public cell may be aware of available CAG cells in the vicinity. To assist the CAG UEs to reselect to suitable CAG cells, the public cell may </w:t>
            </w:r>
            <w:r w:rsidR="004778C4">
              <w:rPr>
                <w:rFonts w:ascii="Times New Roman" w:hAnsi="Times New Roman"/>
                <w:sz w:val="20"/>
              </w:rPr>
              <w:t xml:space="preserve">decide to </w:t>
            </w:r>
            <w:r>
              <w:rPr>
                <w:rFonts w:ascii="Times New Roman" w:hAnsi="Times New Roman"/>
                <w:sz w:val="20"/>
              </w:rPr>
              <w:t>broadcast PCI ranges for CAG cells.</w:t>
            </w:r>
          </w:p>
        </w:tc>
      </w:tr>
      <w:tr w:rsidR="00360D74">
        <w:tc>
          <w:tcPr>
            <w:tcW w:w="1227" w:type="dxa"/>
            <w:vAlign w:val="center"/>
          </w:tcPr>
          <w:p w:rsidR="00360D74" w:rsidRDefault="00360D74">
            <w:pPr>
              <w:pStyle w:val="TAC"/>
              <w:jc w:val="left"/>
              <w:rPr>
                <w:rFonts w:ascii="Times New Roman" w:hAnsi="Times New Roman"/>
                <w:sz w:val="20"/>
                <w:lang w:val="en-US" w:eastAsia="zh-CN"/>
              </w:rPr>
            </w:pPr>
          </w:p>
        </w:tc>
        <w:tc>
          <w:tcPr>
            <w:tcW w:w="748" w:type="dxa"/>
          </w:tcPr>
          <w:p w:rsidR="00360D74" w:rsidRDefault="00360D74">
            <w:pPr>
              <w:pStyle w:val="TAC"/>
              <w:jc w:val="both"/>
              <w:rPr>
                <w:rFonts w:ascii="Times New Roman" w:hAnsi="Times New Roman"/>
                <w:sz w:val="20"/>
                <w:lang w:val="en-US" w:eastAsia="zh-CN"/>
              </w:rPr>
            </w:pPr>
          </w:p>
        </w:tc>
        <w:tc>
          <w:tcPr>
            <w:tcW w:w="810" w:type="dxa"/>
            <w:vAlign w:val="center"/>
          </w:tcPr>
          <w:p w:rsidR="00360D74" w:rsidRDefault="00360D74">
            <w:pPr>
              <w:pStyle w:val="TAC"/>
              <w:jc w:val="both"/>
              <w:rPr>
                <w:rFonts w:ascii="Times New Roman" w:hAnsi="Times New Roman"/>
                <w:sz w:val="20"/>
                <w:lang w:val="en-US" w:eastAsia="zh-CN"/>
              </w:rPr>
            </w:pPr>
          </w:p>
        </w:tc>
        <w:tc>
          <w:tcPr>
            <w:tcW w:w="6930" w:type="dxa"/>
            <w:vAlign w:val="center"/>
          </w:tcPr>
          <w:p w:rsidR="00360D74" w:rsidRDefault="00360D74">
            <w:pPr>
              <w:pStyle w:val="TAC"/>
              <w:jc w:val="left"/>
              <w:rPr>
                <w:rFonts w:ascii="Times New Roman" w:hAnsi="Times New Roman"/>
                <w:sz w:val="20"/>
                <w:lang w:val="en-US" w:eastAsia="zh-CN"/>
              </w:rPr>
            </w:pPr>
          </w:p>
        </w:tc>
      </w:tr>
    </w:tbl>
    <w:p w:rsidR="00360D74" w:rsidRDefault="00360D74"/>
    <w:p w:rsidR="00A448C5" w:rsidRDefault="008732A1" w:rsidP="00A448C5">
      <w:r>
        <w:rPr>
          <w:b/>
          <w:bCs/>
        </w:rPr>
        <w:t xml:space="preserve">Summary: </w:t>
      </w:r>
      <w:r w:rsidR="00A448C5" w:rsidRPr="00A448C5">
        <w:t>1</w:t>
      </w:r>
      <w:r w:rsidR="008C35D3">
        <w:t>1</w:t>
      </w:r>
      <w:r w:rsidR="00A448C5" w:rsidRPr="00A448C5">
        <w:t xml:space="preserve"> companies answered the questions</w:t>
      </w:r>
      <w:r w:rsidR="00A448C5">
        <w:t xml:space="preserve">. </w:t>
      </w:r>
    </w:p>
    <w:p w:rsidR="00A448C5" w:rsidRDefault="00A448C5" w:rsidP="00A448C5">
      <w:pPr>
        <w:pStyle w:val="ListParagraph"/>
        <w:numPr>
          <w:ilvl w:val="0"/>
          <w:numId w:val="4"/>
        </w:numPr>
      </w:pPr>
      <w:r>
        <w:t xml:space="preserve">All companies agree that a PLMN cell that is not a shared cell and supports CAGs can optionally broadcast PCI ranges for CAGs per frequency as agreed for CAG cells that are shared among different PLMNs. </w:t>
      </w:r>
    </w:p>
    <w:p w:rsidR="00360D74" w:rsidRDefault="00B20D1A" w:rsidP="00A448C5">
      <w:pPr>
        <w:pStyle w:val="ListParagraph"/>
        <w:numPr>
          <w:ilvl w:val="0"/>
          <w:numId w:val="4"/>
        </w:numPr>
      </w:pPr>
      <w:r>
        <w:t>2 out of 11</w:t>
      </w:r>
      <w:r w:rsidR="00A448C5">
        <w:t xml:space="preserve"> companies ha</w:t>
      </w:r>
      <w:r>
        <w:t>ve</w:t>
      </w:r>
      <w:r w:rsidR="00A448C5">
        <w:t xml:space="preserve"> some concerns whether it is necessary that a PLMN cell that does not support CAGs can optionally broadcast PCI ranges for CAG cells per PLMN and per frequency as agreed for CAG cells that are shared among different PLMNs. </w:t>
      </w:r>
      <w:r>
        <w:t>T</w:t>
      </w:r>
      <w:r w:rsidR="00A448C5">
        <w:t>here were some co</w:t>
      </w:r>
      <w:r>
        <w:t>mments</w:t>
      </w:r>
      <w:r w:rsidR="00A448C5">
        <w:t xml:space="preserve"> how to use the new lists, especially by non-CAG UEs.</w:t>
      </w:r>
    </w:p>
    <w:p w:rsidR="00A448C5" w:rsidRDefault="00A448C5">
      <w:r w:rsidRPr="00A448C5">
        <w:rPr>
          <w:b/>
          <w:bCs/>
        </w:rPr>
        <w:t xml:space="preserve">Proposed conclusion: </w:t>
      </w:r>
      <w:r w:rsidRPr="00A448C5">
        <w:t>All cells</w:t>
      </w:r>
      <w:r>
        <w:t xml:space="preserve"> </w:t>
      </w:r>
      <w:r w:rsidR="00B20D1A">
        <w:t xml:space="preserve">including cells that do not support CAGs </w:t>
      </w:r>
      <w:r>
        <w:t>can optionally broadcast PCI ranges for CAGs per frequency per PLMN. However</w:t>
      </w:r>
      <w:r w:rsidR="008C35D3">
        <w:t xml:space="preserve">, the use of the new lists </w:t>
      </w:r>
      <w:r>
        <w:t>require</w:t>
      </w:r>
      <w:r w:rsidR="008C35D3">
        <w:t>s</w:t>
      </w:r>
      <w:r>
        <w:t xml:space="preserve"> further clarifications:</w:t>
      </w:r>
    </w:p>
    <w:p w:rsidR="00A448C5" w:rsidRPr="00A448C5" w:rsidRDefault="00A448C5" w:rsidP="00A448C5">
      <w:pPr>
        <w:pStyle w:val="ListParagraph"/>
        <w:numPr>
          <w:ilvl w:val="0"/>
          <w:numId w:val="5"/>
        </w:numPr>
        <w:rPr>
          <w:b/>
          <w:bCs/>
        </w:rPr>
      </w:pPr>
      <w:r>
        <w:t>How are the new lists used during cell reselection by CAG UEs?</w:t>
      </w:r>
    </w:p>
    <w:p w:rsidR="00360D74" w:rsidRPr="00A448C5" w:rsidRDefault="008C35D3" w:rsidP="00A448C5">
      <w:pPr>
        <w:pStyle w:val="ListParagraph"/>
        <w:numPr>
          <w:ilvl w:val="0"/>
          <w:numId w:val="5"/>
        </w:numPr>
        <w:rPr>
          <w:b/>
          <w:bCs/>
        </w:rPr>
      </w:pPr>
      <w:r>
        <w:t>Can</w:t>
      </w:r>
      <w:r w:rsidR="00A448C5">
        <w:t xml:space="preserve"> the non-CAG UEs </w:t>
      </w:r>
      <w:r>
        <w:t xml:space="preserve">read </w:t>
      </w:r>
      <w:r w:rsidR="00A448C5">
        <w:t>the content of the new lists? If yes</w:t>
      </w:r>
      <w:r>
        <w:t>,</w:t>
      </w:r>
      <w:r w:rsidR="00A448C5">
        <w:t xml:space="preserve"> then how</w:t>
      </w:r>
      <w:r>
        <w:t xml:space="preserve"> the</w:t>
      </w:r>
      <w:r w:rsidR="00B20D1A">
        <w:t xml:space="preserve"> non-CAG UEs </w:t>
      </w:r>
      <w:r>
        <w:t xml:space="preserve">use </w:t>
      </w:r>
      <w:r w:rsidR="00B20D1A">
        <w:t>them during cell reselection</w:t>
      </w:r>
      <w:r w:rsidR="00A448C5">
        <w:t xml:space="preserve">. </w:t>
      </w:r>
    </w:p>
    <w:p w:rsidR="00360D74" w:rsidRDefault="00360D74"/>
    <w:p w:rsidR="00360D74" w:rsidRDefault="008732A1">
      <w:pPr>
        <w:pStyle w:val="Heading2"/>
      </w:pPr>
      <w:r>
        <w:t>2.2</w:t>
      </w:r>
      <w:r>
        <w:tab/>
        <w:t>Validity time of PCI ranges for CAGs</w:t>
      </w:r>
    </w:p>
    <w:p w:rsidR="00360D74" w:rsidRDefault="008732A1">
      <w:r>
        <w:rPr>
          <w:b/>
          <w:bCs/>
        </w:rPr>
        <w:t xml:space="preserve">Open issue description: </w:t>
      </w:r>
      <w:r>
        <w:t>The validity time for PCI ranges for CAGs are FFS.</w:t>
      </w:r>
    </w:p>
    <w:p w:rsidR="00360D74" w:rsidRDefault="008732A1">
      <w:r>
        <w:rPr>
          <w:b/>
          <w:bCs/>
        </w:rPr>
        <w:lastRenderedPageBreak/>
        <w:t>Background:</w:t>
      </w:r>
      <w:r>
        <w:t xml:space="preserve"> </w:t>
      </w:r>
    </w:p>
    <w:p w:rsidR="00360D74" w:rsidRDefault="008732A1">
      <w:pPr>
        <w:ind w:left="284"/>
      </w:pPr>
      <w:r>
        <w:t>During the RAN2#109bis online session the following was agreed</w:t>
      </w:r>
    </w:p>
    <w:p w:rsidR="00360D74" w:rsidRDefault="008732A1">
      <w:pPr>
        <w:ind w:left="568"/>
      </w:pPr>
      <w:r>
        <w:t>The PCI range(s) can be optionally signalled per PLMN and per frequency when the CAG cell is shared among different PLMNs</w:t>
      </w:r>
    </w:p>
    <w:p w:rsidR="00360D74" w:rsidRDefault="008732A1">
      <w:pPr>
        <w:ind w:left="284"/>
      </w:pPr>
      <w:r>
        <w:t xml:space="preserve">There was no conclusion on the validity time of the PCI ranges for CAGs. Proposal 2 of R2-2002745 is the following: “The PCI range is valid among the whole frequency within the same PLMN for 24 hours”. During the discussion some companies’ view was that the generally used 3-hour validity is enough. </w:t>
      </w:r>
    </w:p>
    <w:p w:rsidR="00360D74" w:rsidRDefault="00360D74">
      <w:pPr>
        <w:ind w:left="284"/>
      </w:pPr>
    </w:p>
    <w:p w:rsidR="00360D74" w:rsidRDefault="008732A1">
      <w:r>
        <w:rPr>
          <w:b/>
          <w:bCs/>
        </w:rPr>
        <w:t>Question 2:</w:t>
      </w:r>
      <w:r>
        <w:t xml:space="preserve"> Which option do you prefer for the validity time for PCI ranges advertised for CAGs?</w:t>
      </w:r>
    </w:p>
    <w:p w:rsidR="00360D74" w:rsidRDefault="008732A1">
      <w:pPr>
        <w:pStyle w:val="ListParagraph"/>
        <w:numPr>
          <w:ilvl w:val="0"/>
          <w:numId w:val="3"/>
        </w:numPr>
      </w:pPr>
      <w:r>
        <w:rPr>
          <w:b/>
          <w:bCs/>
        </w:rPr>
        <w:t>Option A:</w:t>
      </w:r>
      <w:r>
        <w:t xml:space="preserve"> 24 hours (as for CSG)</w:t>
      </w:r>
    </w:p>
    <w:p w:rsidR="00360D74" w:rsidRDefault="008732A1">
      <w:pPr>
        <w:pStyle w:val="ListParagraph"/>
        <w:numPr>
          <w:ilvl w:val="0"/>
          <w:numId w:val="3"/>
        </w:numPr>
      </w:pPr>
      <w:r>
        <w:rPr>
          <w:b/>
          <w:bCs/>
        </w:rPr>
        <w:t>Option B:</w:t>
      </w:r>
      <w:r>
        <w:t xml:space="preserve"> 3 hours (as for other SIB parameters)</w:t>
      </w:r>
    </w:p>
    <w:tbl>
      <w:tblPr>
        <w:tblStyle w:val="TableGrid"/>
        <w:tblW w:w="9625" w:type="dxa"/>
        <w:tblLayout w:type="fixed"/>
        <w:tblLook w:val="04A0" w:firstRow="1" w:lastRow="0" w:firstColumn="1" w:lastColumn="0" w:noHBand="0" w:noVBand="1"/>
      </w:tblPr>
      <w:tblGrid>
        <w:gridCol w:w="1227"/>
        <w:gridCol w:w="1198"/>
        <w:gridCol w:w="7200"/>
      </w:tblGrid>
      <w:tr w:rsidR="00360D74">
        <w:tc>
          <w:tcPr>
            <w:tcW w:w="1227" w:type="dxa"/>
            <w:vAlign w:val="center"/>
          </w:tcPr>
          <w:p w:rsidR="00360D74" w:rsidRDefault="008732A1">
            <w:pPr>
              <w:pStyle w:val="TAC"/>
              <w:jc w:val="left"/>
              <w:rPr>
                <w:rFonts w:ascii="Times New Roman" w:hAnsi="Times New Roman"/>
                <w:b/>
                <w:bCs/>
                <w:sz w:val="20"/>
              </w:rPr>
            </w:pPr>
            <w:r>
              <w:rPr>
                <w:rFonts w:ascii="Times New Roman" w:hAnsi="Times New Roman"/>
                <w:b/>
                <w:bCs/>
                <w:sz w:val="20"/>
              </w:rPr>
              <w:t>Company</w:t>
            </w:r>
          </w:p>
        </w:tc>
        <w:tc>
          <w:tcPr>
            <w:tcW w:w="1198" w:type="dxa"/>
          </w:tcPr>
          <w:p w:rsidR="00360D74" w:rsidRDefault="008732A1">
            <w:pPr>
              <w:pStyle w:val="TAC"/>
              <w:jc w:val="left"/>
              <w:rPr>
                <w:rFonts w:ascii="Times New Roman" w:hAnsi="Times New Roman"/>
                <w:b/>
                <w:bCs/>
                <w:sz w:val="20"/>
              </w:rPr>
            </w:pPr>
            <w:r>
              <w:rPr>
                <w:rFonts w:ascii="Times New Roman" w:hAnsi="Times New Roman"/>
                <w:b/>
                <w:bCs/>
                <w:sz w:val="20"/>
              </w:rPr>
              <w:t>Preference</w:t>
            </w:r>
          </w:p>
        </w:tc>
        <w:tc>
          <w:tcPr>
            <w:tcW w:w="7200" w:type="dxa"/>
            <w:vAlign w:val="center"/>
          </w:tcPr>
          <w:p w:rsidR="00360D74" w:rsidRDefault="008732A1">
            <w:pPr>
              <w:pStyle w:val="TAC"/>
              <w:jc w:val="left"/>
              <w:rPr>
                <w:rFonts w:ascii="Times New Roman" w:hAnsi="Times New Roman"/>
                <w:b/>
                <w:bCs/>
                <w:sz w:val="20"/>
              </w:rPr>
            </w:pPr>
            <w:r>
              <w:rPr>
                <w:rFonts w:ascii="Times New Roman" w:hAnsi="Times New Roman"/>
                <w:b/>
                <w:bCs/>
                <w:sz w:val="20"/>
              </w:rPr>
              <w:t>Comment</w:t>
            </w:r>
          </w:p>
        </w:tc>
      </w:tr>
      <w:tr w:rsidR="00360D74">
        <w:tc>
          <w:tcPr>
            <w:tcW w:w="1227" w:type="dxa"/>
            <w:vAlign w:val="center"/>
          </w:tcPr>
          <w:p w:rsidR="00360D74" w:rsidRDefault="008732A1">
            <w:pPr>
              <w:pStyle w:val="TAC"/>
              <w:jc w:val="left"/>
              <w:rPr>
                <w:rFonts w:ascii="Times New Roman" w:hAnsi="Times New Roman"/>
                <w:sz w:val="20"/>
              </w:rPr>
            </w:pPr>
            <w:r>
              <w:rPr>
                <w:rFonts w:ascii="Times New Roman" w:hAnsi="Times New Roman"/>
                <w:sz w:val="20"/>
              </w:rPr>
              <w:t>Ericsson</w:t>
            </w:r>
          </w:p>
        </w:tc>
        <w:tc>
          <w:tcPr>
            <w:tcW w:w="1198" w:type="dxa"/>
          </w:tcPr>
          <w:p w:rsidR="00360D74" w:rsidRDefault="008732A1">
            <w:pPr>
              <w:pStyle w:val="TAC"/>
              <w:jc w:val="left"/>
              <w:rPr>
                <w:rFonts w:ascii="Times New Roman" w:hAnsi="Times New Roman"/>
                <w:sz w:val="20"/>
              </w:rPr>
            </w:pPr>
            <w:r>
              <w:rPr>
                <w:rFonts w:ascii="Times New Roman" w:hAnsi="Times New Roman"/>
                <w:sz w:val="20"/>
              </w:rPr>
              <w:t>B</w:t>
            </w:r>
          </w:p>
        </w:tc>
        <w:tc>
          <w:tcPr>
            <w:tcW w:w="7200" w:type="dxa"/>
            <w:vAlign w:val="center"/>
          </w:tcPr>
          <w:p w:rsidR="00360D74" w:rsidRDefault="008732A1">
            <w:pPr>
              <w:pStyle w:val="TAC"/>
              <w:jc w:val="left"/>
              <w:rPr>
                <w:rFonts w:ascii="Times New Roman" w:hAnsi="Times New Roman"/>
                <w:sz w:val="20"/>
              </w:rPr>
            </w:pPr>
            <w:r>
              <w:rPr>
                <w:rFonts w:ascii="Times New Roman" w:hAnsi="Times New Roman"/>
                <w:sz w:val="20"/>
              </w:rPr>
              <w:t>The UE will use the PCI range information broadcasted by its serving cell when it searches for other cells. It should therefore be possible to use the same time limit for the PCI range information as we use for other SIB parameters.</w:t>
            </w:r>
          </w:p>
        </w:tc>
      </w:tr>
      <w:tr w:rsidR="00360D74">
        <w:tc>
          <w:tcPr>
            <w:tcW w:w="1227" w:type="dxa"/>
            <w:vAlign w:val="center"/>
          </w:tcPr>
          <w:p w:rsidR="00360D74" w:rsidRDefault="008732A1">
            <w:pPr>
              <w:pStyle w:val="TAC"/>
              <w:jc w:val="left"/>
              <w:rPr>
                <w:rFonts w:ascii="Times New Roman" w:hAnsi="Times New Roman"/>
                <w:sz w:val="20"/>
                <w:lang w:eastAsia="zh-CN"/>
              </w:rPr>
            </w:pPr>
            <w:r>
              <w:rPr>
                <w:rFonts w:ascii="Times New Roman" w:hAnsi="Times New Roman"/>
                <w:sz w:val="20"/>
              </w:rPr>
              <w:t>Intel</w:t>
            </w:r>
          </w:p>
        </w:tc>
        <w:tc>
          <w:tcPr>
            <w:tcW w:w="1198" w:type="dxa"/>
          </w:tcPr>
          <w:p w:rsidR="00360D74" w:rsidRDefault="008732A1">
            <w:pPr>
              <w:pStyle w:val="TAC"/>
              <w:jc w:val="left"/>
              <w:rPr>
                <w:rFonts w:ascii="Times New Roman" w:hAnsi="Times New Roman"/>
                <w:sz w:val="20"/>
                <w:lang w:eastAsia="zh-CN"/>
              </w:rPr>
            </w:pPr>
            <w:r>
              <w:rPr>
                <w:rFonts w:ascii="Times New Roman" w:hAnsi="Times New Roman"/>
                <w:sz w:val="20"/>
              </w:rPr>
              <w:t>Option A</w:t>
            </w:r>
          </w:p>
        </w:tc>
        <w:tc>
          <w:tcPr>
            <w:tcW w:w="7200" w:type="dxa"/>
            <w:vAlign w:val="center"/>
          </w:tcPr>
          <w:p w:rsidR="00360D74" w:rsidRDefault="008732A1">
            <w:pPr>
              <w:pStyle w:val="TAC"/>
              <w:jc w:val="left"/>
              <w:rPr>
                <w:rFonts w:ascii="Times New Roman" w:hAnsi="Times New Roman"/>
                <w:sz w:val="20"/>
                <w:lang w:eastAsia="zh-CN"/>
              </w:rPr>
            </w:pPr>
            <w:r>
              <w:rPr>
                <w:rFonts w:ascii="Times New Roman" w:hAnsi="Times New Roman"/>
                <w:sz w:val="20"/>
              </w:rPr>
              <w:t>We have a slight preference for Option A as it does not seem logical for cell that does not support CAG to always provide the PCI range, considering that the SIBs of a cell is cell scope and the PCI range is supposed to be used for a frequency by the UE with applicability of the PCI range wider than a cell (in view that CAG concept can be applied to both enterprise and residential deployment). It would be good to keep the PCI range for longer than 3hrs.</w:t>
            </w:r>
          </w:p>
        </w:tc>
      </w:tr>
      <w:tr w:rsidR="00360D74">
        <w:tc>
          <w:tcPr>
            <w:tcW w:w="1227" w:type="dxa"/>
            <w:vAlign w:val="center"/>
          </w:tcPr>
          <w:p w:rsidR="00360D74" w:rsidRDefault="008732A1">
            <w:pPr>
              <w:pStyle w:val="TAC"/>
              <w:jc w:val="left"/>
              <w:rPr>
                <w:rFonts w:ascii="Times New Roman" w:hAnsi="Times New Roman"/>
                <w:sz w:val="20"/>
                <w:lang w:eastAsia="zh-CN"/>
              </w:rPr>
            </w:pPr>
            <w:r>
              <w:rPr>
                <w:rFonts w:ascii="Times New Roman" w:hAnsi="Times New Roman"/>
                <w:sz w:val="20"/>
                <w:lang w:eastAsia="zh-CN"/>
              </w:rPr>
              <w:t>Nokia</w:t>
            </w:r>
          </w:p>
        </w:tc>
        <w:tc>
          <w:tcPr>
            <w:tcW w:w="1198" w:type="dxa"/>
          </w:tcPr>
          <w:p w:rsidR="00360D74" w:rsidRDefault="008732A1">
            <w:pPr>
              <w:pStyle w:val="TAC"/>
              <w:jc w:val="left"/>
              <w:rPr>
                <w:rFonts w:ascii="Times New Roman" w:hAnsi="Times New Roman"/>
                <w:sz w:val="20"/>
                <w:lang w:eastAsia="zh-CN"/>
              </w:rPr>
            </w:pPr>
            <w:r>
              <w:rPr>
                <w:rFonts w:ascii="Times New Roman" w:hAnsi="Times New Roman"/>
                <w:sz w:val="20"/>
                <w:lang w:eastAsia="zh-CN"/>
              </w:rPr>
              <w:t>B</w:t>
            </w:r>
          </w:p>
        </w:tc>
        <w:tc>
          <w:tcPr>
            <w:tcW w:w="7200" w:type="dxa"/>
            <w:vAlign w:val="center"/>
          </w:tcPr>
          <w:p w:rsidR="00360D74" w:rsidRDefault="008732A1">
            <w:pPr>
              <w:pStyle w:val="TAC"/>
              <w:jc w:val="left"/>
              <w:rPr>
                <w:rFonts w:ascii="Times New Roman" w:hAnsi="Times New Roman"/>
                <w:sz w:val="20"/>
                <w:lang w:eastAsia="zh-CN"/>
              </w:rPr>
            </w:pPr>
            <w:r>
              <w:rPr>
                <w:rFonts w:ascii="Times New Roman" w:hAnsi="Times New Roman"/>
                <w:sz w:val="20"/>
                <w:lang w:eastAsia="zh-CN"/>
              </w:rPr>
              <w:t xml:space="preserve">We see no use-case when longer storage is needed. If the UE can use PCI ranges for CAGs longer than other information, then the network cannot know which information the UEs will use during cell reselection. </w:t>
            </w:r>
          </w:p>
        </w:tc>
      </w:tr>
      <w:tr w:rsidR="00360D74">
        <w:tc>
          <w:tcPr>
            <w:tcW w:w="1227" w:type="dxa"/>
            <w:vAlign w:val="center"/>
          </w:tcPr>
          <w:p w:rsidR="00360D74" w:rsidRDefault="008732A1">
            <w:pPr>
              <w:pStyle w:val="TAC"/>
              <w:jc w:val="left"/>
              <w:rPr>
                <w:rFonts w:ascii="Times New Roman" w:hAnsi="Times New Roman"/>
                <w:sz w:val="20"/>
                <w:lang w:eastAsia="zh-CN"/>
              </w:rPr>
            </w:pPr>
            <w:r>
              <w:rPr>
                <w:rFonts w:ascii="Times New Roman" w:hAnsi="Times New Roman"/>
                <w:sz w:val="20"/>
                <w:lang w:eastAsia="zh-CN"/>
              </w:rPr>
              <w:t>Sony</w:t>
            </w:r>
          </w:p>
        </w:tc>
        <w:tc>
          <w:tcPr>
            <w:tcW w:w="1198" w:type="dxa"/>
          </w:tcPr>
          <w:p w:rsidR="00360D74" w:rsidRDefault="008732A1">
            <w:pPr>
              <w:pStyle w:val="TAC"/>
              <w:jc w:val="left"/>
              <w:rPr>
                <w:rFonts w:ascii="Times New Roman" w:hAnsi="Times New Roman"/>
                <w:sz w:val="20"/>
                <w:lang w:eastAsia="zh-CN"/>
              </w:rPr>
            </w:pPr>
            <w:r>
              <w:rPr>
                <w:rFonts w:ascii="Times New Roman" w:hAnsi="Times New Roman"/>
                <w:sz w:val="20"/>
                <w:lang w:eastAsia="zh-CN"/>
              </w:rPr>
              <w:t>B</w:t>
            </w:r>
          </w:p>
        </w:tc>
        <w:tc>
          <w:tcPr>
            <w:tcW w:w="7200" w:type="dxa"/>
            <w:vAlign w:val="center"/>
          </w:tcPr>
          <w:p w:rsidR="00360D74" w:rsidRDefault="00360D74">
            <w:pPr>
              <w:pStyle w:val="TAC"/>
              <w:jc w:val="left"/>
              <w:rPr>
                <w:rFonts w:ascii="Times New Roman" w:hAnsi="Times New Roman"/>
                <w:sz w:val="20"/>
                <w:lang w:eastAsia="zh-CN"/>
              </w:rPr>
            </w:pPr>
          </w:p>
        </w:tc>
      </w:tr>
      <w:tr w:rsidR="00360D74">
        <w:tc>
          <w:tcPr>
            <w:tcW w:w="1227" w:type="dxa"/>
            <w:vAlign w:val="center"/>
          </w:tcPr>
          <w:p w:rsidR="00360D74" w:rsidRDefault="008732A1">
            <w:pPr>
              <w:pStyle w:val="TAC"/>
              <w:jc w:val="left"/>
              <w:rPr>
                <w:rFonts w:ascii="Times New Roman" w:hAnsi="Times New Roman"/>
                <w:sz w:val="20"/>
              </w:rPr>
            </w:pPr>
            <w:r>
              <w:rPr>
                <w:rFonts w:ascii="Times New Roman" w:hAnsi="Times New Roman"/>
                <w:sz w:val="20"/>
              </w:rPr>
              <w:t>Qualcomm</w:t>
            </w:r>
          </w:p>
        </w:tc>
        <w:tc>
          <w:tcPr>
            <w:tcW w:w="1198" w:type="dxa"/>
          </w:tcPr>
          <w:p w:rsidR="00360D74" w:rsidRDefault="008732A1">
            <w:pPr>
              <w:pStyle w:val="TAC"/>
              <w:jc w:val="left"/>
              <w:rPr>
                <w:rFonts w:ascii="Times New Roman" w:hAnsi="Times New Roman"/>
                <w:sz w:val="20"/>
              </w:rPr>
            </w:pPr>
            <w:r>
              <w:rPr>
                <w:rFonts w:ascii="Times New Roman" w:hAnsi="Times New Roman"/>
                <w:sz w:val="20"/>
              </w:rPr>
              <w:t>B</w:t>
            </w:r>
          </w:p>
        </w:tc>
        <w:tc>
          <w:tcPr>
            <w:tcW w:w="7200" w:type="dxa"/>
            <w:vAlign w:val="center"/>
          </w:tcPr>
          <w:p w:rsidR="00360D74" w:rsidRDefault="008732A1">
            <w:pPr>
              <w:pStyle w:val="TAC"/>
              <w:jc w:val="left"/>
              <w:rPr>
                <w:rFonts w:ascii="Times New Roman" w:hAnsi="Times New Roman"/>
                <w:sz w:val="20"/>
              </w:rPr>
            </w:pPr>
            <w:r>
              <w:rPr>
                <w:rFonts w:ascii="Times New Roman" w:hAnsi="Times New Roman"/>
                <w:sz w:val="20"/>
              </w:rPr>
              <w:t xml:space="preserve">3 hours seems </w:t>
            </w:r>
            <w:proofErr w:type="gramStart"/>
            <w:r>
              <w:rPr>
                <w:rFonts w:ascii="Times New Roman" w:hAnsi="Times New Roman"/>
                <w:sz w:val="20"/>
              </w:rPr>
              <w:t>enough, and</w:t>
            </w:r>
            <w:proofErr w:type="gramEnd"/>
            <w:r>
              <w:rPr>
                <w:rFonts w:ascii="Times New Roman" w:hAnsi="Times New Roman"/>
                <w:sz w:val="20"/>
              </w:rPr>
              <w:t xml:space="preserve"> reduces chance of error as the UE moves to different areas of the network.</w:t>
            </w:r>
          </w:p>
        </w:tc>
      </w:tr>
      <w:tr w:rsidR="00360D74">
        <w:tc>
          <w:tcPr>
            <w:tcW w:w="1227" w:type="dxa"/>
            <w:vAlign w:val="center"/>
          </w:tcPr>
          <w:p w:rsidR="00360D74" w:rsidRDefault="008732A1">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1198" w:type="dxa"/>
          </w:tcPr>
          <w:p w:rsidR="00360D74" w:rsidRDefault="008732A1">
            <w:pPr>
              <w:pStyle w:val="TAC"/>
              <w:jc w:val="left"/>
              <w:rPr>
                <w:rFonts w:ascii="Times New Roman" w:hAnsi="Times New Roman"/>
                <w:sz w:val="20"/>
              </w:rPr>
            </w:pPr>
            <w:r>
              <w:rPr>
                <w:rFonts w:ascii="Times New Roman" w:hAnsi="Times New Roman"/>
                <w:sz w:val="20"/>
              </w:rPr>
              <w:t>B</w:t>
            </w:r>
          </w:p>
        </w:tc>
        <w:tc>
          <w:tcPr>
            <w:tcW w:w="7200" w:type="dxa"/>
            <w:vAlign w:val="center"/>
          </w:tcPr>
          <w:p w:rsidR="00360D74" w:rsidRDefault="008732A1">
            <w:pPr>
              <w:pStyle w:val="TAC"/>
              <w:jc w:val="left"/>
              <w:rPr>
                <w:rFonts w:ascii="Times New Roman" w:hAnsi="Times New Roman"/>
                <w:sz w:val="20"/>
              </w:rPr>
            </w:pPr>
            <w:r>
              <w:rPr>
                <w:rFonts w:ascii="Times New Roman" w:hAnsi="Times New Roman"/>
                <w:sz w:val="20"/>
              </w:rPr>
              <w:t xml:space="preserve">Keeping a consistent validity time for all SIBs may help to avoid any unforeseen complexity. </w:t>
            </w:r>
          </w:p>
        </w:tc>
      </w:tr>
      <w:tr w:rsidR="00360D74">
        <w:tc>
          <w:tcPr>
            <w:tcW w:w="1227" w:type="dxa"/>
            <w:vAlign w:val="center"/>
          </w:tcPr>
          <w:p w:rsidR="00360D74" w:rsidRDefault="008732A1">
            <w:pPr>
              <w:pStyle w:val="TAC"/>
              <w:jc w:val="left"/>
              <w:rPr>
                <w:rFonts w:ascii="Times New Roman" w:hAnsi="Times New Roman"/>
                <w:sz w:val="20"/>
                <w:lang w:eastAsia="zh-CN"/>
              </w:rPr>
            </w:pPr>
            <w:r>
              <w:rPr>
                <w:rFonts w:ascii="Times New Roman" w:hAnsi="Times New Roman" w:hint="eastAsia"/>
                <w:sz w:val="20"/>
                <w:lang w:eastAsia="zh-CN"/>
              </w:rPr>
              <w:t>C</w:t>
            </w:r>
            <w:r>
              <w:rPr>
                <w:rFonts w:ascii="Times New Roman" w:hAnsi="Times New Roman"/>
                <w:sz w:val="20"/>
                <w:lang w:eastAsia="zh-CN"/>
              </w:rPr>
              <w:t>hina Telecom</w:t>
            </w:r>
          </w:p>
        </w:tc>
        <w:tc>
          <w:tcPr>
            <w:tcW w:w="1198" w:type="dxa"/>
          </w:tcPr>
          <w:p w:rsidR="00360D74" w:rsidRDefault="008732A1">
            <w:pPr>
              <w:pStyle w:val="TAC"/>
              <w:jc w:val="left"/>
              <w:rPr>
                <w:rFonts w:ascii="Times New Roman" w:hAnsi="Times New Roman"/>
                <w:sz w:val="20"/>
                <w:lang w:eastAsia="zh-CN"/>
              </w:rPr>
            </w:pPr>
            <w:r>
              <w:rPr>
                <w:rFonts w:ascii="Times New Roman" w:hAnsi="Times New Roman" w:hint="eastAsia"/>
                <w:sz w:val="20"/>
                <w:lang w:eastAsia="zh-CN"/>
              </w:rPr>
              <w:t>B</w:t>
            </w:r>
          </w:p>
        </w:tc>
        <w:tc>
          <w:tcPr>
            <w:tcW w:w="7200" w:type="dxa"/>
            <w:vAlign w:val="center"/>
          </w:tcPr>
          <w:p w:rsidR="00360D74" w:rsidRDefault="008732A1">
            <w:pPr>
              <w:pStyle w:val="TAC"/>
              <w:jc w:val="left"/>
              <w:rPr>
                <w:rFonts w:ascii="Times New Roman" w:hAnsi="Times New Roman"/>
                <w:sz w:val="20"/>
                <w:lang w:eastAsia="zh-CN"/>
              </w:rPr>
            </w:pPr>
            <w:r>
              <w:rPr>
                <w:rFonts w:ascii="Times New Roman" w:hAnsi="Times New Roman" w:hint="eastAsia"/>
                <w:sz w:val="20"/>
                <w:lang w:eastAsia="zh-CN"/>
              </w:rPr>
              <w:t>We</w:t>
            </w:r>
            <w:r>
              <w:rPr>
                <w:rFonts w:ascii="Times New Roman" w:hAnsi="Times New Roman"/>
                <w:sz w:val="20"/>
                <w:lang w:eastAsia="zh-CN"/>
              </w:rPr>
              <w:t xml:space="preserve"> prefer to align with other SIB parameters for validity time.</w:t>
            </w:r>
          </w:p>
        </w:tc>
      </w:tr>
      <w:tr w:rsidR="00360D74">
        <w:tc>
          <w:tcPr>
            <w:tcW w:w="1227" w:type="dxa"/>
            <w:vAlign w:val="center"/>
          </w:tcPr>
          <w:p w:rsidR="00360D74" w:rsidRDefault="008732A1">
            <w:pPr>
              <w:pStyle w:val="TAC"/>
              <w:jc w:val="left"/>
              <w:rPr>
                <w:rFonts w:ascii="Times New Roman" w:hAnsi="Times New Roman"/>
                <w:sz w:val="20"/>
                <w:lang w:val="en-US" w:eastAsia="zh-CN"/>
              </w:rPr>
            </w:pPr>
            <w:r>
              <w:rPr>
                <w:rFonts w:ascii="Times New Roman" w:hAnsi="Times New Roman" w:hint="eastAsia"/>
                <w:sz w:val="20"/>
                <w:lang w:val="en-US" w:eastAsia="zh-CN"/>
              </w:rPr>
              <w:t>ZTE</w:t>
            </w:r>
          </w:p>
        </w:tc>
        <w:tc>
          <w:tcPr>
            <w:tcW w:w="1198" w:type="dxa"/>
          </w:tcPr>
          <w:p w:rsidR="00360D74" w:rsidRDefault="008732A1">
            <w:pPr>
              <w:pStyle w:val="TAC"/>
              <w:jc w:val="left"/>
              <w:rPr>
                <w:rFonts w:ascii="Times New Roman" w:hAnsi="Times New Roman"/>
                <w:sz w:val="20"/>
                <w:lang w:val="en-US" w:eastAsia="zh-CN"/>
              </w:rPr>
            </w:pPr>
            <w:r>
              <w:rPr>
                <w:rFonts w:ascii="Times New Roman" w:hAnsi="Times New Roman" w:hint="eastAsia"/>
                <w:sz w:val="20"/>
                <w:lang w:val="en-US" w:eastAsia="zh-CN"/>
              </w:rPr>
              <w:t>A</w:t>
            </w:r>
          </w:p>
        </w:tc>
        <w:tc>
          <w:tcPr>
            <w:tcW w:w="7200" w:type="dxa"/>
            <w:vAlign w:val="center"/>
          </w:tcPr>
          <w:p w:rsidR="00360D74" w:rsidRDefault="008732A1">
            <w:pPr>
              <w:pStyle w:val="TAC"/>
              <w:jc w:val="left"/>
              <w:rPr>
                <w:rFonts w:ascii="Times New Roman" w:hAnsi="Times New Roman"/>
                <w:sz w:val="20"/>
                <w:lang w:val="en-US" w:eastAsia="zh-CN"/>
              </w:rPr>
            </w:pPr>
            <w:r>
              <w:rPr>
                <w:rFonts w:ascii="Times New Roman" w:hAnsi="Times New Roman" w:hint="eastAsia"/>
                <w:sz w:val="20"/>
                <w:lang w:val="en-US" w:eastAsia="zh-CN"/>
              </w:rPr>
              <w:t>We share the same understanding with Intel and slightly prefers option A.  UE will always use the PCI range information broadcast by its serving cell when it searches for other cells. However, we do not assume the PCI range information will always be broadcast according to the comments under Question 1. For the case when PCI range is not broadcast, allowing UE to store the received PCI range for a longer time and use it in cell reselection would be helpful.</w:t>
            </w:r>
          </w:p>
          <w:p w:rsidR="00360D74" w:rsidRDefault="008732A1">
            <w:pPr>
              <w:pStyle w:val="TAC"/>
              <w:jc w:val="left"/>
              <w:rPr>
                <w:rFonts w:ascii="Times New Roman" w:hAnsi="Times New Roman"/>
                <w:sz w:val="20"/>
                <w:lang w:val="en-US" w:eastAsia="zh-CN"/>
              </w:rPr>
            </w:pPr>
            <w:r>
              <w:rPr>
                <w:rFonts w:ascii="Times New Roman" w:hAnsi="Times New Roman" w:hint="eastAsia"/>
                <w:sz w:val="20"/>
                <w:lang w:val="en-US" w:eastAsia="zh-CN"/>
              </w:rPr>
              <w:t>As mentioned by one operator during the online discussion, they may update the PCI range every 24 hours, which means such information will not change frequently.</w:t>
            </w:r>
          </w:p>
        </w:tc>
      </w:tr>
      <w:tr w:rsidR="002F51EF">
        <w:tc>
          <w:tcPr>
            <w:tcW w:w="1227" w:type="dxa"/>
            <w:vAlign w:val="center"/>
          </w:tcPr>
          <w:p w:rsidR="002F51EF" w:rsidRDefault="002F51EF" w:rsidP="002F51EF">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1198" w:type="dxa"/>
          </w:tcPr>
          <w:p w:rsidR="002F51EF" w:rsidRDefault="002F51EF" w:rsidP="002F51EF">
            <w:pPr>
              <w:pStyle w:val="TAC"/>
              <w:jc w:val="left"/>
              <w:rPr>
                <w:rFonts w:ascii="Times New Roman" w:hAnsi="Times New Roman"/>
                <w:sz w:val="20"/>
                <w:lang w:eastAsia="zh-CN"/>
              </w:rPr>
            </w:pPr>
            <w:r>
              <w:rPr>
                <w:rFonts w:ascii="Times New Roman" w:hAnsi="Times New Roman"/>
                <w:sz w:val="20"/>
                <w:lang w:eastAsia="zh-CN"/>
              </w:rPr>
              <w:t>Prefer A</w:t>
            </w:r>
          </w:p>
        </w:tc>
        <w:tc>
          <w:tcPr>
            <w:tcW w:w="7200" w:type="dxa"/>
            <w:vAlign w:val="center"/>
          </w:tcPr>
          <w:p w:rsidR="002F51EF" w:rsidRDefault="002F51EF" w:rsidP="002F51EF">
            <w:pPr>
              <w:pStyle w:val="TAC"/>
              <w:jc w:val="left"/>
              <w:rPr>
                <w:rFonts w:ascii="Times New Roman" w:hAnsi="Times New Roman"/>
                <w:sz w:val="20"/>
                <w:lang w:eastAsia="zh-CN"/>
              </w:rPr>
            </w:pPr>
            <w:r>
              <w:rPr>
                <w:rFonts w:ascii="Times New Roman" w:hAnsi="Times New Roman"/>
                <w:sz w:val="20"/>
                <w:lang w:eastAsia="zh-CN"/>
              </w:rPr>
              <w:t>We slightly prefer Option A because we don’t think the reserved PCI range will be changed so frequently. But Option B is also acceptable if companies want a simple UE implementation.</w:t>
            </w:r>
          </w:p>
        </w:tc>
      </w:tr>
      <w:tr w:rsidR="00AE4EC4">
        <w:tc>
          <w:tcPr>
            <w:tcW w:w="1227" w:type="dxa"/>
            <w:vAlign w:val="center"/>
          </w:tcPr>
          <w:p w:rsidR="00AE4EC4" w:rsidRDefault="00AE4EC4" w:rsidP="00F7196C">
            <w:pPr>
              <w:pStyle w:val="TAC"/>
              <w:jc w:val="left"/>
              <w:rPr>
                <w:rFonts w:ascii="Times New Roman" w:hAnsi="Times New Roman"/>
                <w:sz w:val="20"/>
                <w:lang w:eastAsia="zh-CN"/>
              </w:rPr>
            </w:pPr>
            <w:r>
              <w:rPr>
                <w:rFonts w:ascii="Times New Roman" w:hAnsi="Times New Roman" w:hint="eastAsia"/>
                <w:sz w:val="20"/>
                <w:lang w:eastAsia="zh-CN"/>
              </w:rPr>
              <w:t>CATT</w:t>
            </w:r>
          </w:p>
        </w:tc>
        <w:tc>
          <w:tcPr>
            <w:tcW w:w="1198" w:type="dxa"/>
          </w:tcPr>
          <w:p w:rsidR="00AE4EC4" w:rsidRDefault="00AE4EC4" w:rsidP="00F7196C">
            <w:pPr>
              <w:pStyle w:val="TAC"/>
              <w:jc w:val="left"/>
              <w:rPr>
                <w:rFonts w:ascii="Times New Roman" w:hAnsi="Times New Roman"/>
                <w:sz w:val="20"/>
                <w:lang w:eastAsia="zh-CN"/>
              </w:rPr>
            </w:pPr>
            <w:r>
              <w:rPr>
                <w:rFonts w:ascii="Times New Roman" w:hAnsi="Times New Roman" w:hint="eastAsia"/>
                <w:sz w:val="20"/>
                <w:lang w:eastAsia="zh-CN"/>
              </w:rPr>
              <w:t>B</w:t>
            </w:r>
          </w:p>
        </w:tc>
        <w:tc>
          <w:tcPr>
            <w:tcW w:w="7200" w:type="dxa"/>
            <w:vAlign w:val="center"/>
          </w:tcPr>
          <w:p w:rsidR="00AE4EC4" w:rsidRDefault="00AE4EC4" w:rsidP="00F7196C">
            <w:pPr>
              <w:pStyle w:val="TAC"/>
              <w:jc w:val="left"/>
              <w:rPr>
                <w:rFonts w:ascii="Times New Roman" w:hAnsi="Times New Roman"/>
                <w:sz w:val="20"/>
                <w:lang w:eastAsia="zh-CN"/>
              </w:rPr>
            </w:pPr>
            <w:r>
              <w:rPr>
                <w:rFonts w:ascii="Times New Roman" w:hAnsi="Times New Roman"/>
                <w:sz w:val="20"/>
                <w:lang w:eastAsia="zh-CN"/>
              </w:rPr>
              <w:t>W</w:t>
            </w:r>
            <w:r>
              <w:rPr>
                <w:rFonts w:ascii="Times New Roman" w:hAnsi="Times New Roman" w:hint="eastAsia"/>
                <w:sz w:val="20"/>
                <w:lang w:eastAsia="zh-CN"/>
              </w:rPr>
              <w:t>e do not see any justification to deviate from the validity time for all SIBs</w:t>
            </w:r>
          </w:p>
        </w:tc>
      </w:tr>
      <w:tr w:rsidR="0087592F">
        <w:tc>
          <w:tcPr>
            <w:tcW w:w="1227" w:type="dxa"/>
            <w:vAlign w:val="center"/>
          </w:tcPr>
          <w:p w:rsidR="0087592F" w:rsidRDefault="0087592F" w:rsidP="0087592F">
            <w:pPr>
              <w:pStyle w:val="TAC"/>
              <w:jc w:val="left"/>
              <w:rPr>
                <w:rFonts w:ascii="Times New Roman" w:hAnsi="Times New Roman"/>
                <w:sz w:val="20"/>
              </w:rPr>
            </w:pPr>
            <w:r>
              <w:rPr>
                <w:rFonts w:ascii="Times New Roman" w:hAnsi="Times New Roman"/>
                <w:sz w:val="20"/>
              </w:rPr>
              <w:t>Lenovo</w:t>
            </w:r>
          </w:p>
        </w:tc>
        <w:tc>
          <w:tcPr>
            <w:tcW w:w="1198" w:type="dxa"/>
          </w:tcPr>
          <w:p w:rsidR="0087592F" w:rsidRDefault="0087592F" w:rsidP="0087592F">
            <w:pPr>
              <w:pStyle w:val="TAC"/>
              <w:jc w:val="left"/>
              <w:rPr>
                <w:rFonts w:ascii="Times New Roman" w:hAnsi="Times New Roman"/>
                <w:sz w:val="20"/>
              </w:rPr>
            </w:pPr>
            <w:r>
              <w:rPr>
                <w:rFonts w:ascii="Times New Roman" w:hAnsi="Times New Roman"/>
                <w:sz w:val="20"/>
              </w:rPr>
              <w:t>Option B</w:t>
            </w:r>
          </w:p>
        </w:tc>
        <w:tc>
          <w:tcPr>
            <w:tcW w:w="7200" w:type="dxa"/>
            <w:vAlign w:val="center"/>
          </w:tcPr>
          <w:p w:rsidR="0087592F" w:rsidRDefault="0087592F" w:rsidP="0087592F">
            <w:pPr>
              <w:pStyle w:val="TAC"/>
              <w:jc w:val="left"/>
              <w:rPr>
                <w:rFonts w:ascii="Times New Roman" w:hAnsi="Times New Roman"/>
                <w:sz w:val="20"/>
              </w:rPr>
            </w:pPr>
            <w:r>
              <w:rPr>
                <w:rFonts w:ascii="Times New Roman" w:hAnsi="Times New Roman"/>
                <w:sz w:val="20"/>
              </w:rPr>
              <w:t xml:space="preserve">The use-case for LTE CSG is different. In LTE CSG the broadcast of the PCI value range is mandatory for </w:t>
            </w:r>
            <w:r w:rsidRPr="00D45AB0">
              <w:rPr>
                <w:rFonts w:ascii="Times New Roman" w:hAnsi="Times New Roman"/>
                <w:sz w:val="20"/>
              </w:rPr>
              <w:t>CSG cells</w:t>
            </w:r>
            <w:r>
              <w:rPr>
                <w:rFonts w:ascii="Times New Roman" w:hAnsi="Times New Roman"/>
                <w:sz w:val="20"/>
              </w:rPr>
              <w:t xml:space="preserve">. Furthermore, </w:t>
            </w:r>
            <w:r w:rsidR="00545FE8">
              <w:rPr>
                <w:rFonts w:ascii="Times New Roman" w:hAnsi="Times New Roman"/>
                <w:sz w:val="20"/>
              </w:rPr>
              <w:t xml:space="preserve">so </w:t>
            </w:r>
            <w:proofErr w:type="gramStart"/>
            <w:r w:rsidR="00545FE8">
              <w:rPr>
                <w:rFonts w:ascii="Times New Roman" w:hAnsi="Times New Roman"/>
                <w:sz w:val="20"/>
              </w:rPr>
              <w:t>far</w:t>
            </w:r>
            <w:proofErr w:type="gramEnd"/>
            <w:r w:rsidR="00545FE8">
              <w:rPr>
                <w:rFonts w:ascii="Times New Roman" w:hAnsi="Times New Roman"/>
                <w:sz w:val="20"/>
              </w:rPr>
              <w:t xml:space="preserve"> we know </w:t>
            </w:r>
            <w:r>
              <w:rPr>
                <w:rFonts w:ascii="Times New Roman" w:hAnsi="Times New Roman"/>
                <w:sz w:val="20"/>
              </w:rPr>
              <w:t xml:space="preserve">the validity of the broadcast </w:t>
            </w:r>
            <w:r w:rsidRPr="000529BC">
              <w:rPr>
                <w:rFonts w:ascii="Times New Roman" w:hAnsi="Times New Roman"/>
                <w:sz w:val="20"/>
              </w:rPr>
              <w:t>PCI value range</w:t>
            </w:r>
            <w:r>
              <w:rPr>
                <w:rFonts w:ascii="Times New Roman" w:hAnsi="Times New Roman"/>
                <w:sz w:val="20"/>
              </w:rPr>
              <w:t xml:space="preserve"> was extended to 24 hours to address the case of a portable home eNB, where it may be moved and switched on a different location (</w:t>
            </w:r>
            <w:r w:rsidR="00985EE3">
              <w:rPr>
                <w:rFonts w:ascii="Times New Roman" w:hAnsi="Times New Roman"/>
                <w:sz w:val="20"/>
              </w:rPr>
              <w:t xml:space="preserve">and </w:t>
            </w:r>
            <w:r>
              <w:rPr>
                <w:rFonts w:ascii="Times New Roman" w:hAnsi="Times New Roman"/>
                <w:sz w:val="20"/>
              </w:rPr>
              <w:t>that may take more than 3 hours).</w:t>
            </w:r>
          </w:p>
        </w:tc>
      </w:tr>
      <w:tr w:rsidR="002F51EF">
        <w:tc>
          <w:tcPr>
            <w:tcW w:w="1227" w:type="dxa"/>
            <w:vAlign w:val="center"/>
          </w:tcPr>
          <w:p w:rsidR="002F51EF" w:rsidRDefault="002F51EF" w:rsidP="002F51EF">
            <w:pPr>
              <w:pStyle w:val="TAC"/>
              <w:jc w:val="left"/>
              <w:rPr>
                <w:rFonts w:ascii="Times New Roman" w:hAnsi="Times New Roman"/>
                <w:sz w:val="20"/>
                <w:lang w:val="en-US" w:eastAsia="zh-CN"/>
              </w:rPr>
            </w:pPr>
          </w:p>
        </w:tc>
        <w:tc>
          <w:tcPr>
            <w:tcW w:w="1198" w:type="dxa"/>
          </w:tcPr>
          <w:p w:rsidR="002F51EF" w:rsidRDefault="002F51EF" w:rsidP="002F51EF">
            <w:pPr>
              <w:pStyle w:val="TAC"/>
              <w:jc w:val="both"/>
              <w:rPr>
                <w:rFonts w:ascii="Times New Roman" w:hAnsi="Times New Roman"/>
                <w:sz w:val="20"/>
                <w:lang w:val="en-US" w:eastAsia="zh-CN"/>
              </w:rPr>
            </w:pPr>
          </w:p>
        </w:tc>
        <w:tc>
          <w:tcPr>
            <w:tcW w:w="7200" w:type="dxa"/>
            <w:vAlign w:val="center"/>
          </w:tcPr>
          <w:p w:rsidR="002F51EF" w:rsidRDefault="002F51EF" w:rsidP="002F51EF">
            <w:pPr>
              <w:pStyle w:val="TAC"/>
              <w:jc w:val="left"/>
              <w:rPr>
                <w:rFonts w:ascii="Times New Roman" w:hAnsi="Times New Roman"/>
                <w:sz w:val="20"/>
                <w:lang w:val="en-US" w:eastAsia="zh-CN"/>
              </w:rPr>
            </w:pPr>
          </w:p>
        </w:tc>
      </w:tr>
    </w:tbl>
    <w:p w:rsidR="00360D74" w:rsidRDefault="00360D74"/>
    <w:p w:rsidR="008C35D3" w:rsidRDefault="008C35D3" w:rsidP="008C35D3">
      <w:r>
        <w:rPr>
          <w:b/>
          <w:bCs/>
        </w:rPr>
        <w:lastRenderedPageBreak/>
        <w:t xml:space="preserve">Summary: </w:t>
      </w:r>
      <w:r w:rsidRPr="00A448C5">
        <w:t>1</w:t>
      </w:r>
      <w:r>
        <w:t>1</w:t>
      </w:r>
      <w:r w:rsidRPr="00A448C5">
        <w:t xml:space="preserve"> companies answered the question</w:t>
      </w:r>
      <w:r>
        <w:t>. Option A is preferred by 3 companies, and option B is preferred by 8 companies. The companies preferred option A clearly stated that they have no objection against option B.</w:t>
      </w:r>
    </w:p>
    <w:p w:rsidR="008C35D3" w:rsidRPr="00A448C5" w:rsidRDefault="008C35D3" w:rsidP="008C35D3">
      <w:pPr>
        <w:rPr>
          <w:b/>
          <w:bCs/>
        </w:rPr>
      </w:pPr>
      <w:r w:rsidRPr="00A448C5">
        <w:rPr>
          <w:b/>
          <w:bCs/>
        </w:rPr>
        <w:t xml:space="preserve">Proposed conclusion: </w:t>
      </w:r>
      <w:r>
        <w:t>The validity time for PCI ranges advertised for CAGs is 3 hours (as for other SIB parameters).</w:t>
      </w:r>
    </w:p>
    <w:p w:rsidR="00360D74" w:rsidRDefault="00360D74"/>
    <w:p w:rsidR="00360D74" w:rsidRDefault="008732A1">
      <w:pPr>
        <w:pStyle w:val="Heading1"/>
      </w:pPr>
      <w:r>
        <w:t>3</w:t>
      </w:r>
      <w:r>
        <w:tab/>
        <w:t>Conclusions</w:t>
      </w:r>
    </w:p>
    <w:p w:rsidR="008C35D3" w:rsidRDefault="008C35D3" w:rsidP="008C35D3">
      <w:pPr>
        <w:pStyle w:val="Heading2"/>
      </w:pPr>
      <w:r>
        <w:t>3.1</w:t>
      </w:r>
      <w:r>
        <w:tab/>
        <w:t>Proposals to be agreed in email</w:t>
      </w:r>
    </w:p>
    <w:p w:rsidR="008C35D3" w:rsidRDefault="008C35D3" w:rsidP="008C35D3">
      <w:r w:rsidRPr="00A448C5">
        <w:rPr>
          <w:b/>
          <w:bCs/>
        </w:rPr>
        <w:t>Propos</w:t>
      </w:r>
      <w:r>
        <w:rPr>
          <w:b/>
          <w:bCs/>
        </w:rPr>
        <w:t xml:space="preserve">al 1: </w:t>
      </w:r>
      <w:r w:rsidR="00B20D1A" w:rsidRPr="00A448C5">
        <w:t>All cells</w:t>
      </w:r>
      <w:r w:rsidR="00B20D1A">
        <w:t xml:space="preserve"> including cells that do not support CAGs can optionally broadcast PCI ranges for CAGs per frequency per PLMN</w:t>
      </w:r>
      <w:r w:rsidR="00B20D1A">
        <w:t>.</w:t>
      </w:r>
    </w:p>
    <w:p w:rsidR="008C35D3" w:rsidRPr="00A448C5" w:rsidRDefault="008C35D3" w:rsidP="008C35D3">
      <w:pPr>
        <w:rPr>
          <w:b/>
          <w:bCs/>
        </w:rPr>
      </w:pPr>
      <w:r w:rsidRPr="00A448C5">
        <w:rPr>
          <w:b/>
          <w:bCs/>
        </w:rPr>
        <w:t>Propos</w:t>
      </w:r>
      <w:r>
        <w:rPr>
          <w:b/>
          <w:bCs/>
        </w:rPr>
        <w:t>al 2</w:t>
      </w:r>
      <w:r w:rsidRPr="00A448C5">
        <w:rPr>
          <w:b/>
          <w:bCs/>
        </w:rPr>
        <w:t xml:space="preserve">: </w:t>
      </w:r>
      <w:r>
        <w:t>The validity time for PCI ranges advertised for CAGs is 3 hours (as for other SIB parameters).</w:t>
      </w:r>
    </w:p>
    <w:p w:rsidR="008C35D3" w:rsidRPr="008C35D3" w:rsidRDefault="008C35D3" w:rsidP="008C35D3"/>
    <w:p w:rsidR="008C35D3" w:rsidRDefault="008C35D3" w:rsidP="008C35D3">
      <w:pPr>
        <w:pStyle w:val="Heading2"/>
      </w:pPr>
      <w:r>
        <w:t>3.2</w:t>
      </w:r>
      <w:r>
        <w:tab/>
        <w:t>The following issues are proposed to be discussed further</w:t>
      </w:r>
    </w:p>
    <w:p w:rsidR="008C35D3" w:rsidRDefault="008C35D3" w:rsidP="008C35D3">
      <w:r>
        <w:t>The use of the advertised PCI ranges for CAGs requires further clarifications:</w:t>
      </w:r>
    </w:p>
    <w:p w:rsidR="00B20D1A" w:rsidRPr="00A448C5" w:rsidRDefault="00B20D1A" w:rsidP="00B20D1A">
      <w:pPr>
        <w:pStyle w:val="ListParagraph"/>
        <w:numPr>
          <w:ilvl w:val="0"/>
          <w:numId w:val="8"/>
        </w:numPr>
        <w:rPr>
          <w:b/>
          <w:bCs/>
        </w:rPr>
      </w:pPr>
      <w:r>
        <w:t>How are the new lists used during cell reselection by CAG UEs?</w:t>
      </w:r>
    </w:p>
    <w:p w:rsidR="00B20D1A" w:rsidRPr="00A448C5" w:rsidRDefault="00B20D1A" w:rsidP="00B20D1A">
      <w:pPr>
        <w:pStyle w:val="ListParagraph"/>
        <w:numPr>
          <w:ilvl w:val="0"/>
          <w:numId w:val="8"/>
        </w:numPr>
        <w:rPr>
          <w:b/>
          <w:bCs/>
        </w:rPr>
      </w:pPr>
      <w:r>
        <w:t xml:space="preserve">Can the non-CAG UEs read the content of the new lists? If yes, then how the non-CAG UEs use them during cell reselection. </w:t>
      </w:r>
    </w:p>
    <w:p w:rsidR="008C35D3" w:rsidRPr="008C35D3" w:rsidRDefault="008C35D3" w:rsidP="008C35D3">
      <w:bookmarkStart w:id="0" w:name="_GoBack"/>
      <w:bookmarkEnd w:id="0"/>
    </w:p>
    <w:sectPr w:rsidR="008C35D3" w:rsidRPr="008C35D3">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1A7F" w:rsidRDefault="00F71A7F">
      <w:pPr>
        <w:spacing w:after="0" w:line="240" w:lineRule="auto"/>
      </w:pPr>
      <w:r>
        <w:separator/>
      </w:r>
    </w:p>
  </w:endnote>
  <w:endnote w:type="continuationSeparator" w:id="0">
    <w:p w:rsidR="00F71A7F" w:rsidRDefault="00F71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default"/>
    <w:sig w:usb0="B00002AF" w:usb1="69D77CFB" w:usb2="00000030" w:usb3="00000000" w:csb0="4008009F" w:csb1="DFD7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D74" w:rsidRDefault="008732A1">
    <w:pPr>
      <w:pStyle w:val="Footer"/>
    </w:pPr>
    <w:r>
      <w:rPr>
        <w:noProof/>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10229215</wp:posOffset>
              </wp:positionV>
              <wp:extent cx="7560945" cy="273050"/>
              <wp:effectExtent l="0" t="0" r="0" b="12700"/>
              <wp:wrapNone/>
              <wp:docPr id="1" name="MSIPCM5ab742b09ae76b7e70c0177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rsidR="00360D74" w:rsidRDefault="00360D7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5ab742b09ae76b7e70c0177f"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" o:allowincell="f" filled="f" stroked="f" strokeweight=".5pt">
              <v:textbox inset="20pt,0,,0">
                <w:txbxContent>
                  <w:p w:rsidR="00360D74" w:rsidRDefault="00360D7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1A7F" w:rsidRDefault="00F71A7F">
      <w:pPr>
        <w:spacing w:after="0" w:line="240" w:lineRule="auto"/>
      </w:pPr>
      <w:r>
        <w:separator/>
      </w:r>
    </w:p>
  </w:footnote>
  <w:footnote w:type="continuationSeparator" w:id="0">
    <w:p w:rsidR="00F71A7F" w:rsidRDefault="00F71A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0494C"/>
    <w:multiLevelType w:val="hybridMultilevel"/>
    <w:tmpl w:val="549EC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E7053"/>
    <w:multiLevelType w:val="hybridMultilevel"/>
    <w:tmpl w:val="A5AAFD5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08238C"/>
    <w:multiLevelType w:val="multilevel"/>
    <w:tmpl w:val="3908238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9B782E"/>
    <w:multiLevelType w:val="hybridMultilevel"/>
    <w:tmpl w:val="A5AAFD5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BD76552"/>
    <w:multiLevelType w:val="hybridMultilevel"/>
    <w:tmpl w:val="A5AAFD5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C47857"/>
    <w:multiLevelType w:val="multilevel"/>
    <w:tmpl w:val="6CC478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FEC5BD5"/>
    <w:multiLevelType w:val="hybridMultilevel"/>
    <w:tmpl w:val="A5AAFD5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0"/>
  </w:num>
  <w:num w:numId="5">
    <w:abstractNumId w:val="5"/>
  </w:num>
  <w:num w:numId="6">
    <w:abstractNumId w:val="7"/>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72"/>
    <w:rsid w:val="00004813"/>
    <w:rsid w:val="00004C30"/>
    <w:rsid w:val="00010EB2"/>
    <w:rsid w:val="00016557"/>
    <w:rsid w:val="000212AB"/>
    <w:rsid w:val="00023466"/>
    <w:rsid w:val="00023C40"/>
    <w:rsid w:val="00033397"/>
    <w:rsid w:val="00033D0D"/>
    <w:rsid w:val="00040095"/>
    <w:rsid w:val="0004693E"/>
    <w:rsid w:val="0005050D"/>
    <w:rsid w:val="00057CCC"/>
    <w:rsid w:val="00060590"/>
    <w:rsid w:val="00062F1C"/>
    <w:rsid w:val="00070FA2"/>
    <w:rsid w:val="00073C9C"/>
    <w:rsid w:val="00074053"/>
    <w:rsid w:val="000767F3"/>
    <w:rsid w:val="00080512"/>
    <w:rsid w:val="00080E89"/>
    <w:rsid w:val="00085582"/>
    <w:rsid w:val="000877C1"/>
    <w:rsid w:val="00090468"/>
    <w:rsid w:val="00090A95"/>
    <w:rsid w:val="000931A0"/>
    <w:rsid w:val="000934A4"/>
    <w:rsid w:val="00094568"/>
    <w:rsid w:val="000A102F"/>
    <w:rsid w:val="000A39F3"/>
    <w:rsid w:val="000A488E"/>
    <w:rsid w:val="000A6DAB"/>
    <w:rsid w:val="000B09D7"/>
    <w:rsid w:val="000B382F"/>
    <w:rsid w:val="000B3D72"/>
    <w:rsid w:val="000B5256"/>
    <w:rsid w:val="000B5B53"/>
    <w:rsid w:val="000B7BCF"/>
    <w:rsid w:val="000C197C"/>
    <w:rsid w:val="000C2141"/>
    <w:rsid w:val="000C522B"/>
    <w:rsid w:val="000C7B52"/>
    <w:rsid w:val="000D58AB"/>
    <w:rsid w:val="000E5E5B"/>
    <w:rsid w:val="000F333D"/>
    <w:rsid w:val="000F35A0"/>
    <w:rsid w:val="00105061"/>
    <w:rsid w:val="001107A6"/>
    <w:rsid w:val="00112981"/>
    <w:rsid w:val="00112F1A"/>
    <w:rsid w:val="00115625"/>
    <w:rsid w:val="0011680A"/>
    <w:rsid w:val="00122CF2"/>
    <w:rsid w:val="001233EC"/>
    <w:rsid w:val="00130D1C"/>
    <w:rsid w:val="001349AF"/>
    <w:rsid w:val="00142813"/>
    <w:rsid w:val="0014312D"/>
    <w:rsid w:val="001442AE"/>
    <w:rsid w:val="00145075"/>
    <w:rsid w:val="00152620"/>
    <w:rsid w:val="00154840"/>
    <w:rsid w:val="001558CB"/>
    <w:rsid w:val="00161E5E"/>
    <w:rsid w:val="00172F5C"/>
    <w:rsid w:val="001741A0"/>
    <w:rsid w:val="00175FA0"/>
    <w:rsid w:val="001778CC"/>
    <w:rsid w:val="001842A5"/>
    <w:rsid w:val="00185131"/>
    <w:rsid w:val="00186570"/>
    <w:rsid w:val="00194CD0"/>
    <w:rsid w:val="00195A37"/>
    <w:rsid w:val="001A1A69"/>
    <w:rsid w:val="001A2022"/>
    <w:rsid w:val="001A2720"/>
    <w:rsid w:val="001A639A"/>
    <w:rsid w:val="001A6FA1"/>
    <w:rsid w:val="001B01C2"/>
    <w:rsid w:val="001B24E1"/>
    <w:rsid w:val="001B4906"/>
    <w:rsid w:val="001B49C9"/>
    <w:rsid w:val="001C1D5D"/>
    <w:rsid w:val="001C23F4"/>
    <w:rsid w:val="001C2CAD"/>
    <w:rsid w:val="001C4F79"/>
    <w:rsid w:val="001D2C37"/>
    <w:rsid w:val="001D3457"/>
    <w:rsid w:val="001D5B89"/>
    <w:rsid w:val="001D6B6F"/>
    <w:rsid w:val="001E0958"/>
    <w:rsid w:val="001E28C2"/>
    <w:rsid w:val="001E3B2F"/>
    <w:rsid w:val="001E582D"/>
    <w:rsid w:val="001F0666"/>
    <w:rsid w:val="001F168B"/>
    <w:rsid w:val="001F7831"/>
    <w:rsid w:val="001F7BB9"/>
    <w:rsid w:val="00204045"/>
    <w:rsid w:val="00205D2A"/>
    <w:rsid w:val="00205E7D"/>
    <w:rsid w:val="00205F6B"/>
    <w:rsid w:val="0020712B"/>
    <w:rsid w:val="002173E9"/>
    <w:rsid w:val="0022606D"/>
    <w:rsid w:val="00227513"/>
    <w:rsid w:val="00230C06"/>
    <w:rsid w:val="00231728"/>
    <w:rsid w:val="0023312C"/>
    <w:rsid w:val="00241EF6"/>
    <w:rsid w:val="00246B1B"/>
    <w:rsid w:val="002477AA"/>
    <w:rsid w:val="00250404"/>
    <w:rsid w:val="0025788B"/>
    <w:rsid w:val="002610D8"/>
    <w:rsid w:val="002615C7"/>
    <w:rsid w:val="00261B45"/>
    <w:rsid w:val="0027152A"/>
    <w:rsid w:val="0027371A"/>
    <w:rsid w:val="002747EC"/>
    <w:rsid w:val="002801A4"/>
    <w:rsid w:val="00282C64"/>
    <w:rsid w:val="00284151"/>
    <w:rsid w:val="00285577"/>
    <w:rsid w:val="002855BF"/>
    <w:rsid w:val="0029175B"/>
    <w:rsid w:val="002922B8"/>
    <w:rsid w:val="002931A8"/>
    <w:rsid w:val="00294BD7"/>
    <w:rsid w:val="002958D8"/>
    <w:rsid w:val="002974A4"/>
    <w:rsid w:val="002A14A7"/>
    <w:rsid w:val="002A271D"/>
    <w:rsid w:val="002A2EB0"/>
    <w:rsid w:val="002C1647"/>
    <w:rsid w:val="002D16F3"/>
    <w:rsid w:val="002D4606"/>
    <w:rsid w:val="002D7883"/>
    <w:rsid w:val="002E6D94"/>
    <w:rsid w:val="002F0D22"/>
    <w:rsid w:val="002F142D"/>
    <w:rsid w:val="002F19A6"/>
    <w:rsid w:val="002F268B"/>
    <w:rsid w:val="002F45DD"/>
    <w:rsid w:val="002F51EF"/>
    <w:rsid w:val="00311B17"/>
    <w:rsid w:val="003172DC"/>
    <w:rsid w:val="00320388"/>
    <w:rsid w:val="003221EA"/>
    <w:rsid w:val="00325AE3"/>
    <w:rsid w:val="00326069"/>
    <w:rsid w:val="003275BE"/>
    <w:rsid w:val="0033543C"/>
    <w:rsid w:val="0034468C"/>
    <w:rsid w:val="00344ADE"/>
    <w:rsid w:val="0035462D"/>
    <w:rsid w:val="00360D74"/>
    <w:rsid w:val="00361D81"/>
    <w:rsid w:val="00364B41"/>
    <w:rsid w:val="003656D0"/>
    <w:rsid w:val="00372022"/>
    <w:rsid w:val="00377669"/>
    <w:rsid w:val="00383096"/>
    <w:rsid w:val="003910A6"/>
    <w:rsid w:val="00391C71"/>
    <w:rsid w:val="00393B48"/>
    <w:rsid w:val="00396FCC"/>
    <w:rsid w:val="003A0776"/>
    <w:rsid w:val="003A41EF"/>
    <w:rsid w:val="003B19A8"/>
    <w:rsid w:val="003B3EF7"/>
    <w:rsid w:val="003B40AD"/>
    <w:rsid w:val="003B7667"/>
    <w:rsid w:val="003C34EE"/>
    <w:rsid w:val="003C37C6"/>
    <w:rsid w:val="003C45AE"/>
    <w:rsid w:val="003C4E37"/>
    <w:rsid w:val="003C6F37"/>
    <w:rsid w:val="003E0575"/>
    <w:rsid w:val="003E16BE"/>
    <w:rsid w:val="003E26E2"/>
    <w:rsid w:val="003E4381"/>
    <w:rsid w:val="003F0353"/>
    <w:rsid w:val="003F0D71"/>
    <w:rsid w:val="003F2A47"/>
    <w:rsid w:val="003F3C9F"/>
    <w:rsid w:val="003F3EF5"/>
    <w:rsid w:val="003F4E28"/>
    <w:rsid w:val="0040021E"/>
    <w:rsid w:val="004006E8"/>
    <w:rsid w:val="004013CD"/>
    <w:rsid w:val="00401855"/>
    <w:rsid w:val="00405479"/>
    <w:rsid w:val="004055C2"/>
    <w:rsid w:val="00416D67"/>
    <w:rsid w:val="0042725D"/>
    <w:rsid w:val="004307B9"/>
    <w:rsid w:val="00430B78"/>
    <w:rsid w:val="004348E3"/>
    <w:rsid w:val="0043635B"/>
    <w:rsid w:val="00441D59"/>
    <w:rsid w:val="0044280A"/>
    <w:rsid w:val="00442F3A"/>
    <w:rsid w:val="004461BC"/>
    <w:rsid w:val="00454568"/>
    <w:rsid w:val="00465587"/>
    <w:rsid w:val="00465ED3"/>
    <w:rsid w:val="00470F5C"/>
    <w:rsid w:val="004711F5"/>
    <w:rsid w:val="0047458E"/>
    <w:rsid w:val="00477455"/>
    <w:rsid w:val="004778C4"/>
    <w:rsid w:val="00484036"/>
    <w:rsid w:val="00491200"/>
    <w:rsid w:val="0049138F"/>
    <w:rsid w:val="0049431A"/>
    <w:rsid w:val="00495DE7"/>
    <w:rsid w:val="004A1F7B"/>
    <w:rsid w:val="004C0516"/>
    <w:rsid w:val="004C436D"/>
    <w:rsid w:val="004C44D2"/>
    <w:rsid w:val="004C5708"/>
    <w:rsid w:val="004D2483"/>
    <w:rsid w:val="004D3578"/>
    <w:rsid w:val="004D380D"/>
    <w:rsid w:val="004D7F26"/>
    <w:rsid w:val="004E213A"/>
    <w:rsid w:val="004F55F2"/>
    <w:rsid w:val="00503171"/>
    <w:rsid w:val="00504510"/>
    <w:rsid w:val="00504C2F"/>
    <w:rsid w:val="00505E7D"/>
    <w:rsid w:val="00506C28"/>
    <w:rsid w:val="005077CE"/>
    <w:rsid w:val="00522BEA"/>
    <w:rsid w:val="005258E3"/>
    <w:rsid w:val="00527252"/>
    <w:rsid w:val="00534DA0"/>
    <w:rsid w:val="00534F2F"/>
    <w:rsid w:val="00543E6C"/>
    <w:rsid w:val="00545FE8"/>
    <w:rsid w:val="00546017"/>
    <w:rsid w:val="0054713B"/>
    <w:rsid w:val="0055016C"/>
    <w:rsid w:val="0055136C"/>
    <w:rsid w:val="005543B9"/>
    <w:rsid w:val="00561092"/>
    <w:rsid w:val="00565087"/>
    <w:rsid w:val="0056573F"/>
    <w:rsid w:val="00566148"/>
    <w:rsid w:val="00575816"/>
    <w:rsid w:val="00576355"/>
    <w:rsid w:val="00580A77"/>
    <w:rsid w:val="00581CF4"/>
    <w:rsid w:val="00585216"/>
    <w:rsid w:val="00587714"/>
    <w:rsid w:val="00590CFE"/>
    <w:rsid w:val="00593330"/>
    <w:rsid w:val="00595681"/>
    <w:rsid w:val="00596D58"/>
    <w:rsid w:val="005A16AD"/>
    <w:rsid w:val="005A55E6"/>
    <w:rsid w:val="005B2C02"/>
    <w:rsid w:val="005B4B17"/>
    <w:rsid w:val="005C441E"/>
    <w:rsid w:val="005D2228"/>
    <w:rsid w:val="005D4C15"/>
    <w:rsid w:val="005E13B1"/>
    <w:rsid w:val="005E1731"/>
    <w:rsid w:val="005E1BEA"/>
    <w:rsid w:val="005E2BEA"/>
    <w:rsid w:val="005E4420"/>
    <w:rsid w:val="005E4FA7"/>
    <w:rsid w:val="005F2718"/>
    <w:rsid w:val="005F625B"/>
    <w:rsid w:val="0060217D"/>
    <w:rsid w:val="0060487D"/>
    <w:rsid w:val="00605DFE"/>
    <w:rsid w:val="006068B3"/>
    <w:rsid w:val="00607501"/>
    <w:rsid w:val="0061142E"/>
    <w:rsid w:val="00611566"/>
    <w:rsid w:val="00612752"/>
    <w:rsid w:val="0061288D"/>
    <w:rsid w:val="0061395C"/>
    <w:rsid w:val="00615596"/>
    <w:rsid w:val="00615F39"/>
    <w:rsid w:val="0063158A"/>
    <w:rsid w:val="006318AD"/>
    <w:rsid w:val="00632155"/>
    <w:rsid w:val="006368BB"/>
    <w:rsid w:val="00640BF9"/>
    <w:rsid w:val="0064241B"/>
    <w:rsid w:val="00642A84"/>
    <w:rsid w:val="00642E61"/>
    <w:rsid w:val="00643C66"/>
    <w:rsid w:val="00644197"/>
    <w:rsid w:val="006442BE"/>
    <w:rsid w:val="00644D12"/>
    <w:rsid w:val="00646D99"/>
    <w:rsid w:val="00647CF8"/>
    <w:rsid w:val="006506A1"/>
    <w:rsid w:val="006515EE"/>
    <w:rsid w:val="00652EC3"/>
    <w:rsid w:val="00653449"/>
    <w:rsid w:val="006536BD"/>
    <w:rsid w:val="00656910"/>
    <w:rsid w:val="006574C0"/>
    <w:rsid w:val="00660D49"/>
    <w:rsid w:val="00666071"/>
    <w:rsid w:val="006700B9"/>
    <w:rsid w:val="00682EEC"/>
    <w:rsid w:val="00685A23"/>
    <w:rsid w:val="00691D7C"/>
    <w:rsid w:val="006A06F4"/>
    <w:rsid w:val="006A4235"/>
    <w:rsid w:val="006A5C07"/>
    <w:rsid w:val="006A716A"/>
    <w:rsid w:val="006A752B"/>
    <w:rsid w:val="006B4922"/>
    <w:rsid w:val="006C2557"/>
    <w:rsid w:val="006C35B6"/>
    <w:rsid w:val="006C66D8"/>
    <w:rsid w:val="006D0E22"/>
    <w:rsid w:val="006D1E24"/>
    <w:rsid w:val="006D4FE4"/>
    <w:rsid w:val="006E0454"/>
    <w:rsid w:val="006E04D8"/>
    <w:rsid w:val="006E0E8D"/>
    <w:rsid w:val="006E1417"/>
    <w:rsid w:val="006E75C9"/>
    <w:rsid w:val="006F0544"/>
    <w:rsid w:val="006F055E"/>
    <w:rsid w:val="006F6A2C"/>
    <w:rsid w:val="006F77F1"/>
    <w:rsid w:val="00701958"/>
    <w:rsid w:val="00704D45"/>
    <w:rsid w:val="00705079"/>
    <w:rsid w:val="0070692A"/>
    <w:rsid w:val="007069DC"/>
    <w:rsid w:val="00710201"/>
    <w:rsid w:val="00716C91"/>
    <w:rsid w:val="0072073A"/>
    <w:rsid w:val="007219FB"/>
    <w:rsid w:val="007245DC"/>
    <w:rsid w:val="00724FFA"/>
    <w:rsid w:val="0072525C"/>
    <w:rsid w:val="0073113A"/>
    <w:rsid w:val="0073282D"/>
    <w:rsid w:val="007329A9"/>
    <w:rsid w:val="007342B5"/>
    <w:rsid w:val="00734A5B"/>
    <w:rsid w:val="007351B9"/>
    <w:rsid w:val="00735361"/>
    <w:rsid w:val="007355BE"/>
    <w:rsid w:val="0073732A"/>
    <w:rsid w:val="00737D78"/>
    <w:rsid w:val="00744E76"/>
    <w:rsid w:val="007515A0"/>
    <w:rsid w:val="007526D9"/>
    <w:rsid w:val="00757D40"/>
    <w:rsid w:val="00762AB5"/>
    <w:rsid w:val="0076458D"/>
    <w:rsid w:val="007662B5"/>
    <w:rsid w:val="007755BD"/>
    <w:rsid w:val="00775CB8"/>
    <w:rsid w:val="00781F0F"/>
    <w:rsid w:val="0078727C"/>
    <w:rsid w:val="0079049D"/>
    <w:rsid w:val="00793DC5"/>
    <w:rsid w:val="007964F1"/>
    <w:rsid w:val="007A33DD"/>
    <w:rsid w:val="007A42CF"/>
    <w:rsid w:val="007B18D8"/>
    <w:rsid w:val="007C0045"/>
    <w:rsid w:val="007C095F"/>
    <w:rsid w:val="007C1069"/>
    <w:rsid w:val="007C2DD0"/>
    <w:rsid w:val="007C7BEB"/>
    <w:rsid w:val="007D259F"/>
    <w:rsid w:val="007D3AC0"/>
    <w:rsid w:val="007E0267"/>
    <w:rsid w:val="007E23AF"/>
    <w:rsid w:val="007E46C2"/>
    <w:rsid w:val="007E6756"/>
    <w:rsid w:val="007F2E08"/>
    <w:rsid w:val="007F486F"/>
    <w:rsid w:val="008028A4"/>
    <w:rsid w:val="0080782B"/>
    <w:rsid w:val="00810EF0"/>
    <w:rsid w:val="00811F80"/>
    <w:rsid w:val="00813245"/>
    <w:rsid w:val="00821425"/>
    <w:rsid w:val="008233F6"/>
    <w:rsid w:val="00836111"/>
    <w:rsid w:val="0083664E"/>
    <w:rsid w:val="0083794A"/>
    <w:rsid w:val="00840A9A"/>
    <w:rsid w:val="00840DE0"/>
    <w:rsid w:val="00844050"/>
    <w:rsid w:val="008470CE"/>
    <w:rsid w:val="00847E05"/>
    <w:rsid w:val="008505DF"/>
    <w:rsid w:val="008514B7"/>
    <w:rsid w:val="00852178"/>
    <w:rsid w:val="0086354A"/>
    <w:rsid w:val="00870233"/>
    <w:rsid w:val="008732A1"/>
    <w:rsid w:val="0087364E"/>
    <w:rsid w:val="0087592F"/>
    <w:rsid w:val="008768CA"/>
    <w:rsid w:val="00877EF9"/>
    <w:rsid w:val="00880559"/>
    <w:rsid w:val="00883294"/>
    <w:rsid w:val="008864FA"/>
    <w:rsid w:val="00891457"/>
    <w:rsid w:val="008941E3"/>
    <w:rsid w:val="008A11A9"/>
    <w:rsid w:val="008A31ED"/>
    <w:rsid w:val="008B4D37"/>
    <w:rsid w:val="008B5306"/>
    <w:rsid w:val="008B7324"/>
    <w:rsid w:val="008C1C2C"/>
    <w:rsid w:val="008C2E2A"/>
    <w:rsid w:val="008C3057"/>
    <w:rsid w:val="008C35D3"/>
    <w:rsid w:val="008C63FD"/>
    <w:rsid w:val="008D2E4D"/>
    <w:rsid w:val="008D7523"/>
    <w:rsid w:val="008E2482"/>
    <w:rsid w:val="008E5351"/>
    <w:rsid w:val="008E5C8E"/>
    <w:rsid w:val="008E6A39"/>
    <w:rsid w:val="008E7BA7"/>
    <w:rsid w:val="008E7F55"/>
    <w:rsid w:val="008F0186"/>
    <w:rsid w:val="008F1254"/>
    <w:rsid w:val="008F396F"/>
    <w:rsid w:val="008F3DCD"/>
    <w:rsid w:val="008F4843"/>
    <w:rsid w:val="009018C2"/>
    <w:rsid w:val="0090271F"/>
    <w:rsid w:val="00902DB9"/>
    <w:rsid w:val="0090466A"/>
    <w:rsid w:val="00923655"/>
    <w:rsid w:val="0092571F"/>
    <w:rsid w:val="009261B4"/>
    <w:rsid w:val="00930FED"/>
    <w:rsid w:val="00936071"/>
    <w:rsid w:val="009376CD"/>
    <w:rsid w:val="00937D5F"/>
    <w:rsid w:val="00940212"/>
    <w:rsid w:val="00942E83"/>
    <w:rsid w:val="00942EC2"/>
    <w:rsid w:val="00952082"/>
    <w:rsid w:val="00954878"/>
    <w:rsid w:val="00955208"/>
    <w:rsid w:val="0095568A"/>
    <w:rsid w:val="00956119"/>
    <w:rsid w:val="0095624F"/>
    <w:rsid w:val="00960437"/>
    <w:rsid w:val="00961B32"/>
    <w:rsid w:val="00962509"/>
    <w:rsid w:val="0096461F"/>
    <w:rsid w:val="00967E29"/>
    <w:rsid w:val="00970305"/>
    <w:rsid w:val="00970DB3"/>
    <w:rsid w:val="00974ACB"/>
    <w:rsid w:val="00974BB0"/>
    <w:rsid w:val="00975BCD"/>
    <w:rsid w:val="00977A43"/>
    <w:rsid w:val="00985AC4"/>
    <w:rsid w:val="00985EE3"/>
    <w:rsid w:val="00987260"/>
    <w:rsid w:val="009947DB"/>
    <w:rsid w:val="009A0AF3"/>
    <w:rsid w:val="009A1897"/>
    <w:rsid w:val="009A1A09"/>
    <w:rsid w:val="009B07CD"/>
    <w:rsid w:val="009B12D8"/>
    <w:rsid w:val="009B43DF"/>
    <w:rsid w:val="009B61B7"/>
    <w:rsid w:val="009C0194"/>
    <w:rsid w:val="009C074E"/>
    <w:rsid w:val="009C19E9"/>
    <w:rsid w:val="009C7D67"/>
    <w:rsid w:val="009D74A6"/>
    <w:rsid w:val="009E3966"/>
    <w:rsid w:val="009E7E05"/>
    <w:rsid w:val="009F250D"/>
    <w:rsid w:val="009F2F6A"/>
    <w:rsid w:val="00A02648"/>
    <w:rsid w:val="00A036D8"/>
    <w:rsid w:val="00A05C48"/>
    <w:rsid w:val="00A10F02"/>
    <w:rsid w:val="00A204CA"/>
    <w:rsid w:val="00A209D6"/>
    <w:rsid w:val="00A22316"/>
    <w:rsid w:val="00A22871"/>
    <w:rsid w:val="00A251E9"/>
    <w:rsid w:val="00A30323"/>
    <w:rsid w:val="00A33EC8"/>
    <w:rsid w:val="00A41171"/>
    <w:rsid w:val="00A43C78"/>
    <w:rsid w:val="00A448C5"/>
    <w:rsid w:val="00A459F0"/>
    <w:rsid w:val="00A5255F"/>
    <w:rsid w:val="00A53724"/>
    <w:rsid w:val="00A5427F"/>
    <w:rsid w:val="00A54B2B"/>
    <w:rsid w:val="00A60DDB"/>
    <w:rsid w:val="00A6593E"/>
    <w:rsid w:val="00A667AF"/>
    <w:rsid w:val="00A67334"/>
    <w:rsid w:val="00A70102"/>
    <w:rsid w:val="00A703B9"/>
    <w:rsid w:val="00A7102A"/>
    <w:rsid w:val="00A727B9"/>
    <w:rsid w:val="00A76082"/>
    <w:rsid w:val="00A7688B"/>
    <w:rsid w:val="00A77B96"/>
    <w:rsid w:val="00A82346"/>
    <w:rsid w:val="00A83B56"/>
    <w:rsid w:val="00A84903"/>
    <w:rsid w:val="00A86AB8"/>
    <w:rsid w:val="00A9671C"/>
    <w:rsid w:val="00AA1553"/>
    <w:rsid w:val="00AA2A7B"/>
    <w:rsid w:val="00AA2DA9"/>
    <w:rsid w:val="00AA58B9"/>
    <w:rsid w:val="00AA678F"/>
    <w:rsid w:val="00AA7A4C"/>
    <w:rsid w:val="00AC036B"/>
    <w:rsid w:val="00AC0696"/>
    <w:rsid w:val="00AC0864"/>
    <w:rsid w:val="00AC4272"/>
    <w:rsid w:val="00AC73B1"/>
    <w:rsid w:val="00AD5F06"/>
    <w:rsid w:val="00AD6B62"/>
    <w:rsid w:val="00AD7980"/>
    <w:rsid w:val="00AE2116"/>
    <w:rsid w:val="00AE2E9E"/>
    <w:rsid w:val="00AE4EC4"/>
    <w:rsid w:val="00AF446C"/>
    <w:rsid w:val="00AF7412"/>
    <w:rsid w:val="00B00762"/>
    <w:rsid w:val="00B02207"/>
    <w:rsid w:val="00B05380"/>
    <w:rsid w:val="00B05962"/>
    <w:rsid w:val="00B05AB3"/>
    <w:rsid w:val="00B125EB"/>
    <w:rsid w:val="00B12E00"/>
    <w:rsid w:val="00B15449"/>
    <w:rsid w:val="00B16C2F"/>
    <w:rsid w:val="00B20D1A"/>
    <w:rsid w:val="00B238E3"/>
    <w:rsid w:val="00B261ED"/>
    <w:rsid w:val="00B27303"/>
    <w:rsid w:val="00B43189"/>
    <w:rsid w:val="00B44CB2"/>
    <w:rsid w:val="00B47FD1"/>
    <w:rsid w:val="00B5054D"/>
    <w:rsid w:val="00B516BB"/>
    <w:rsid w:val="00B51EBF"/>
    <w:rsid w:val="00B53AF6"/>
    <w:rsid w:val="00B60122"/>
    <w:rsid w:val="00B60301"/>
    <w:rsid w:val="00B6367C"/>
    <w:rsid w:val="00B66DB3"/>
    <w:rsid w:val="00B7303D"/>
    <w:rsid w:val="00B75A73"/>
    <w:rsid w:val="00B83B92"/>
    <w:rsid w:val="00B84DB2"/>
    <w:rsid w:val="00BA0164"/>
    <w:rsid w:val="00BA0E49"/>
    <w:rsid w:val="00BA1520"/>
    <w:rsid w:val="00BA20DE"/>
    <w:rsid w:val="00BA3057"/>
    <w:rsid w:val="00BB03C0"/>
    <w:rsid w:val="00BB2CF9"/>
    <w:rsid w:val="00BB55B2"/>
    <w:rsid w:val="00BC166C"/>
    <w:rsid w:val="00BC3555"/>
    <w:rsid w:val="00BC3E58"/>
    <w:rsid w:val="00BD21AF"/>
    <w:rsid w:val="00BD6A70"/>
    <w:rsid w:val="00BE581A"/>
    <w:rsid w:val="00BE71AE"/>
    <w:rsid w:val="00BF2BF1"/>
    <w:rsid w:val="00BF3005"/>
    <w:rsid w:val="00BF7ADA"/>
    <w:rsid w:val="00C12B51"/>
    <w:rsid w:val="00C12E50"/>
    <w:rsid w:val="00C144A4"/>
    <w:rsid w:val="00C17275"/>
    <w:rsid w:val="00C21600"/>
    <w:rsid w:val="00C24650"/>
    <w:rsid w:val="00C25465"/>
    <w:rsid w:val="00C26FA9"/>
    <w:rsid w:val="00C32ECF"/>
    <w:rsid w:val="00C33079"/>
    <w:rsid w:val="00C3349B"/>
    <w:rsid w:val="00C555C2"/>
    <w:rsid w:val="00C60BB1"/>
    <w:rsid w:val="00C759FE"/>
    <w:rsid w:val="00C83A13"/>
    <w:rsid w:val="00C9068C"/>
    <w:rsid w:val="00C919B7"/>
    <w:rsid w:val="00C92967"/>
    <w:rsid w:val="00C93710"/>
    <w:rsid w:val="00C955CE"/>
    <w:rsid w:val="00CA02F6"/>
    <w:rsid w:val="00CA3D0C"/>
    <w:rsid w:val="00CA5AF2"/>
    <w:rsid w:val="00CA654B"/>
    <w:rsid w:val="00CB72B8"/>
    <w:rsid w:val="00CC123E"/>
    <w:rsid w:val="00CC1A67"/>
    <w:rsid w:val="00CD26E4"/>
    <w:rsid w:val="00CD4126"/>
    <w:rsid w:val="00CD4C7B"/>
    <w:rsid w:val="00CD58FE"/>
    <w:rsid w:val="00CD6FF7"/>
    <w:rsid w:val="00CE7C89"/>
    <w:rsid w:val="00D00210"/>
    <w:rsid w:val="00D02A3B"/>
    <w:rsid w:val="00D0361C"/>
    <w:rsid w:val="00D041E5"/>
    <w:rsid w:val="00D10C9E"/>
    <w:rsid w:val="00D155D9"/>
    <w:rsid w:val="00D2588A"/>
    <w:rsid w:val="00D27B17"/>
    <w:rsid w:val="00D33926"/>
    <w:rsid w:val="00D33BE3"/>
    <w:rsid w:val="00D34522"/>
    <w:rsid w:val="00D34AC3"/>
    <w:rsid w:val="00D35E4D"/>
    <w:rsid w:val="00D368F0"/>
    <w:rsid w:val="00D3792D"/>
    <w:rsid w:val="00D44164"/>
    <w:rsid w:val="00D53A6A"/>
    <w:rsid w:val="00D5456F"/>
    <w:rsid w:val="00D55E47"/>
    <w:rsid w:val="00D574FD"/>
    <w:rsid w:val="00D62E19"/>
    <w:rsid w:val="00D63721"/>
    <w:rsid w:val="00D67CD1"/>
    <w:rsid w:val="00D70F02"/>
    <w:rsid w:val="00D738D6"/>
    <w:rsid w:val="00D76EE7"/>
    <w:rsid w:val="00D80795"/>
    <w:rsid w:val="00D80A1C"/>
    <w:rsid w:val="00D854BE"/>
    <w:rsid w:val="00D87E00"/>
    <w:rsid w:val="00D9134D"/>
    <w:rsid w:val="00D96D11"/>
    <w:rsid w:val="00DA7A03"/>
    <w:rsid w:val="00DB0387"/>
    <w:rsid w:val="00DB0DB8"/>
    <w:rsid w:val="00DB1818"/>
    <w:rsid w:val="00DB768B"/>
    <w:rsid w:val="00DC0DD7"/>
    <w:rsid w:val="00DC309B"/>
    <w:rsid w:val="00DC3590"/>
    <w:rsid w:val="00DC4DA2"/>
    <w:rsid w:val="00DC5261"/>
    <w:rsid w:val="00DC6D36"/>
    <w:rsid w:val="00DC79AA"/>
    <w:rsid w:val="00DD6AAC"/>
    <w:rsid w:val="00DE06BF"/>
    <w:rsid w:val="00DE0E83"/>
    <w:rsid w:val="00DE25D2"/>
    <w:rsid w:val="00DE5D7A"/>
    <w:rsid w:val="00DF2BC8"/>
    <w:rsid w:val="00E06C1F"/>
    <w:rsid w:val="00E0784B"/>
    <w:rsid w:val="00E07937"/>
    <w:rsid w:val="00E104A5"/>
    <w:rsid w:val="00E20530"/>
    <w:rsid w:val="00E2289B"/>
    <w:rsid w:val="00E23819"/>
    <w:rsid w:val="00E27646"/>
    <w:rsid w:val="00E327AD"/>
    <w:rsid w:val="00E36F08"/>
    <w:rsid w:val="00E37B56"/>
    <w:rsid w:val="00E46C08"/>
    <w:rsid w:val="00E471CF"/>
    <w:rsid w:val="00E5224E"/>
    <w:rsid w:val="00E53A1E"/>
    <w:rsid w:val="00E57244"/>
    <w:rsid w:val="00E62835"/>
    <w:rsid w:val="00E73563"/>
    <w:rsid w:val="00E74344"/>
    <w:rsid w:val="00E743FD"/>
    <w:rsid w:val="00E74D7A"/>
    <w:rsid w:val="00E77645"/>
    <w:rsid w:val="00E83697"/>
    <w:rsid w:val="00EA622E"/>
    <w:rsid w:val="00EA66C9"/>
    <w:rsid w:val="00EA7C84"/>
    <w:rsid w:val="00EB2D19"/>
    <w:rsid w:val="00EB420A"/>
    <w:rsid w:val="00EC329B"/>
    <w:rsid w:val="00EC4A25"/>
    <w:rsid w:val="00EF295F"/>
    <w:rsid w:val="00F00803"/>
    <w:rsid w:val="00F025A2"/>
    <w:rsid w:val="00F036E9"/>
    <w:rsid w:val="00F04623"/>
    <w:rsid w:val="00F04FEA"/>
    <w:rsid w:val="00F05142"/>
    <w:rsid w:val="00F05820"/>
    <w:rsid w:val="00F07388"/>
    <w:rsid w:val="00F106B2"/>
    <w:rsid w:val="00F10B01"/>
    <w:rsid w:val="00F129A9"/>
    <w:rsid w:val="00F140F6"/>
    <w:rsid w:val="00F16853"/>
    <w:rsid w:val="00F20204"/>
    <w:rsid w:val="00F2026E"/>
    <w:rsid w:val="00F2210A"/>
    <w:rsid w:val="00F235C7"/>
    <w:rsid w:val="00F23A51"/>
    <w:rsid w:val="00F274B2"/>
    <w:rsid w:val="00F30A2D"/>
    <w:rsid w:val="00F342DC"/>
    <w:rsid w:val="00F37743"/>
    <w:rsid w:val="00F40F3F"/>
    <w:rsid w:val="00F4197B"/>
    <w:rsid w:val="00F41A31"/>
    <w:rsid w:val="00F425C5"/>
    <w:rsid w:val="00F46F27"/>
    <w:rsid w:val="00F503D1"/>
    <w:rsid w:val="00F51F6C"/>
    <w:rsid w:val="00F54A3D"/>
    <w:rsid w:val="00F54CB0"/>
    <w:rsid w:val="00F56AEB"/>
    <w:rsid w:val="00F579CD"/>
    <w:rsid w:val="00F653B8"/>
    <w:rsid w:val="00F705AD"/>
    <w:rsid w:val="00F71A7F"/>
    <w:rsid w:val="00F71B89"/>
    <w:rsid w:val="00F7289A"/>
    <w:rsid w:val="00F7353C"/>
    <w:rsid w:val="00F735D6"/>
    <w:rsid w:val="00F73A1F"/>
    <w:rsid w:val="00F75A76"/>
    <w:rsid w:val="00F7667D"/>
    <w:rsid w:val="00F76F8F"/>
    <w:rsid w:val="00F806AA"/>
    <w:rsid w:val="00F80C43"/>
    <w:rsid w:val="00F93BE1"/>
    <w:rsid w:val="00F941DF"/>
    <w:rsid w:val="00FA1266"/>
    <w:rsid w:val="00FA4502"/>
    <w:rsid w:val="00FA6308"/>
    <w:rsid w:val="00FA63DF"/>
    <w:rsid w:val="00FB1E2C"/>
    <w:rsid w:val="00FB36FA"/>
    <w:rsid w:val="00FB5785"/>
    <w:rsid w:val="00FB5AC8"/>
    <w:rsid w:val="00FB6C22"/>
    <w:rsid w:val="00FC1192"/>
    <w:rsid w:val="00FE251B"/>
    <w:rsid w:val="00FE77A9"/>
    <w:rsid w:val="00FF1B6C"/>
    <w:rsid w:val="00FF2189"/>
    <w:rsid w:val="00FF21D4"/>
    <w:rsid w:val="04002B0B"/>
    <w:rsid w:val="0698760D"/>
    <w:rsid w:val="08971622"/>
    <w:rsid w:val="09B861B0"/>
    <w:rsid w:val="0BA238FA"/>
    <w:rsid w:val="0CC14D3A"/>
    <w:rsid w:val="0F5E448C"/>
    <w:rsid w:val="10AD00B1"/>
    <w:rsid w:val="12BE5782"/>
    <w:rsid w:val="12FA27D6"/>
    <w:rsid w:val="15242EC7"/>
    <w:rsid w:val="16516FD2"/>
    <w:rsid w:val="17FD599D"/>
    <w:rsid w:val="192E3D6A"/>
    <w:rsid w:val="1A82452E"/>
    <w:rsid w:val="1B1123E5"/>
    <w:rsid w:val="1DA57619"/>
    <w:rsid w:val="1E1E1B4B"/>
    <w:rsid w:val="1F2E349E"/>
    <w:rsid w:val="1F49370B"/>
    <w:rsid w:val="214024B8"/>
    <w:rsid w:val="22A56B14"/>
    <w:rsid w:val="25405C72"/>
    <w:rsid w:val="26D40F6E"/>
    <w:rsid w:val="26DD29DA"/>
    <w:rsid w:val="27800B8B"/>
    <w:rsid w:val="27F43A08"/>
    <w:rsid w:val="28763DA3"/>
    <w:rsid w:val="29365CC6"/>
    <w:rsid w:val="298D4A23"/>
    <w:rsid w:val="2A90055B"/>
    <w:rsid w:val="2AFC38FB"/>
    <w:rsid w:val="2BB03BA8"/>
    <w:rsid w:val="2D5644E3"/>
    <w:rsid w:val="2D633DAA"/>
    <w:rsid w:val="2E3B6E39"/>
    <w:rsid w:val="2EC16AF8"/>
    <w:rsid w:val="2EE171BA"/>
    <w:rsid w:val="2F135B4A"/>
    <w:rsid w:val="30D60DD9"/>
    <w:rsid w:val="31197D2C"/>
    <w:rsid w:val="32065CA4"/>
    <w:rsid w:val="32332229"/>
    <w:rsid w:val="334E597E"/>
    <w:rsid w:val="35DF75DE"/>
    <w:rsid w:val="37F36AB2"/>
    <w:rsid w:val="38063DC5"/>
    <w:rsid w:val="3BC8315C"/>
    <w:rsid w:val="3CB801DF"/>
    <w:rsid w:val="3D09213B"/>
    <w:rsid w:val="3DFF79AA"/>
    <w:rsid w:val="3F9C6540"/>
    <w:rsid w:val="40AD7F99"/>
    <w:rsid w:val="41634A52"/>
    <w:rsid w:val="42400747"/>
    <w:rsid w:val="44D0291A"/>
    <w:rsid w:val="45FC7BE6"/>
    <w:rsid w:val="463927A5"/>
    <w:rsid w:val="474E2B11"/>
    <w:rsid w:val="4BE279EC"/>
    <w:rsid w:val="4CBB12D4"/>
    <w:rsid w:val="4CEC28E8"/>
    <w:rsid w:val="4CFC3291"/>
    <w:rsid w:val="4F915206"/>
    <w:rsid w:val="4FCB54C6"/>
    <w:rsid w:val="515A5704"/>
    <w:rsid w:val="5188701A"/>
    <w:rsid w:val="54DE30ED"/>
    <w:rsid w:val="56210FA6"/>
    <w:rsid w:val="564E5BEC"/>
    <w:rsid w:val="570E08E4"/>
    <w:rsid w:val="576D357E"/>
    <w:rsid w:val="57AD14FD"/>
    <w:rsid w:val="57EE5390"/>
    <w:rsid w:val="57F44D88"/>
    <w:rsid w:val="58286700"/>
    <w:rsid w:val="592D3C58"/>
    <w:rsid w:val="5ACE1171"/>
    <w:rsid w:val="5C2203CE"/>
    <w:rsid w:val="5E0852E0"/>
    <w:rsid w:val="5F113699"/>
    <w:rsid w:val="5F370290"/>
    <w:rsid w:val="5F59589B"/>
    <w:rsid w:val="5FBA6616"/>
    <w:rsid w:val="60B97358"/>
    <w:rsid w:val="62634BBD"/>
    <w:rsid w:val="62DE05FA"/>
    <w:rsid w:val="632764DE"/>
    <w:rsid w:val="63A144C8"/>
    <w:rsid w:val="63AB311F"/>
    <w:rsid w:val="656C0315"/>
    <w:rsid w:val="691F0661"/>
    <w:rsid w:val="699461F4"/>
    <w:rsid w:val="69A13C37"/>
    <w:rsid w:val="6A36554A"/>
    <w:rsid w:val="6BCB6B8B"/>
    <w:rsid w:val="6F04332E"/>
    <w:rsid w:val="712C3580"/>
    <w:rsid w:val="72FF5AC5"/>
    <w:rsid w:val="730E226E"/>
    <w:rsid w:val="73BA356D"/>
    <w:rsid w:val="752E0062"/>
    <w:rsid w:val="75C25653"/>
    <w:rsid w:val="75DA1CFE"/>
    <w:rsid w:val="763E3826"/>
    <w:rsid w:val="76816D23"/>
    <w:rsid w:val="773A10D1"/>
    <w:rsid w:val="78CA02B2"/>
    <w:rsid w:val="79A827BD"/>
    <w:rsid w:val="7B523192"/>
    <w:rsid w:val="7B954A25"/>
    <w:rsid w:val="7D343554"/>
    <w:rsid w:val="7FDE08B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432DCE"/>
  <w15:docId w15:val="{702C0D79-BEDA-4CBF-8AF7-45D385AAC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unhideWhenUsed="1" w:qFormat="1"/>
    <w:lsdException w:name="Strong"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line="259" w:lineRule="auto"/>
    </w:pPr>
    <w:rPr>
      <w:rFonts w:eastAsia="SimSu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eastAsia="SimSu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eastAsia="SimSun"/>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rPr>
      <w:rFonts w:eastAsia="Times New Roman"/>
    </w:rPr>
  </w:style>
  <w:style w:type="paragraph" w:styleId="BodyText">
    <w:name w:val="Body Text"/>
    <w:basedOn w:val="Normal"/>
    <w:link w:val="BodyTextChar"/>
    <w:qFormat/>
    <w:pPr>
      <w:spacing w:after="120"/>
      <w:jc w:val="both"/>
    </w:pPr>
    <w:rPr>
      <w:rFonts w:eastAsia="MS Mincho"/>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semiHidden/>
    <w:unhideWhenUsed/>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paragraph" w:styleId="ListParagraph">
    <w:name w:val="List Paragraph"/>
    <w:basedOn w:val="Normal"/>
    <w:uiPriority w:val="34"/>
    <w:qFormat/>
    <w:pPr>
      <w:ind w:left="720"/>
      <w:contextualSpacing/>
    </w:p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qFormat/>
    <w:rPr>
      <w:rFonts w:ascii="Arial" w:hAnsi="Arial"/>
      <w:szCs w:val="24"/>
      <w:lang w:val="zh-CN" w:eastAsia="zh-CN"/>
    </w:rPr>
  </w:style>
  <w:style w:type="character" w:customStyle="1" w:styleId="B1Char">
    <w:name w:val="B1 Char"/>
    <w:link w:val="B1"/>
    <w:qFormat/>
    <w:rPr>
      <w:lang w:eastAsia="en-US"/>
    </w:rPr>
  </w:style>
  <w:style w:type="character" w:customStyle="1" w:styleId="TALCar">
    <w:name w:val="TAL Car"/>
    <w:link w:val="TAL"/>
    <w:qFormat/>
    <w:rPr>
      <w:rFonts w:ascii="Arial" w:hAnsi="Arial"/>
      <w:sz w:val="18"/>
      <w:lang w:eastAsia="en-US"/>
    </w:rPr>
  </w:style>
  <w:style w:type="character" w:customStyle="1" w:styleId="B1Char1">
    <w:name w:val="B1 Char1"/>
    <w:qFormat/>
    <w:rPr>
      <w:rFonts w:eastAsia="Times New Roman"/>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BodyTextChar">
    <w:name w:val="Body Text Char"/>
    <w:basedOn w:val="DefaultParagraphFont"/>
    <w:link w:val="BodyText"/>
    <w:qFormat/>
    <w:rPr>
      <w:rFonts w:eastAsia="MS Mincho"/>
      <w:szCs w:val="24"/>
      <w:lang w:val="en-US" w:eastAsia="en-US"/>
    </w:rPr>
  </w:style>
  <w:style w:type="character" w:customStyle="1" w:styleId="CommentSubjectChar">
    <w:name w:val="Comment Subject Char"/>
    <w:basedOn w:val="CommentTextChar"/>
    <w:link w:val="CommentSubject"/>
    <w:semiHidden/>
    <w:qFormat/>
    <w:rPr>
      <w:rFonts w:eastAsia="Times New Roman"/>
      <w:b/>
      <w:bCs/>
      <w:lang w:eastAsia="en-US"/>
    </w:rPr>
  </w:style>
  <w:style w:type="character" w:customStyle="1" w:styleId="B3Char">
    <w:name w:val="B3 Char"/>
    <w:qFormat/>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Extracts\R2-2002659-Post109e-18-PRN-OpenIssues.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Data\3GPP\Extracts\R2-2002659-Post109e-18-PRN-OpenIssues.doc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Data\3GPP\RAN2\Inbox\R2-2003896.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Data\3GPP\RAN2\Inbox\R2-200389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07a7f6f7b74bf3c0db124ef10a4ee36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85627bbaf9037f3ef976903df8a1dcb"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4B447-41EC-4B85-B061-30E931B58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E7B73909-1D5D-4707-A98A-08C4CC131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2110</Words>
  <Characters>12032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Benoist</dc:creator>
  <cp:keywords>CTPClassification=CTP_NT</cp:keywords>
  <cp:lastModifiedBy>Nokia (GWO)</cp:lastModifiedBy>
  <cp:revision>13</cp:revision>
  <dcterms:created xsi:type="dcterms:W3CDTF">2020-04-29T04:52:00Z</dcterms:created>
  <dcterms:modified xsi:type="dcterms:W3CDTF">2020-04-29T11:50:00Z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487ee150-6091-4fb7-8bba-355182d913e6</vt:lpwstr>
  </property>
  <property fmtid="{D5CDD505-2E9C-101B-9397-08002B2CF9AE}" pid="4" name="TitusGUID">
    <vt:lpwstr>50245523-60a7-43af-8d0a-ae70b2310931</vt:lpwstr>
  </property>
  <property fmtid="{D5CDD505-2E9C-101B-9397-08002B2CF9AE}" pid="5" name="CTP_TimeStamp">
    <vt:lpwstr>2020-03-27 11:57:06Z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2052-11.1.0.9584</vt:lpwstr>
  </property>
  <property fmtid="{D5CDD505-2E9C-101B-9397-08002B2CF9AE}" pid="10" name="NSCPROP_SA">
    <vt:lpwstr>https://www.3gpp.org/ftp/Email_Discussions/RAN2/[RAN2#109-e]/[Post109e#18][PRN] Remaining open issues (Nokia)/R2-200xxx3-Post109e-18-PRN-OpenIssues Eri.docx</vt:lpwstr>
  </property>
  <property fmtid="{D5CDD505-2E9C-101B-9397-08002B2CF9AE}" pid="11" name="MSIP_Label_0359f705-2ba0-454b-9cfc-6ce5bcaac040_Enabled">
    <vt:lpwstr>true</vt:lpwstr>
  </property>
  <property fmtid="{D5CDD505-2E9C-101B-9397-08002B2CF9AE}" pid="12" name="MSIP_Label_0359f705-2ba0-454b-9cfc-6ce5bcaac040_SetDate">
    <vt:lpwstr>2020-04-22T08:53:25Z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34c6a653-6b33-463a-a392-000098810d77</vt:lpwstr>
  </property>
  <property fmtid="{D5CDD505-2E9C-101B-9397-08002B2CF9AE}" pid="17" name="MSIP_Label_0359f705-2ba0-454b-9cfc-6ce5bcaac040_ContentBits">
    <vt:lpwstr>2</vt:lpwstr>
  </property>
  <property fmtid="{D5CDD505-2E9C-101B-9397-08002B2CF9AE}" pid="18" name="CTPClassification">
    <vt:lpwstr>CTP_NT</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1587346025</vt:lpwstr>
  </property>
</Properties>
</file>