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068B" w14:textId="702BBD4E" w:rsidR="0014312D" w:rsidRDefault="00C9371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#109bis-e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R2-2003</w:t>
      </w:r>
      <w:r w:rsidR="00070FA2">
        <w:rPr>
          <w:rFonts w:ascii="Arial" w:eastAsia="Times New Roman" w:hAnsi="Arial"/>
          <w:b/>
          <w:bCs/>
          <w:sz w:val="24"/>
          <w:szCs w:val="24"/>
          <w:lang w:eastAsia="ja-JP"/>
        </w:rPr>
        <w:t>907</w:t>
      </w:r>
    </w:p>
    <w:p w14:paraId="5C29D644" w14:textId="77777777" w:rsidR="0014312D" w:rsidRDefault="00C9371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Electronic, 20 – 30 April 2020</w:t>
      </w: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4C0DCB64" w14:textId="77777777" w:rsidR="0014312D" w:rsidRDefault="0014312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48408941" w14:textId="77777777" w:rsidR="0014312D" w:rsidRDefault="0014312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sz w:val="24"/>
          <w:szCs w:val="24"/>
          <w:lang w:eastAsia="zh-CN"/>
        </w:rPr>
      </w:pPr>
    </w:p>
    <w:p w14:paraId="6EDE58DA" w14:textId="77777777" w:rsidR="0014312D" w:rsidRDefault="00C9371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6.18.2</w:t>
      </w:r>
    </w:p>
    <w:p w14:paraId="6303A605" w14:textId="77777777" w:rsidR="0014312D" w:rsidRDefault="00C9371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1E04ED5A" w14:textId="4686034E" w:rsidR="0014312D" w:rsidRDefault="00C937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Offline discussion 105: PRN open issues - </w:t>
      </w:r>
      <w:r w:rsidR="002F19A6">
        <w:rPr>
          <w:rFonts w:ascii="Arial" w:hAnsi="Arial" w:cs="Arial"/>
          <w:b/>
          <w:bCs/>
          <w:sz w:val="24"/>
        </w:rPr>
        <w:t>third</w:t>
      </w:r>
      <w:r>
        <w:rPr>
          <w:rFonts w:ascii="Arial" w:hAnsi="Arial" w:cs="Arial"/>
          <w:b/>
          <w:bCs/>
          <w:sz w:val="24"/>
        </w:rPr>
        <w:t xml:space="preserve"> round</w:t>
      </w:r>
    </w:p>
    <w:p w14:paraId="3E125FE0" w14:textId="77777777" w:rsidR="0014312D" w:rsidRDefault="00C937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NG_RAN_PRN-Core - Release 16</w:t>
      </w:r>
    </w:p>
    <w:p w14:paraId="61F4E778" w14:textId="77777777" w:rsidR="0014312D" w:rsidRDefault="00C9371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B60D14C" w14:textId="77777777" w:rsidR="0014312D" w:rsidRDefault="00C93710">
      <w:pPr>
        <w:pStyle w:val="Heading1"/>
      </w:pPr>
      <w:r>
        <w:t>1</w:t>
      </w:r>
      <w:r>
        <w:tab/>
        <w:t>Introduction</w:t>
      </w:r>
    </w:p>
    <w:p w14:paraId="1C49F6E6" w14:textId="331D74FE" w:rsidR="0014312D" w:rsidRDefault="00C93710">
      <w:r>
        <w:t xml:space="preserve">This document is the report about the </w:t>
      </w:r>
      <w:r w:rsidR="002F19A6">
        <w:t>3rd</w:t>
      </w:r>
      <w:r>
        <w:t xml:space="preserve"> round of the following email discussion</w:t>
      </w:r>
    </w:p>
    <w:p w14:paraId="2077F253" w14:textId="77777777" w:rsidR="002F19A6" w:rsidRPr="002F19A6" w:rsidRDefault="002F19A6" w:rsidP="002F19A6">
      <w:pPr>
        <w:spacing w:before="100" w:beforeAutospacing="1" w:after="100" w:afterAutospacing="1" w:line="240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b/>
          <w:bCs/>
          <w:sz w:val="22"/>
          <w:szCs w:val="22"/>
          <w:lang w:val="en-US"/>
        </w:rPr>
        <w:t></w:t>
      </w:r>
      <w:r w:rsidRPr="002F19A6">
        <w:rPr>
          <w:rFonts w:ascii="Wingdings" w:eastAsia="Calibri" w:hAnsi="Wingdings" w:cs="Calibri"/>
          <w:b/>
          <w:bCs/>
          <w:sz w:val="22"/>
          <w:szCs w:val="22"/>
          <w:lang w:val="en-US"/>
        </w:rPr>
        <w:t></w:t>
      </w:r>
      <w:r w:rsidRPr="002F19A6">
        <w:rPr>
          <w:rFonts w:ascii="Calibri" w:eastAsia="Calibri" w:hAnsi="Calibri" w:cs="Calibri"/>
          <w:b/>
          <w:bCs/>
          <w:sz w:val="22"/>
          <w:szCs w:val="22"/>
          <w:lang w:val="en-US"/>
        </w:rPr>
        <w:t>[AT109bis-e][105][PRN] Open issues (Nokia)</w:t>
      </w:r>
    </w:p>
    <w:p w14:paraId="349822D5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Initial scope: Continue the discussion on PRN open issues, based on </w:t>
      </w:r>
      <w:hyperlink r:id="rId12" w:tooltip="C:Data3GPPExtractsR2-2002659-Post109e-18-PRN-OpenIssues.docx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R2-2002659</w:t>
        </w:r>
      </w:hyperlink>
    </w:p>
    <w:p w14:paraId="4B7D268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Initial intended outcome: Set of proposals with full consensus agreeable via email, based on </w:t>
      </w:r>
    </w:p>
    <w:p w14:paraId="1B3D2C58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the list in Section 4.1 of </w:t>
      </w:r>
      <w:hyperlink r:id="rId13" w:tooltip="C:Data3GPPExtractsR2-2002659-Post109e-18-PRN-OpenIssues.docx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R2-2002659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(final list to be reflected in </w:t>
      </w:r>
      <w:hyperlink r:id="rId14" w:tooltip="C:Data3GPPRAN2InboxR2-2003895.zip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R2-2003895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)</w:t>
      </w:r>
    </w:p>
    <w:p w14:paraId="14DAF121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Initial intermediate deadline (for companies' feedback): Tuesday 2020-04-21 09:00 UTC</w:t>
      </w:r>
    </w:p>
    <w:p w14:paraId="2E614B91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Updated scope:</w:t>
      </w:r>
    </w:p>
    <w:p w14:paraId="659CC594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for open issue 8: discuss the possibility to introduce an indication in SIB1 to allow UEs to search other cells on the same frequency </w:t>
      </w:r>
    </w:p>
    <w:p w14:paraId="4A5498AE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for open issue 9: discuss the possibility to signal PCI range(s) per PLMN per frequency vs just per frequency</w:t>
      </w:r>
    </w:p>
    <w:p w14:paraId="2A7223DA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continue the discussion on open issues 11 and 16</w:t>
      </w:r>
    </w:p>
    <w:p w14:paraId="77D63776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Updated intended outcome: summary of the offline discussion with e.g.:</w:t>
      </w:r>
    </w:p>
    <w:p w14:paraId="701A9ED4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Set of proposals with full consensus, if any (agreeable over email)</w:t>
      </w:r>
    </w:p>
    <w:p w14:paraId="484C19AF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Set of proposals to discuss in the follow up conference call</w:t>
      </w:r>
    </w:p>
    <w:p w14:paraId="2A82335B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Second intermediate deadline (for companies' feedback): Friday 2020-04-24 06:00 UTC</w:t>
      </w:r>
    </w:p>
    <w:p w14:paraId="5FF8E94C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Second intermediate deadline (for rapporteur's summary in </w:t>
      </w:r>
      <w:hyperlink r:id="rId15" w:tooltip="C:Data3GPPRAN2InboxR2-2003896.zip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R2-2003896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):  Friday 2020-04-24 10:00 UTC </w:t>
      </w:r>
    </w:p>
    <w:p w14:paraId="6B1AEE23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>Final scope: discuss whether PCI ranges can be optionally broadcast by all cells (both public cells and private cells) and the PCI range validity time</w:t>
      </w:r>
    </w:p>
    <w:p w14:paraId="032E9347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>Final intended outcome: summary of the offline discussion with e.g.:</w:t>
      </w:r>
    </w:p>
    <w:p w14:paraId="2CD4C743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sz w:val="22"/>
          <w:szCs w:val="22"/>
          <w:lang w:val="en-US"/>
        </w:rPr>
        <w:t></w:t>
      </w:r>
      <w:r w:rsidRPr="002F19A6">
        <w:rPr>
          <w:rFonts w:eastAsia="Calibri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Set of proposals with full consensus, if any (agreeable over email)</w:t>
      </w:r>
    </w:p>
    <w:p w14:paraId="79ED1F38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sz w:val="22"/>
          <w:szCs w:val="22"/>
          <w:lang w:val="en-US"/>
        </w:rPr>
        <w:t></w:t>
      </w:r>
      <w:r w:rsidRPr="002F19A6">
        <w:rPr>
          <w:rFonts w:eastAsia="Calibri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Set of proposals to postpone to after the meeting</w:t>
      </w:r>
    </w:p>
    <w:p w14:paraId="18D39BE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FF0000"/>
          <w:sz w:val="22"/>
          <w:szCs w:val="22"/>
          <w:lang w:val="en-US"/>
        </w:rPr>
        <w:t>Final deadline (for companies' feedback): Wednesday 2020-04-29 10:00 UTC</w:t>
      </w:r>
    </w:p>
    <w:p w14:paraId="0911EB95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 xml:space="preserve">Final deadline (for rapporteur's summary in </w:t>
      </w:r>
      <w:r w:rsidRPr="002F19A6">
        <w:rPr>
          <w:rFonts w:ascii="Calibri" w:eastAsia="Calibri" w:hAnsi="Calibri" w:cs="Calibri"/>
          <w:sz w:val="22"/>
          <w:szCs w:val="22"/>
          <w:shd w:val="clear" w:color="auto" w:fill="FFFF00"/>
          <w:lang w:val="en-US"/>
        </w:rPr>
        <w:t>R2-2003907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):  Wednesday 2020-04-29 16:00 UTC</w:t>
      </w:r>
    </w:p>
    <w:p w14:paraId="0F8758B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u w:val="single"/>
          <w:lang w:val="en-US"/>
        </w:rPr>
        <w:t xml:space="preserve">Proposed agreements in </w:t>
      </w:r>
      <w:r w:rsidRPr="002F19A6">
        <w:rPr>
          <w:rFonts w:ascii="Calibri" w:eastAsia="Calibri" w:hAnsi="Calibri" w:cs="Calibri"/>
          <w:sz w:val="22"/>
          <w:szCs w:val="22"/>
          <w:u w:val="single"/>
          <w:shd w:val="clear" w:color="auto" w:fill="FFFF00"/>
          <w:lang w:val="en-US"/>
        </w:rPr>
        <w:t>R2-2003907</w:t>
      </w:r>
      <w:r w:rsidRPr="002F19A6">
        <w:rPr>
          <w:rFonts w:ascii="Calibri" w:eastAsia="Calibri" w:hAnsi="Calibri" w:cs="Calibri"/>
          <w:sz w:val="22"/>
          <w:szCs w:val="22"/>
          <w:u w:val="single"/>
          <w:lang w:val="en-US"/>
        </w:rPr>
        <w:t xml:space="preserve"> indicated for email agreement and not challenged until Thursday 2020-04-30 06:00 UTC will be declared as agreed by the session chair. For the other ones, the discussion will continue after the meeting.</w:t>
      </w:r>
    </w:p>
    <w:p w14:paraId="5697ABB4" w14:textId="77777777" w:rsidR="002F19A6" w:rsidRDefault="002F19A6" w:rsidP="002F19A6">
      <w:pPr>
        <w:spacing w:after="0"/>
      </w:pPr>
    </w:p>
    <w:p w14:paraId="7E8A7B8E" w14:textId="77777777" w:rsidR="0014312D" w:rsidRDefault="00C93710">
      <w:pPr>
        <w:pStyle w:val="Heading1"/>
      </w:pPr>
      <w:r>
        <w:lastRenderedPageBreak/>
        <w:t>2</w:t>
      </w:r>
      <w:r>
        <w:tab/>
        <w:t>Discussion</w:t>
      </w:r>
    </w:p>
    <w:p w14:paraId="70B65ED1" w14:textId="2E6D9367" w:rsidR="002F19A6" w:rsidRDefault="002F19A6">
      <w:pPr>
        <w:pStyle w:val="Heading2"/>
      </w:pPr>
      <w:r>
        <w:t>2.1</w:t>
      </w:r>
      <w:r>
        <w:tab/>
      </w:r>
      <w:r w:rsidR="00A84903">
        <w:t xml:space="preserve">Broadcasting </w:t>
      </w:r>
      <w:r>
        <w:t xml:space="preserve">PCI ranges </w:t>
      </w:r>
      <w:r w:rsidR="00A84903">
        <w:t xml:space="preserve">for CAGs </w:t>
      </w:r>
      <w:r w:rsidRPr="002F19A6">
        <w:t xml:space="preserve">by </w:t>
      </w:r>
      <w:r w:rsidR="00A84903">
        <w:t>all</w:t>
      </w:r>
      <w:r>
        <w:t xml:space="preserve"> cell</w:t>
      </w:r>
      <w:r w:rsidR="00A84903">
        <w:t>s</w:t>
      </w:r>
    </w:p>
    <w:p w14:paraId="03FF19C4" w14:textId="1752EF86" w:rsidR="002F19A6" w:rsidRDefault="002F19A6" w:rsidP="002F19A6">
      <w:r>
        <w:rPr>
          <w:b/>
          <w:bCs/>
        </w:rPr>
        <w:t xml:space="preserve">Open issue description: </w:t>
      </w:r>
      <w:r>
        <w:t>It is FFS whether any cells including PLMN cells that do not support CAG IDs can optionally broadcast the PCI ranges for CA</w:t>
      </w:r>
      <w:r w:rsidR="00A84903">
        <w:t>G</w:t>
      </w:r>
      <w:r>
        <w:t xml:space="preserve"> cells.</w:t>
      </w:r>
    </w:p>
    <w:p w14:paraId="676E5C02" w14:textId="70A6C946" w:rsidR="002F19A6" w:rsidRDefault="002F19A6" w:rsidP="002F19A6">
      <w:r w:rsidRPr="002F19A6">
        <w:rPr>
          <w:b/>
          <w:bCs/>
        </w:rPr>
        <w:t>Background:</w:t>
      </w:r>
      <w:r>
        <w:t xml:space="preserve"> During the RAN2#109bis online session the following was agreed</w:t>
      </w:r>
    </w:p>
    <w:p w14:paraId="3A63E534" w14:textId="3D6CBF6F" w:rsidR="002F19A6" w:rsidRDefault="002F19A6" w:rsidP="002F19A6">
      <w:pPr>
        <w:ind w:left="284"/>
      </w:pPr>
      <w:r>
        <w:t>The PCI range(s) can be optionally signalled per PLMN and per frequency when the CAG cell is shared among different PLMNs</w:t>
      </w:r>
    </w:p>
    <w:p w14:paraId="2E667E47" w14:textId="77777777" w:rsidR="00A84903" w:rsidRDefault="00A84903" w:rsidP="002F19A6">
      <w:pPr>
        <w:rPr>
          <w:b/>
          <w:bCs/>
        </w:rPr>
      </w:pPr>
    </w:p>
    <w:p w14:paraId="76776D7B" w14:textId="0ACC9FCF" w:rsidR="002F19A6" w:rsidRDefault="002F19A6" w:rsidP="002F19A6">
      <w:r w:rsidRPr="002F19A6">
        <w:rPr>
          <w:b/>
          <w:bCs/>
        </w:rPr>
        <w:t>Question 1</w:t>
      </w:r>
      <w:r w:rsidR="00A84903">
        <w:rPr>
          <w:b/>
          <w:bCs/>
        </w:rPr>
        <w:t>a</w:t>
      </w:r>
      <w:r w:rsidRPr="002F19A6">
        <w:rPr>
          <w:b/>
          <w:bCs/>
        </w:rPr>
        <w:t>:</w:t>
      </w:r>
      <w:r>
        <w:t xml:space="preserve"> Do you agree that a PLMN cell that </w:t>
      </w:r>
      <w:r w:rsidR="00393B48">
        <w:t xml:space="preserve">is </w:t>
      </w:r>
      <w:r w:rsidR="00393B48" w:rsidRPr="00393B48">
        <w:rPr>
          <w:u w:val="single"/>
        </w:rPr>
        <w:t xml:space="preserve">not a shared cell and </w:t>
      </w:r>
      <w:r w:rsidRPr="00393B48">
        <w:rPr>
          <w:u w:val="single"/>
        </w:rPr>
        <w:t>support</w:t>
      </w:r>
      <w:r w:rsidR="00393B48" w:rsidRPr="00393B48">
        <w:rPr>
          <w:u w:val="single"/>
        </w:rPr>
        <w:t>s</w:t>
      </w:r>
      <w:r w:rsidRPr="00393B48">
        <w:rPr>
          <w:u w:val="single"/>
        </w:rPr>
        <w:t xml:space="preserve"> CAGs can</w:t>
      </w:r>
      <w:r>
        <w:t xml:space="preserve"> optionally broadcast</w:t>
      </w:r>
      <w:r w:rsidR="00A84903">
        <w:t xml:space="preserve"> PCI ranges for CAGs per frequency as agreed for CAG cell</w:t>
      </w:r>
      <w:r w:rsidR="00393B48">
        <w:t>s</w:t>
      </w:r>
      <w:r w:rsidR="00A84903">
        <w:t xml:space="preserve"> </w:t>
      </w:r>
      <w:r w:rsidR="00393B48">
        <w:t>that are</w:t>
      </w:r>
      <w:r w:rsidR="00A84903">
        <w:t xml:space="preserve"> shared among different PLMNs?</w:t>
      </w:r>
    </w:p>
    <w:p w14:paraId="79C672F3" w14:textId="387E3F5F" w:rsidR="00A84903" w:rsidRDefault="002F19A6" w:rsidP="00A84903">
      <w:r w:rsidRPr="002F19A6">
        <w:rPr>
          <w:b/>
          <w:bCs/>
        </w:rPr>
        <w:t>Question 1</w:t>
      </w:r>
      <w:r w:rsidR="00A84903">
        <w:rPr>
          <w:b/>
          <w:bCs/>
        </w:rPr>
        <w:t>b</w:t>
      </w:r>
      <w:r w:rsidRPr="002F19A6">
        <w:rPr>
          <w:b/>
          <w:bCs/>
        </w:rPr>
        <w:t>:</w:t>
      </w:r>
      <w:r>
        <w:t xml:space="preserve"> Do you agree that a PLMN cell that </w:t>
      </w:r>
      <w:r w:rsidRPr="00393B48">
        <w:rPr>
          <w:u w:val="single"/>
        </w:rPr>
        <w:t>do</w:t>
      </w:r>
      <w:r w:rsidR="00393B48" w:rsidRPr="00393B48">
        <w:rPr>
          <w:u w:val="single"/>
        </w:rPr>
        <w:t>es</w:t>
      </w:r>
      <w:r w:rsidRPr="00393B48">
        <w:rPr>
          <w:u w:val="single"/>
        </w:rPr>
        <w:t xml:space="preserve"> not support </w:t>
      </w:r>
      <w:r w:rsidR="00A84903" w:rsidRPr="00393B48">
        <w:rPr>
          <w:u w:val="single"/>
        </w:rPr>
        <w:t>CAGs</w:t>
      </w:r>
      <w:r w:rsidR="00A84903">
        <w:t xml:space="preserve"> can optionally broadcast PCI ranges for CAG cells per PLMN and per frequency as agreed for CAG cell</w:t>
      </w:r>
      <w:r w:rsidR="00393B48">
        <w:t>s</w:t>
      </w:r>
      <w:r w:rsidR="00A84903">
        <w:t xml:space="preserve"> </w:t>
      </w:r>
      <w:r w:rsidR="00393B48">
        <w:t xml:space="preserve">that are </w:t>
      </w:r>
      <w:r w:rsidR="00A84903">
        <w:t>shared among different PLMNs?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748"/>
        <w:gridCol w:w="810"/>
        <w:gridCol w:w="6930"/>
      </w:tblGrid>
      <w:tr w:rsidR="00A84903" w14:paraId="36299FA0" w14:textId="77777777" w:rsidTr="00A84903">
        <w:tc>
          <w:tcPr>
            <w:tcW w:w="1227" w:type="dxa"/>
            <w:vAlign w:val="center"/>
          </w:tcPr>
          <w:p w14:paraId="13801528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748" w:type="dxa"/>
          </w:tcPr>
          <w:p w14:paraId="495EFD9D" w14:textId="42086BFE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Q1a</w:t>
            </w:r>
          </w:p>
        </w:tc>
        <w:tc>
          <w:tcPr>
            <w:tcW w:w="810" w:type="dxa"/>
            <w:vAlign w:val="center"/>
          </w:tcPr>
          <w:p w14:paraId="33B85F39" w14:textId="14D3C512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Q1b</w:t>
            </w:r>
          </w:p>
        </w:tc>
        <w:tc>
          <w:tcPr>
            <w:tcW w:w="6930" w:type="dxa"/>
            <w:vAlign w:val="center"/>
          </w:tcPr>
          <w:p w14:paraId="4329D05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A84903" w14:paraId="743488D0" w14:textId="77777777" w:rsidTr="002801A4">
        <w:tc>
          <w:tcPr>
            <w:tcW w:w="1227" w:type="dxa"/>
            <w:vAlign w:val="center"/>
          </w:tcPr>
          <w:p w14:paraId="75DD7BB0" w14:textId="585C3DC0" w:rsidR="00A84903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Ericsson</w:t>
            </w:r>
          </w:p>
        </w:tc>
        <w:tc>
          <w:tcPr>
            <w:tcW w:w="748" w:type="dxa"/>
          </w:tcPr>
          <w:p w14:paraId="5DD1DEBC" w14:textId="65B9E642" w:rsidR="00A84903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810" w:type="dxa"/>
          </w:tcPr>
          <w:p w14:paraId="57B13E02" w14:textId="5ACC323F" w:rsidR="0027152A" w:rsidRDefault="0027152A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="002801A4">
              <w:rPr>
                <w:rFonts w:ascii="Times New Roman" w:hAnsi="Times New Roman"/>
                <w:sz w:val="20"/>
              </w:rPr>
              <w:t>?</w:t>
            </w:r>
          </w:p>
          <w:p w14:paraId="591E2C9D" w14:textId="77777777" w:rsidR="0027152A" w:rsidRDefault="0027152A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  <w:p w14:paraId="4CDF027A" w14:textId="0BEC7348" w:rsidR="00A84903" w:rsidRDefault="0027152A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(Does not seem needed)</w:t>
            </w:r>
          </w:p>
        </w:tc>
        <w:tc>
          <w:tcPr>
            <w:tcW w:w="6930" w:type="dxa"/>
            <w:vAlign w:val="center"/>
          </w:tcPr>
          <w:p w14:paraId="5F5CE2B0" w14:textId="14CCCDB6" w:rsidR="00590CFE" w:rsidRDefault="00470F5C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 assume the PCI range will contain the PCIs </w:t>
            </w:r>
            <w:r w:rsidR="00847E05">
              <w:rPr>
                <w:rFonts w:ascii="Times New Roman" w:hAnsi="Times New Roman"/>
                <w:sz w:val="20"/>
              </w:rPr>
              <w:t>used by</w:t>
            </w:r>
            <w:r>
              <w:rPr>
                <w:rFonts w:ascii="Times New Roman" w:hAnsi="Times New Roman"/>
                <w:sz w:val="20"/>
              </w:rPr>
              <w:t xml:space="preserve"> CAG cells and </w:t>
            </w:r>
            <w:r w:rsidR="003221EA">
              <w:rPr>
                <w:rFonts w:ascii="Times New Roman" w:hAnsi="Times New Roman"/>
                <w:sz w:val="20"/>
              </w:rPr>
              <w:t>the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 PCIs outside the range will be used by the public cells. </w:t>
            </w:r>
            <w:r w:rsidR="00590CFE">
              <w:rPr>
                <w:rFonts w:ascii="Times New Roman" w:hAnsi="Times New Roman"/>
                <w:sz w:val="20"/>
              </w:rPr>
              <w:t>The PCI range will then be used like this:</w:t>
            </w:r>
          </w:p>
          <w:p w14:paraId="2415E672" w14:textId="77365A1C" w:rsidR="00590CFE" w:rsidRDefault="00590CFE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  <w:p w14:paraId="5F25C2BE" w14:textId="142C821C" w:rsidR="00590CFE" w:rsidRDefault="00590CFE" w:rsidP="00590CFE">
            <w:pPr>
              <w:pStyle w:val="TAC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CAG UE </w:t>
            </w:r>
            <w:r>
              <w:rPr>
                <w:rFonts w:ascii="Times New Roman" w:hAnsi="Times New Roman"/>
                <w:sz w:val="20"/>
              </w:rPr>
              <w:t>w/</w:t>
            </w:r>
            <w:r>
              <w:rPr>
                <w:rFonts w:ascii="Times New Roman" w:hAnsi="Times New Roman"/>
                <w:sz w:val="20"/>
              </w:rPr>
              <w:t xml:space="preserve"> CAG only indication only</w:t>
            </w:r>
            <w:r>
              <w:rPr>
                <w:rFonts w:ascii="Times New Roman" w:hAnsi="Times New Roman"/>
                <w:sz w:val="20"/>
              </w:rPr>
              <w:t xml:space="preserve"> need to </w:t>
            </w:r>
            <w:r>
              <w:rPr>
                <w:rFonts w:ascii="Times New Roman" w:hAnsi="Times New Roman"/>
                <w:sz w:val="20"/>
              </w:rPr>
              <w:t xml:space="preserve">consider cells inside the PCI range when it searches for cells. </w:t>
            </w:r>
          </w:p>
          <w:p w14:paraId="17E7FE94" w14:textId="77777777" w:rsidR="00590CFE" w:rsidRDefault="00590CFE" w:rsidP="00590CFE">
            <w:pPr>
              <w:pStyle w:val="TAC"/>
              <w:ind w:left="720"/>
              <w:jc w:val="left"/>
              <w:rPr>
                <w:rFonts w:ascii="Times New Roman" w:hAnsi="Times New Roman"/>
                <w:sz w:val="20"/>
              </w:rPr>
            </w:pPr>
          </w:p>
          <w:p w14:paraId="39262E05" w14:textId="72CB3C77" w:rsidR="00590CFE" w:rsidRDefault="00590CFE" w:rsidP="00590CFE">
            <w:pPr>
              <w:pStyle w:val="TAC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CAG UE w/o CAG only indication consider</w:t>
            </w:r>
            <w:r w:rsidR="00847E05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all cells since it camp on both public and CAG cells.</w:t>
            </w:r>
          </w:p>
          <w:p w14:paraId="2FC33AFB" w14:textId="77777777" w:rsidR="00590CFE" w:rsidRDefault="00590CFE" w:rsidP="00590CFE">
            <w:pPr>
              <w:pStyle w:val="ListParagraph"/>
            </w:pPr>
          </w:p>
          <w:p w14:paraId="6600D91D" w14:textId="4E2051BF" w:rsidR="00A84903" w:rsidRDefault="00590CFE" w:rsidP="00A27004">
            <w:pPr>
              <w:pStyle w:val="TAC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non-CAG UE </w:t>
            </w:r>
            <w:r w:rsidR="00847E05">
              <w:rPr>
                <w:rFonts w:ascii="Times New Roman" w:hAnsi="Times New Roman"/>
                <w:sz w:val="20"/>
              </w:rPr>
              <w:t xml:space="preserve">considers all cells since some of the cells within the PCI range may be “hybrid” cells (hybrid cells are not supported in Rel-16 but we may want to support it in the future) </w:t>
            </w:r>
          </w:p>
          <w:p w14:paraId="399A0F7A" w14:textId="28223FB7" w:rsidR="00847E05" w:rsidRDefault="00847E05" w:rsidP="00847E05"/>
          <w:p w14:paraId="3EEF8730" w14:textId="3C6EA88C" w:rsidR="00590CFE" w:rsidRDefault="0027152A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no PCI range information is configured the UE </w:t>
            </w:r>
            <w:r w:rsidR="00847E05">
              <w:rPr>
                <w:rFonts w:ascii="Times New Roman" w:hAnsi="Times New Roman"/>
                <w:sz w:val="20"/>
              </w:rPr>
              <w:t xml:space="preserve">does not make any assumption whether a cell is a public or CAG cell based on PCI, </w:t>
            </w:r>
            <w:r>
              <w:rPr>
                <w:rFonts w:ascii="Times New Roman" w:hAnsi="Times New Roman"/>
                <w:sz w:val="20"/>
              </w:rPr>
              <w:t xml:space="preserve">i.e. </w:t>
            </w:r>
            <w:r w:rsidR="00847E05">
              <w:rPr>
                <w:rFonts w:ascii="Times New Roman" w:hAnsi="Times New Roman"/>
                <w:sz w:val="20"/>
              </w:rPr>
              <w:t xml:space="preserve">all cells need to be considered during the cell search regardless of </w:t>
            </w:r>
            <w:r w:rsidR="002801A4">
              <w:rPr>
                <w:rFonts w:ascii="Times New Roman" w:hAnsi="Times New Roman"/>
                <w:sz w:val="20"/>
              </w:rPr>
              <w:t>whether the UE is a CAG or non-CAG UE or whether the CAG only indication is set or not.</w:t>
            </w:r>
          </w:p>
          <w:p w14:paraId="463F8020" w14:textId="77777777" w:rsidR="002801A4" w:rsidRDefault="002801A4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  <w:p w14:paraId="77C7D6C8" w14:textId="2CC30EC5" w:rsidR="00847E05" w:rsidRDefault="002801A4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Based on the above analysis it seems the PCI range information only provide a benefit for the CAG UEs w/ CAG only indication. But these UEs would never camp on a public cell (except for emergency) so it doesn’t seem necessary to broadcast PCI range information in such cells. </w:t>
            </w:r>
          </w:p>
          <w:p w14:paraId="128ADC5D" w14:textId="6B0D4974" w:rsidR="00847E05" w:rsidRPr="00590CFE" w:rsidRDefault="00847E05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2898F806" w14:textId="77777777" w:rsidTr="00A84903">
        <w:tc>
          <w:tcPr>
            <w:tcW w:w="1227" w:type="dxa"/>
            <w:vAlign w:val="center"/>
          </w:tcPr>
          <w:p w14:paraId="1E719A23" w14:textId="0CD9C8E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4E003B9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732ECE3" w14:textId="575AB5E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66FA3A3C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A84903" w14:paraId="37AE951F" w14:textId="77777777" w:rsidTr="00A84903">
        <w:tc>
          <w:tcPr>
            <w:tcW w:w="1227" w:type="dxa"/>
            <w:vAlign w:val="center"/>
          </w:tcPr>
          <w:p w14:paraId="0F6FCB0F" w14:textId="0F4A98D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1307AAA5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4ECDBFDC" w14:textId="79FA5123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16D65604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A84903" w14:paraId="79EBE72F" w14:textId="77777777" w:rsidTr="00A84903">
        <w:tc>
          <w:tcPr>
            <w:tcW w:w="1227" w:type="dxa"/>
            <w:vAlign w:val="center"/>
          </w:tcPr>
          <w:p w14:paraId="3F9B8C8B" w14:textId="25BE5D1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7974BEFC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D6B98DF" w14:textId="282A4A6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33D47DD3" w14:textId="3BD6606C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24ADDC64" w14:textId="77777777" w:rsidTr="00A84903">
        <w:tc>
          <w:tcPr>
            <w:tcW w:w="1227" w:type="dxa"/>
            <w:vAlign w:val="center"/>
          </w:tcPr>
          <w:p w14:paraId="6A10E69D" w14:textId="2D5E89FA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508D89C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256C0EA5" w14:textId="0ECFAF8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3D7AA237" w14:textId="1305BA29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3ADF7AA4" w14:textId="77777777" w:rsidTr="00A84903">
        <w:tc>
          <w:tcPr>
            <w:tcW w:w="1227" w:type="dxa"/>
            <w:vAlign w:val="center"/>
          </w:tcPr>
          <w:p w14:paraId="3CECBBF3" w14:textId="6E32C0F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2B0AEF46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60F32806" w14:textId="60EACEC3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5C86CFD1" w14:textId="1EE00F3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4C0A7DFB" w14:textId="77777777" w:rsidTr="00A84903">
        <w:tc>
          <w:tcPr>
            <w:tcW w:w="1227" w:type="dxa"/>
            <w:vAlign w:val="center"/>
          </w:tcPr>
          <w:p w14:paraId="2A70A6C4" w14:textId="5241644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173419DF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3EBA8817" w14:textId="5D8A218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1503C0DC" w14:textId="2C21BE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9179BF5" w14:textId="77777777" w:rsidTr="00A84903">
        <w:tc>
          <w:tcPr>
            <w:tcW w:w="1227" w:type="dxa"/>
            <w:vAlign w:val="center"/>
          </w:tcPr>
          <w:p w14:paraId="498FD9A7" w14:textId="3DD5A44A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2BE44F3A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2E9DC2D8" w14:textId="44D148D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7591E55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3C0CE84" w14:textId="77777777" w:rsidTr="00A84903">
        <w:tc>
          <w:tcPr>
            <w:tcW w:w="1227" w:type="dxa"/>
            <w:vAlign w:val="center"/>
          </w:tcPr>
          <w:p w14:paraId="19C6FB1F" w14:textId="315D31EF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16792ED5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019C8425" w14:textId="70C025DB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6C86358A" w14:textId="480C77D6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D2DCB9B" w14:textId="77777777" w:rsidTr="00A84903">
        <w:tc>
          <w:tcPr>
            <w:tcW w:w="1227" w:type="dxa"/>
            <w:vAlign w:val="center"/>
          </w:tcPr>
          <w:p w14:paraId="46BF8C2C" w14:textId="4C73BC5E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0AA9C7F0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D715551" w14:textId="420666FD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3FE2DC64" w14:textId="5F517856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61DF3906" w14:textId="77777777" w:rsidTr="00A84903">
        <w:tc>
          <w:tcPr>
            <w:tcW w:w="1227" w:type="dxa"/>
            <w:vAlign w:val="center"/>
          </w:tcPr>
          <w:p w14:paraId="60E8ECFF" w14:textId="7ACCEF8B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653CCCF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2D8DDDB" w14:textId="2E67F55D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61D9214C" w14:textId="0F0E33C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03263366" w14:textId="77777777" w:rsidTr="00A84903">
        <w:tc>
          <w:tcPr>
            <w:tcW w:w="1227" w:type="dxa"/>
            <w:vAlign w:val="center"/>
          </w:tcPr>
          <w:p w14:paraId="4B9B81E8" w14:textId="28A24A43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48" w:type="dxa"/>
          </w:tcPr>
          <w:p w14:paraId="5C0E971C" w14:textId="77777777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810" w:type="dxa"/>
            <w:vAlign w:val="center"/>
          </w:tcPr>
          <w:p w14:paraId="27D37C3F" w14:textId="688F49C9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6930" w:type="dxa"/>
            <w:vAlign w:val="center"/>
          </w:tcPr>
          <w:p w14:paraId="52EA575C" w14:textId="230E993D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A84903" w14:paraId="09D57410" w14:textId="77777777" w:rsidTr="00A84903">
        <w:tc>
          <w:tcPr>
            <w:tcW w:w="1227" w:type="dxa"/>
            <w:vAlign w:val="center"/>
          </w:tcPr>
          <w:p w14:paraId="6B8E94C3" w14:textId="7F5A5FE2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2DF62FC3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57EDEC56" w14:textId="36C7E703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5D907496" w14:textId="7507B6BE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A84903" w14:paraId="3E55CB0F" w14:textId="77777777" w:rsidTr="00A84903">
        <w:tc>
          <w:tcPr>
            <w:tcW w:w="1227" w:type="dxa"/>
            <w:vAlign w:val="center"/>
          </w:tcPr>
          <w:p w14:paraId="5CD24DEC" w14:textId="0046B51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200816A9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B0434D9" w14:textId="5893253A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3B6C21B4" w14:textId="491D5D08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A84903" w14:paraId="4AD4EB7F" w14:textId="77777777" w:rsidTr="00A84903">
        <w:tc>
          <w:tcPr>
            <w:tcW w:w="1227" w:type="dxa"/>
            <w:vAlign w:val="center"/>
          </w:tcPr>
          <w:p w14:paraId="7C5BE207" w14:textId="50FFCDC0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291D06C9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6BFB0FBD" w14:textId="715A1D25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6FB9ED6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29154534" w14:textId="77777777" w:rsidTr="00A84903">
        <w:tc>
          <w:tcPr>
            <w:tcW w:w="1227" w:type="dxa"/>
            <w:vAlign w:val="center"/>
          </w:tcPr>
          <w:p w14:paraId="655B3CC7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0525CD66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78378FBB" w14:textId="599A07B0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0691F94A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5ACABBC" w14:textId="77777777" w:rsidTr="00A84903">
        <w:tc>
          <w:tcPr>
            <w:tcW w:w="1227" w:type="dxa"/>
            <w:vAlign w:val="center"/>
          </w:tcPr>
          <w:p w14:paraId="300CB40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7FDD898B" w14:textId="77777777" w:rsidR="00A84903" w:rsidRDefault="00A84903" w:rsidP="00A27004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2627B94" w14:textId="16456918" w:rsidR="00A84903" w:rsidRDefault="00A84903" w:rsidP="00A27004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472BC836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7C454F9E" w14:textId="77777777" w:rsidR="00A84903" w:rsidRDefault="00A84903" w:rsidP="00A84903"/>
    <w:p w14:paraId="0A0C5836" w14:textId="77777777" w:rsidR="00A84903" w:rsidRDefault="00A84903" w:rsidP="00A84903">
      <w:pPr>
        <w:rPr>
          <w:b/>
          <w:bCs/>
        </w:rPr>
      </w:pPr>
      <w:r>
        <w:rPr>
          <w:b/>
          <w:bCs/>
        </w:rPr>
        <w:t xml:space="preserve">Summary: </w:t>
      </w:r>
    </w:p>
    <w:p w14:paraId="16A0D42E" w14:textId="77777777" w:rsidR="00A84903" w:rsidRDefault="00A84903" w:rsidP="00A84903"/>
    <w:p w14:paraId="4355B7B2" w14:textId="77777777" w:rsidR="002F19A6" w:rsidRPr="002F19A6" w:rsidRDefault="002F19A6" w:rsidP="002F19A6"/>
    <w:p w14:paraId="2CB1418D" w14:textId="5B18BFAB" w:rsidR="002F19A6" w:rsidRDefault="00C93710">
      <w:pPr>
        <w:pStyle w:val="Heading2"/>
      </w:pPr>
      <w:r>
        <w:t>2.</w:t>
      </w:r>
      <w:r w:rsidR="002F19A6">
        <w:t>2</w:t>
      </w:r>
      <w:r w:rsidR="002F19A6">
        <w:tab/>
        <w:t>Validity time of PCI ranges</w:t>
      </w:r>
      <w:r w:rsidR="00A84903">
        <w:t xml:space="preserve"> for CAGs</w:t>
      </w:r>
    </w:p>
    <w:p w14:paraId="67CCAB0F" w14:textId="67EED2A8" w:rsidR="0014312D" w:rsidRDefault="00C93710">
      <w:r>
        <w:rPr>
          <w:b/>
          <w:bCs/>
        </w:rPr>
        <w:t xml:space="preserve">Open issue description: </w:t>
      </w:r>
      <w:r>
        <w:t>T</w:t>
      </w:r>
      <w:r w:rsidR="00A84903">
        <w:t>he validity time for PCI ranges for CAGs are FFS.</w:t>
      </w:r>
    </w:p>
    <w:p w14:paraId="183A9D93" w14:textId="77777777" w:rsidR="00A84903" w:rsidRDefault="00A84903" w:rsidP="00A84903">
      <w:r w:rsidRPr="002F19A6">
        <w:rPr>
          <w:b/>
          <w:bCs/>
        </w:rPr>
        <w:t>Background:</w:t>
      </w:r>
      <w:r>
        <w:t xml:space="preserve"> </w:t>
      </w:r>
    </w:p>
    <w:p w14:paraId="745AB69C" w14:textId="75AD664D" w:rsidR="00A84903" w:rsidRDefault="00A84903" w:rsidP="00A84903">
      <w:pPr>
        <w:ind w:left="284"/>
      </w:pPr>
      <w:r>
        <w:t>During the RAN2#109bis online session the following was agreed</w:t>
      </w:r>
    </w:p>
    <w:p w14:paraId="571C7FC6" w14:textId="77777777" w:rsidR="00A84903" w:rsidRDefault="00A84903" w:rsidP="00A84903">
      <w:pPr>
        <w:ind w:left="568"/>
      </w:pPr>
      <w:r>
        <w:lastRenderedPageBreak/>
        <w:t>The PCI range(s) can be optionally signalled per PLMN and per frequency when the CAG cell is shared among different PLMNs</w:t>
      </w:r>
    </w:p>
    <w:p w14:paraId="110529A3" w14:textId="54C3A5BA" w:rsidR="00A84903" w:rsidRDefault="00A84903" w:rsidP="00A84903">
      <w:pPr>
        <w:ind w:left="284"/>
      </w:pPr>
      <w:r>
        <w:t xml:space="preserve">There was no conclusion </w:t>
      </w:r>
      <w:r w:rsidR="00393B48">
        <w:t>on the validity time of the PCI ranges for CAGs. P</w:t>
      </w:r>
      <w:r>
        <w:t xml:space="preserve">roposal 2 of R2-2002745 </w:t>
      </w:r>
      <w:r w:rsidR="00393B48">
        <w:t>is the following: “</w:t>
      </w:r>
      <w:r>
        <w:t>The PCI range is valid among the whole frequency within the same PLMN for 24 hours</w:t>
      </w:r>
      <w:r w:rsidR="00393B48">
        <w:t>”</w:t>
      </w:r>
      <w:r>
        <w:t xml:space="preserve">. </w:t>
      </w:r>
      <w:r w:rsidR="00393B48">
        <w:t>During the discussion s</w:t>
      </w:r>
      <w:r>
        <w:t xml:space="preserve">ome companies’ view was that </w:t>
      </w:r>
      <w:r w:rsidR="00393B48">
        <w:t xml:space="preserve">the </w:t>
      </w:r>
      <w:r>
        <w:t>general</w:t>
      </w:r>
      <w:r w:rsidR="00393B48">
        <w:t xml:space="preserve">ly used </w:t>
      </w:r>
      <w:r>
        <w:t xml:space="preserve">3-hour validity is enough. </w:t>
      </w:r>
    </w:p>
    <w:p w14:paraId="3FC15170" w14:textId="765DF9F2" w:rsidR="00A84903" w:rsidRDefault="00A84903" w:rsidP="00A84903">
      <w:pPr>
        <w:ind w:left="284"/>
      </w:pPr>
    </w:p>
    <w:p w14:paraId="41441AD2" w14:textId="590A4502" w:rsidR="00F106B2" w:rsidRDefault="00F106B2" w:rsidP="00F106B2">
      <w:r w:rsidRPr="002F19A6">
        <w:rPr>
          <w:b/>
          <w:bCs/>
        </w:rPr>
        <w:t xml:space="preserve">Question </w:t>
      </w:r>
      <w:r>
        <w:rPr>
          <w:b/>
          <w:bCs/>
        </w:rPr>
        <w:t>2</w:t>
      </w:r>
      <w:r w:rsidRPr="002F19A6">
        <w:rPr>
          <w:b/>
          <w:bCs/>
        </w:rPr>
        <w:t>:</w:t>
      </w:r>
      <w:r>
        <w:t xml:space="preserve"> Which option do you prefer for the validity time for PCI ranges advertised for CAGs</w:t>
      </w:r>
      <w:r w:rsidR="00070FA2">
        <w:t>?</w:t>
      </w:r>
    </w:p>
    <w:p w14:paraId="6BB025AC" w14:textId="1A1F91D0" w:rsidR="00F106B2" w:rsidRDefault="00F106B2" w:rsidP="00F106B2">
      <w:pPr>
        <w:pStyle w:val="ListParagraph"/>
        <w:numPr>
          <w:ilvl w:val="0"/>
          <w:numId w:val="15"/>
        </w:numPr>
      </w:pPr>
      <w:r w:rsidRPr="0061395C">
        <w:rPr>
          <w:b/>
          <w:bCs/>
        </w:rPr>
        <w:t>Option A:</w:t>
      </w:r>
      <w:r>
        <w:t xml:space="preserve"> 24 hours (as for CSG)</w:t>
      </w:r>
    </w:p>
    <w:p w14:paraId="2516FC2E" w14:textId="7A063850" w:rsidR="00F106B2" w:rsidRDefault="00F106B2" w:rsidP="00F106B2">
      <w:pPr>
        <w:pStyle w:val="ListParagraph"/>
        <w:numPr>
          <w:ilvl w:val="0"/>
          <w:numId w:val="15"/>
        </w:numPr>
      </w:pPr>
      <w:r w:rsidRPr="0061395C">
        <w:rPr>
          <w:b/>
          <w:bCs/>
        </w:rPr>
        <w:t>Option B:</w:t>
      </w:r>
      <w:r>
        <w:t xml:space="preserve"> 3 hours (as for other SIB parameters)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27"/>
        <w:gridCol w:w="1198"/>
        <w:gridCol w:w="7200"/>
      </w:tblGrid>
      <w:tr w:rsidR="00F106B2" w14:paraId="16AA58C2" w14:textId="77777777" w:rsidTr="00F106B2">
        <w:tc>
          <w:tcPr>
            <w:tcW w:w="1227" w:type="dxa"/>
            <w:vAlign w:val="center"/>
          </w:tcPr>
          <w:p w14:paraId="7DD5468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198" w:type="dxa"/>
          </w:tcPr>
          <w:p w14:paraId="79FE9BE0" w14:textId="574A069B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Preference</w:t>
            </w:r>
          </w:p>
        </w:tc>
        <w:tc>
          <w:tcPr>
            <w:tcW w:w="7200" w:type="dxa"/>
            <w:vAlign w:val="center"/>
          </w:tcPr>
          <w:p w14:paraId="49B3ED7B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F106B2" w14:paraId="310E1202" w14:textId="77777777" w:rsidTr="00F106B2">
        <w:tc>
          <w:tcPr>
            <w:tcW w:w="1227" w:type="dxa"/>
            <w:vAlign w:val="center"/>
          </w:tcPr>
          <w:p w14:paraId="201BD27C" w14:textId="564FF1E8" w:rsidR="00F106B2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Ericsson</w:t>
            </w:r>
          </w:p>
        </w:tc>
        <w:tc>
          <w:tcPr>
            <w:tcW w:w="1198" w:type="dxa"/>
          </w:tcPr>
          <w:p w14:paraId="6666A7E0" w14:textId="54004100" w:rsidR="00F106B2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7200" w:type="dxa"/>
            <w:vAlign w:val="center"/>
          </w:tcPr>
          <w:p w14:paraId="2AE868ED" w14:textId="3E546710" w:rsidR="00F106B2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UE will use the PCI range information broadcasted by its serving cell when it searches for </w:t>
            </w:r>
            <w:r w:rsidR="003221EA">
              <w:rPr>
                <w:rFonts w:ascii="Times New Roman" w:hAnsi="Times New Roman"/>
                <w:sz w:val="20"/>
              </w:rPr>
              <w:t xml:space="preserve">other </w:t>
            </w:r>
            <w:r w:rsidR="00590CFE">
              <w:rPr>
                <w:rFonts w:ascii="Times New Roman" w:hAnsi="Times New Roman"/>
                <w:sz w:val="20"/>
              </w:rPr>
              <w:t>cells</w:t>
            </w:r>
            <w:r w:rsidR="003221EA">
              <w:rPr>
                <w:rFonts w:ascii="Times New Roman" w:hAnsi="Times New Roman"/>
                <w:sz w:val="20"/>
              </w:rPr>
              <w:t>. It should therefore be possible to use the same time limit for the PCI range information as we use for other SIB parameters.</w:t>
            </w:r>
          </w:p>
        </w:tc>
      </w:tr>
      <w:tr w:rsidR="00F106B2" w14:paraId="2A2FCF28" w14:textId="77777777" w:rsidTr="00F106B2">
        <w:tc>
          <w:tcPr>
            <w:tcW w:w="1227" w:type="dxa"/>
            <w:vAlign w:val="center"/>
          </w:tcPr>
          <w:p w14:paraId="03D59C44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34D87F65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31050F7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106B2" w14:paraId="0CFF718D" w14:textId="77777777" w:rsidTr="00F106B2">
        <w:tc>
          <w:tcPr>
            <w:tcW w:w="1227" w:type="dxa"/>
            <w:vAlign w:val="center"/>
          </w:tcPr>
          <w:p w14:paraId="072AF379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15CB1671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521BBBC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106B2" w14:paraId="39547E68" w14:textId="77777777" w:rsidTr="00F106B2">
        <w:tc>
          <w:tcPr>
            <w:tcW w:w="1227" w:type="dxa"/>
            <w:vAlign w:val="center"/>
          </w:tcPr>
          <w:p w14:paraId="3EB3E0CD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5C3E341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5AF9B9A9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DDFA544" w14:textId="77777777" w:rsidTr="00F106B2">
        <w:tc>
          <w:tcPr>
            <w:tcW w:w="1227" w:type="dxa"/>
            <w:vAlign w:val="center"/>
          </w:tcPr>
          <w:p w14:paraId="798238D7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3CB80E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237DD84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E73B2A8" w14:textId="77777777" w:rsidTr="00F106B2">
        <w:tc>
          <w:tcPr>
            <w:tcW w:w="1227" w:type="dxa"/>
            <w:vAlign w:val="center"/>
          </w:tcPr>
          <w:p w14:paraId="77D3F5E2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98CCEEF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686965CF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55786509" w14:textId="77777777" w:rsidTr="00F106B2">
        <w:tc>
          <w:tcPr>
            <w:tcW w:w="1227" w:type="dxa"/>
            <w:vAlign w:val="center"/>
          </w:tcPr>
          <w:p w14:paraId="2799A58F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4C71203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7825995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065D7DC8" w14:textId="77777777" w:rsidTr="00F106B2">
        <w:tc>
          <w:tcPr>
            <w:tcW w:w="1227" w:type="dxa"/>
            <w:vAlign w:val="center"/>
          </w:tcPr>
          <w:p w14:paraId="06C9009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682826B3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22AA9D33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1E1DDB02" w14:textId="77777777" w:rsidTr="00F106B2">
        <w:tc>
          <w:tcPr>
            <w:tcW w:w="1227" w:type="dxa"/>
            <w:vAlign w:val="center"/>
          </w:tcPr>
          <w:p w14:paraId="4BAF036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42149AD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0E7AF53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38A4697A" w14:textId="77777777" w:rsidTr="00F106B2">
        <w:tc>
          <w:tcPr>
            <w:tcW w:w="1227" w:type="dxa"/>
            <w:vAlign w:val="center"/>
          </w:tcPr>
          <w:p w14:paraId="7A678CA7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718BD3F5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29CD00C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49D5B90F" w14:textId="77777777" w:rsidTr="00F106B2">
        <w:tc>
          <w:tcPr>
            <w:tcW w:w="1227" w:type="dxa"/>
            <w:vAlign w:val="center"/>
          </w:tcPr>
          <w:p w14:paraId="166F3F38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44D90F4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6B2371E8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70D8788A" w14:textId="77777777" w:rsidTr="00F106B2">
        <w:tc>
          <w:tcPr>
            <w:tcW w:w="1227" w:type="dxa"/>
            <w:vAlign w:val="center"/>
          </w:tcPr>
          <w:p w14:paraId="27293DF5" w14:textId="77777777" w:rsidR="00F106B2" w:rsidRDefault="00F106B2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198" w:type="dxa"/>
          </w:tcPr>
          <w:p w14:paraId="743A9ABF" w14:textId="77777777" w:rsidR="00F106B2" w:rsidRDefault="00F106B2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200" w:type="dxa"/>
            <w:vAlign w:val="center"/>
          </w:tcPr>
          <w:p w14:paraId="0F2746EC" w14:textId="77777777" w:rsidR="00F106B2" w:rsidRDefault="00F106B2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F106B2" w14:paraId="57A86F86" w14:textId="77777777" w:rsidTr="00F106B2">
        <w:tc>
          <w:tcPr>
            <w:tcW w:w="1227" w:type="dxa"/>
            <w:vAlign w:val="center"/>
          </w:tcPr>
          <w:p w14:paraId="3B9537CD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668A7C13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0E5E6DD6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F106B2" w14:paraId="3FC2AE3D" w14:textId="77777777" w:rsidTr="00F106B2">
        <w:tc>
          <w:tcPr>
            <w:tcW w:w="1227" w:type="dxa"/>
            <w:vAlign w:val="center"/>
          </w:tcPr>
          <w:p w14:paraId="73CB5E23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5BE76B9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0CD418A8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F106B2" w14:paraId="7AB66839" w14:textId="77777777" w:rsidTr="00F106B2">
        <w:tc>
          <w:tcPr>
            <w:tcW w:w="1227" w:type="dxa"/>
            <w:vAlign w:val="center"/>
          </w:tcPr>
          <w:p w14:paraId="2AA31F65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4EF8393C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7D0317D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0DE6225" w14:textId="77777777" w:rsidTr="00F106B2">
        <w:tc>
          <w:tcPr>
            <w:tcW w:w="1227" w:type="dxa"/>
            <w:vAlign w:val="center"/>
          </w:tcPr>
          <w:p w14:paraId="42C939BC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3CB8B1D8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490A07E9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7B49AE81" w14:textId="77777777" w:rsidTr="00F106B2">
        <w:tc>
          <w:tcPr>
            <w:tcW w:w="1227" w:type="dxa"/>
            <w:vAlign w:val="center"/>
          </w:tcPr>
          <w:p w14:paraId="0E67D985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41108002" w14:textId="77777777" w:rsidR="00F106B2" w:rsidRDefault="00F106B2" w:rsidP="00A27004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27BF91D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54B871D0" w14:textId="77777777" w:rsidR="00F106B2" w:rsidRDefault="00F106B2" w:rsidP="00F106B2"/>
    <w:p w14:paraId="42F32895" w14:textId="77777777" w:rsidR="00F106B2" w:rsidRDefault="00F106B2" w:rsidP="00F106B2">
      <w:pPr>
        <w:rPr>
          <w:b/>
          <w:bCs/>
        </w:rPr>
      </w:pPr>
      <w:r>
        <w:rPr>
          <w:b/>
          <w:bCs/>
        </w:rPr>
        <w:t xml:space="preserve">Summary: </w:t>
      </w:r>
    </w:p>
    <w:p w14:paraId="0568A4D0" w14:textId="77777777" w:rsidR="00F106B2" w:rsidRDefault="00F106B2" w:rsidP="00F106B2"/>
    <w:p w14:paraId="1A877A62" w14:textId="77777777" w:rsidR="00F106B2" w:rsidRPr="002F19A6" w:rsidRDefault="00F106B2" w:rsidP="00F106B2"/>
    <w:p w14:paraId="742D1196" w14:textId="63E4DA98" w:rsidR="0014312D" w:rsidRDefault="00C93710">
      <w:pPr>
        <w:pStyle w:val="Heading1"/>
      </w:pPr>
      <w:r>
        <w:t>3</w:t>
      </w:r>
      <w:r>
        <w:tab/>
        <w:t>Conclusions</w:t>
      </w:r>
    </w:p>
    <w:p w14:paraId="5DA2E68A" w14:textId="77777777" w:rsidR="00F106B2" w:rsidRPr="00F106B2" w:rsidRDefault="00F106B2" w:rsidP="00F106B2"/>
    <w:sectPr w:rsidR="00F106B2" w:rsidRPr="00F106B2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068C" w14:textId="77777777" w:rsidR="006F055E" w:rsidRDefault="006F055E">
      <w:pPr>
        <w:spacing w:after="0" w:line="240" w:lineRule="auto"/>
      </w:pPr>
      <w:r>
        <w:separator/>
      </w:r>
    </w:p>
  </w:endnote>
  <w:endnote w:type="continuationSeparator" w:id="0">
    <w:p w14:paraId="06A1BAE5" w14:textId="77777777" w:rsidR="006F055E" w:rsidRDefault="006F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9CFE" w14:textId="77777777" w:rsidR="002F19A6" w:rsidRDefault="002F19A6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3CD581" wp14:editId="54D7A6D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5ab742b09ae76b7e70c0177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EF0E0" w14:textId="77777777" w:rsidR="002F19A6" w:rsidRDefault="002F19A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D581" id="_x0000_t202" coordsize="21600,21600" o:spt="202" path="m,l,21600r21600,l21600,xe">
              <v:stroke joinstyle="miter"/>
              <v:path gradientshapeok="t" o:connecttype="rect"/>
            </v:shapetype>
            <v:shape id="MSIPCM5ab742b09ae76b7e70c0177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" o:allowincell="f" filled="f" stroked="f" strokeweight=".5pt">
              <v:textbox inset="20pt,0,,0">
                <w:txbxContent>
                  <w:p w14:paraId="57EEF0E0" w14:textId="77777777" w:rsidR="002F19A6" w:rsidRDefault="002F19A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C22CE" w14:textId="77777777" w:rsidR="006F055E" w:rsidRDefault="006F055E">
      <w:pPr>
        <w:spacing w:after="0" w:line="240" w:lineRule="auto"/>
      </w:pPr>
      <w:r>
        <w:separator/>
      </w:r>
    </w:p>
  </w:footnote>
  <w:footnote w:type="continuationSeparator" w:id="0">
    <w:p w14:paraId="1AE74234" w14:textId="77777777" w:rsidR="006F055E" w:rsidRDefault="006F0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818"/>
    <w:multiLevelType w:val="multilevel"/>
    <w:tmpl w:val="07DD6818"/>
    <w:lvl w:ilvl="0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62B2A3D"/>
    <w:multiLevelType w:val="multilevel"/>
    <w:tmpl w:val="162B2A3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FF2C85"/>
    <w:multiLevelType w:val="hybridMultilevel"/>
    <w:tmpl w:val="A5FA0E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25E13"/>
    <w:multiLevelType w:val="multilevel"/>
    <w:tmpl w:val="29B25E1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08A"/>
    <w:multiLevelType w:val="multilevel"/>
    <w:tmpl w:val="2F1C7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0198"/>
    <w:multiLevelType w:val="hybridMultilevel"/>
    <w:tmpl w:val="BACCC93E"/>
    <w:lvl w:ilvl="0" w:tplc="3C32C9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3A34"/>
    <w:multiLevelType w:val="singleLevel"/>
    <w:tmpl w:val="30D33A34"/>
    <w:lvl w:ilvl="0">
      <w:start w:val="1"/>
      <w:numFmt w:val="decimal"/>
      <w:suff w:val="space"/>
      <w:lvlText w:val="(%1)"/>
      <w:lvlJc w:val="left"/>
    </w:lvl>
  </w:abstractNum>
  <w:abstractNum w:abstractNumId="7" w15:restartNumberingAfterBreak="0">
    <w:nsid w:val="3908238C"/>
    <w:multiLevelType w:val="hybridMultilevel"/>
    <w:tmpl w:val="C2060AAC"/>
    <w:lvl w:ilvl="0" w:tplc="9C8052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7B21"/>
    <w:multiLevelType w:val="multilevel"/>
    <w:tmpl w:val="392F7B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0E0D"/>
    <w:multiLevelType w:val="multilevel"/>
    <w:tmpl w:val="4C6C0E0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774DD"/>
    <w:multiLevelType w:val="multilevel"/>
    <w:tmpl w:val="5B0774DD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B3126F7"/>
    <w:multiLevelType w:val="multilevel"/>
    <w:tmpl w:val="5B3126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C35F5"/>
    <w:multiLevelType w:val="multilevel"/>
    <w:tmpl w:val="63CC35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C47857"/>
    <w:multiLevelType w:val="hybridMultilevel"/>
    <w:tmpl w:val="EFA0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2"/>
  </w:num>
  <w:num w:numId="15">
    <w:abstractNumId w:val="1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72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0FA2"/>
    <w:rsid w:val="00073C9C"/>
    <w:rsid w:val="00074053"/>
    <w:rsid w:val="000767F3"/>
    <w:rsid w:val="00080512"/>
    <w:rsid w:val="00080E89"/>
    <w:rsid w:val="00085582"/>
    <w:rsid w:val="000877C1"/>
    <w:rsid w:val="00090468"/>
    <w:rsid w:val="00090A95"/>
    <w:rsid w:val="000931A0"/>
    <w:rsid w:val="000934A4"/>
    <w:rsid w:val="00094568"/>
    <w:rsid w:val="000A102F"/>
    <w:rsid w:val="000A39F3"/>
    <w:rsid w:val="000A488E"/>
    <w:rsid w:val="000A6DAB"/>
    <w:rsid w:val="000B09D7"/>
    <w:rsid w:val="000B382F"/>
    <w:rsid w:val="000B3D72"/>
    <w:rsid w:val="000B5256"/>
    <w:rsid w:val="000B5B53"/>
    <w:rsid w:val="000B7BCF"/>
    <w:rsid w:val="000C197C"/>
    <w:rsid w:val="000C2141"/>
    <w:rsid w:val="000C522B"/>
    <w:rsid w:val="000C7B52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1680A"/>
    <w:rsid w:val="00122CF2"/>
    <w:rsid w:val="001233EC"/>
    <w:rsid w:val="001349AF"/>
    <w:rsid w:val="00142813"/>
    <w:rsid w:val="0014312D"/>
    <w:rsid w:val="001442AE"/>
    <w:rsid w:val="00145075"/>
    <w:rsid w:val="00152620"/>
    <w:rsid w:val="00154840"/>
    <w:rsid w:val="001558CB"/>
    <w:rsid w:val="00161E5E"/>
    <w:rsid w:val="00172F5C"/>
    <w:rsid w:val="001741A0"/>
    <w:rsid w:val="00175FA0"/>
    <w:rsid w:val="001778CC"/>
    <w:rsid w:val="001842A5"/>
    <w:rsid w:val="00185131"/>
    <w:rsid w:val="00186570"/>
    <w:rsid w:val="00194CD0"/>
    <w:rsid w:val="00195A37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1D5D"/>
    <w:rsid w:val="001C23F4"/>
    <w:rsid w:val="001C2CAD"/>
    <w:rsid w:val="001C4F79"/>
    <w:rsid w:val="001D2C37"/>
    <w:rsid w:val="001D3457"/>
    <w:rsid w:val="001D5B89"/>
    <w:rsid w:val="001D6B6F"/>
    <w:rsid w:val="001E0958"/>
    <w:rsid w:val="001E28C2"/>
    <w:rsid w:val="001E3B2F"/>
    <w:rsid w:val="001E582D"/>
    <w:rsid w:val="001F0666"/>
    <w:rsid w:val="001F168B"/>
    <w:rsid w:val="001F7831"/>
    <w:rsid w:val="00204045"/>
    <w:rsid w:val="00205D2A"/>
    <w:rsid w:val="00205E7D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5C7"/>
    <w:rsid w:val="00261B45"/>
    <w:rsid w:val="0027152A"/>
    <w:rsid w:val="0027371A"/>
    <w:rsid w:val="002747EC"/>
    <w:rsid w:val="002801A4"/>
    <w:rsid w:val="00282C64"/>
    <w:rsid w:val="00284151"/>
    <w:rsid w:val="00285577"/>
    <w:rsid w:val="002855BF"/>
    <w:rsid w:val="0029175B"/>
    <w:rsid w:val="002922B8"/>
    <w:rsid w:val="002931A8"/>
    <w:rsid w:val="00294BD7"/>
    <w:rsid w:val="002958D8"/>
    <w:rsid w:val="002974A4"/>
    <w:rsid w:val="002A14A7"/>
    <w:rsid w:val="002A271D"/>
    <w:rsid w:val="002A2EB0"/>
    <w:rsid w:val="002D16F3"/>
    <w:rsid w:val="002D4606"/>
    <w:rsid w:val="002D7883"/>
    <w:rsid w:val="002F0D22"/>
    <w:rsid w:val="002F142D"/>
    <w:rsid w:val="002F19A6"/>
    <w:rsid w:val="002F268B"/>
    <w:rsid w:val="002F45DD"/>
    <w:rsid w:val="00311B17"/>
    <w:rsid w:val="003172DC"/>
    <w:rsid w:val="00320388"/>
    <w:rsid w:val="003221EA"/>
    <w:rsid w:val="00325AE3"/>
    <w:rsid w:val="00326069"/>
    <w:rsid w:val="003275BE"/>
    <w:rsid w:val="0033543C"/>
    <w:rsid w:val="0034468C"/>
    <w:rsid w:val="00344ADE"/>
    <w:rsid w:val="0035462D"/>
    <w:rsid w:val="00361D81"/>
    <w:rsid w:val="00364B41"/>
    <w:rsid w:val="003656D0"/>
    <w:rsid w:val="00372022"/>
    <w:rsid w:val="00377669"/>
    <w:rsid w:val="00383096"/>
    <w:rsid w:val="003910A6"/>
    <w:rsid w:val="00391C71"/>
    <w:rsid w:val="00393B48"/>
    <w:rsid w:val="00396FCC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0575"/>
    <w:rsid w:val="003E16BE"/>
    <w:rsid w:val="003E26E2"/>
    <w:rsid w:val="003E4381"/>
    <w:rsid w:val="003F0353"/>
    <w:rsid w:val="003F0D71"/>
    <w:rsid w:val="003F2A47"/>
    <w:rsid w:val="003F3C9F"/>
    <w:rsid w:val="003F3EF5"/>
    <w:rsid w:val="003F4E28"/>
    <w:rsid w:val="0040021E"/>
    <w:rsid w:val="004006E8"/>
    <w:rsid w:val="00401855"/>
    <w:rsid w:val="004055C2"/>
    <w:rsid w:val="00416D67"/>
    <w:rsid w:val="0042725D"/>
    <w:rsid w:val="004307B9"/>
    <w:rsid w:val="00430B78"/>
    <w:rsid w:val="004348E3"/>
    <w:rsid w:val="0043635B"/>
    <w:rsid w:val="00441D59"/>
    <w:rsid w:val="0044280A"/>
    <w:rsid w:val="00442F3A"/>
    <w:rsid w:val="004461BC"/>
    <w:rsid w:val="00454568"/>
    <w:rsid w:val="00465587"/>
    <w:rsid w:val="00465ED3"/>
    <w:rsid w:val="00470F5C"/>
    <w:rsid w:val="004711F5"/>
    <w:rsid w:val="0047458E"/>
    <w:rsid w:val="00477455"/>
    <w:rsid w:val="00484036"/>
    <w:rsid w:val="00491200"/>
    <w:rsid w:val="0049138F"/>
    <w:rsid w:val="0049431A"/>
    <w:rsid w:val="00495DE7"/>
    <w:rsid w:val="004A1F7B"/>
    <w:rsid w:val="004C0516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4C2F"/>
    <w:rsid w:val="00505E7D"/>
    <w:rsid w:val="00506C28"/>
    <w:rsid w:val="005077CE"/>
    <w:rsid w:val="005258E3"/>
    <w:rsid w:val="00527252"/>
    <w:rsid w:val="00534DA0"/>
    <w:rsid w:val="00534F2F"/>
    <w:rsid w:val="00543E6C"/>
    <w:rsid w:val="00546017"/>
    <w:rsid w:val="0054713B"/>
    <w:rsid w:val="0055136C"/>
    <w:rsid w:val="005543B9"/>
    <w:rsid w:val="00561092"/>
    <w:rsid w:val="00565087"/>
    <w:rsid w:val="0056573F"/>
    <w:rsid w:val="00566148"/>
    <w:rsid w:val="00575816"/>
    <w:rsid w:val="00576355"/>
    <w:rsid w:val="00580A77"/>
    <w:rsid w:val="00581CF4"/>
    <w:rsid w:val="00585216"/>
    <w:rsid w:val="00587714"/>
    <w:rsid w:val="00590CFE"/>
    <w:rsid w:val="00593330"/>
    <w:rsid w:val="00595681"/>
    <w:rsid w:val="00596D58"/>
    <w:rsid w:val="005A16AD"/>
    <w:rsid w:val="005A55E6"/>
    <w:rsid w:val="005B2C02"/>
    <w:rsid w:val="005B4B17"/>
    <w:rsid w:val="005C441E"/>
    <w:rsid w:val="005D2228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42E"/>
    <w:rsid w:val="00611566"/>
    <w:rsid w:val="00612752"/>
    <w:rsid w:val="0061288D"/>
    <w:rsid w:val="0061395C"/>
    <w:rsid w:val="00615596"/>
    <w:rsid w:val="00615F39"/>
    <w:rsid w:val="0063158A"/>
    <w:rsid w:val="006318AD"/>
    <w:rsid w:val="00632155"/>
    <w:rsid w:val="006368BB"/>
    <w:rsid w:val="00640BF9"/>
    <w:rsid w:val="0064241B"/>
    <w:rsid w:val="00642A84"/>
    <w:rsid w:val="00642E61"/>
    <w:rsid w:val="00643C66"/>
    <w:rsid w:val="00644197"/>
    <w:rsid w:val="006442BE"/>
    <w:rsid w:val="00644D12"/>
    <w:rsid w:val="00646D99"/>
    <w:rsid w:val="00647CF8"/>
    <w:rsid w:val="006506A1"/>
    <w:rsid w:val="006515EE"/>
    <w:rsid w:val="00652EC3"/>
    <w:rsid w:val="00653449"/>
    <w:rsid w:val="006536BD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5C07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54"/>
    <w:rsid w:val="006E04D8"/>
    <w:rsid w:val="006E0E8D"/>
    <w:rsid w:val="006E1417"/>
    <w:rsid w:val="006E75C9"/>
    <w:rsid w:val="006F0544"/>
    <w:rsid w:val="006F055E"/>
    <w:rsid w:val="006F6A2C"/>
    <w:rsid w:val="006F77F1"/>
    <w:rsid w:val="00701958"/>
    <w:rsid w:val="00704D45"/>
    <w:rsid w:val="00705079"/>
    <w:rsid w:val="0070692A"/>
    <w:rsid w:val="007069DC"/>
    <w:rsid w:val="00710201"/>
    <w:rsid w:val="00716C91"/>
    <w:rsid w:val="0072073A"/>
    <w:rsid w:val="007219FB"/>
    <w:rsid w:val="007245DC"/>
    <w:rsid w:val="00724FFA"/>
    <w:rsid w:val="0072525C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75CB8"/>
    <w:rsid w:val="00781F0F"/>
    <w:rsid w:val="0078727C"/>
    <w:rsid w:val="0079049D"/>
    <w:rsid w:val="00793DC5"/>
    <w:rsid w:val="007964F1"/>
    <w:rsid w:val="007A33DD"/>
    <w:rsid w:val="007A42CF"/>
    <w:rsid w:val="007B18D8"/>
    <w:rsid w:val="007C0045"/>
    <w:rsid w:val="007C095F"/>
    <w:rsid w:val="007C2DD0"/>
    <w:rsid w:val="007C7BEB"/>
    <w:rsid w:val="007D3AC0"/>
    <w:rsid w:val="007E0267"/>
    <w:rsid w:val="007E23AF"/>
    <w:rsid w:val="007E46C2"/>
    <w:rsid w:val="007E6756"/>
    <w:rsid w:val="007F2E08"/>
    <w:rsid w:val="007F486F"/>
    <w:rsid w:val="008028A4"/>
    <w:rsid w:val="0080782B"/>
    <w:rsid w:val="00810EF0"/>
    <w:rsid w:val="00811F80"/>
    <w:rsid w:val="00813245"/>
    <w:rsid w:val="00821425"/>
    <w:rsid w:val="008233F6"/>
    <w:rsid w:val="00836111"/>
    <w:rsid w:val="0083664E"/>
    <w:rsid w:val="0083794A"/>
    <w:rsid w:val="00840A9A"/>
    <w:rsid w:val="00840DE0"/>
    <w:rsid w:val="00844050"/>
    <w:rsid w:val="008470CE"/>
    <w:rsid w:val="00847E05"/>
    <w:rsid w:val="008505DF"/>
    <w:rsid w:val="008514B7"/>
    <w:rsid w:val="00852178"/>
    <w:rsid w:val="0086354A"/>
    <w:rsid w:val="00870233"/>
    <w:rsid w:val="0087364E"/>
    <w:rsid w:val="008768CA"/>
    <w:rsid w:val="00877EF9"/>
    <w:rsid w:val="00880559"/>
    <w:rsid w:val="008864FA"/>
    <w:rsid w:val="00891457"/>
    <w:rsid w:val="008941E3"/>
    <w:rsid w:val="008A11A9"/>
    <w:rsid w:val="008A31ED"/>
    <w:rsid w:val="008B4D37"/>
    <w:rsid w:val="008B5306"/>
    <w:rsid w:val="008B7324"/>
    <w:rsid w:val="008C2E2A"/>
    <w:rsid w:val="008C3057"/>
    <w:rsid w:val="008C63FD"/>
    <w:rsid w:val="008D2E4D"/>
    <w:rsid w:val="008D7523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8F4843"/>
    <w:rsid w:val="009018C2"/>
    <w:rsid w:val="0090271F"/>
    <w:rsid w:val="00902DB9"/>
    <w:rsid w:val="0090466A"/>
    <w:rsid w:val="00923655"/>
    <w:rsid w:val="0092571F"/>
    <w:rsid w:val="009261B4"/>
    <w:rsid w:val="00930FED"/>
    <w:rsid w:val="00936071"/>
    <w:rsid w:val="009376CD"/>
    <w:rsid w:val="00937D5F"/>
    <w:rsid w:val="00940212"/>
    <w:rsid w:val="00942E83"/>
    <w:rsid w:val="00942EC2"/>
    <w:rsid w:val="00952082"/>
    <w:rsid w:val="00955208"/>
    <w:rsid w:val="0095568A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947DB"/>
    <w:rsid w:val="009A0AF3"/>
    <w:rsid w:val="009A1897"/>
    <w:rsid w:val="009A1A09"/>
    <w:rsid w:val="009B07CD"/>
    <w:rsid w:val="009B12D8"/>
    <w:rsid w:val="009B43DF"/>
    <w:rsid w:val="009B61B7"/>
    <w:rsid w:val="009C0194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33EC8"/>
    <w:rsid w:val="00A41171"/>
    <w:rsid w:val="00A43C78"/>
    <w:rsid w:val="00A459F0"/>
    <w:rsid w:val="00A5255F"/>
    <w:rsid w:val="00A53724"/>
    <w:rsid w:val="00A5427F"/>
    <w:rsid w:val="00A54B2B"/>
    <w:rsid w:val="00A60DDB"/>
    <w:rsid w:val="00A6593E"/>
    <w:rsid w:val="00A667AF"/>
    <w:rsid w:val="00A67334"/>
    <w:rsid w:val="00A70102"/>
    <w:rsid w:val="00A703B9"/>
    <w:rsid w:val="00A7102A"/>
    <w:rsid w:val="00A727B9"/>
    <w:rsid w:val="00A76082"/>
    <w:rsid w:val="00A7688B"/>
    <w:rsid w:val="00A77B96"/>
    <w:rsid w:val="00A82346"/>
    <w:rsid w:val="00A83B56"/>
    <w:rsid w:val="00A84903"/>
    <w:rsid w:val="00A86AB8"/>
    <w:rsid w:val="00A9671C"/>
    <w:rsid w:val="00AA1553"/>
    <w:rsid w:val="00AA2A7B"/>
    <w:rsid w:val="00AA2DA9"/>
    <w:rsid w:val="00AA58B9"/>
    <w:rsid w:val="00AA678F"/>
    <w:rsid w:val="00AA7A4C"/>
    <w:rsid w:val="00AC036B"/>
    <w:rsid w:val="00AC0696"/>
    <w:rsid w:val="00AC0864"/>
    <w:rsid w:val="00AC4272"/>
    <w:rsid w:val="00AC73B1"/>
    <w:rsid w:val="00AD5F06"/>
    <w:rsid w:val="00AD6B62"/>
    <w:rsid w:val="00AD7980"/>
    <w:rsid w:val="00AE2116"/>
    <w:rsid w:val="00AE2E9E"/>
    <w:rsid w:val="00AF446C"/>
    <w:rsid w:val="00B02207"/>
    <w:rsid w:val="00B05380"/>
    <w:rsid w:val="00B05962"/>
    <w:rsid w:val="00B05AB3"/>
    <w:rsid w:val="00B125EB"/>
    <w:rsid w:val="00B12E00"/>
    <w:rsid w:val="00B15449"/>
    <w:rsid w:val="00B16C2F"/>
    <w:rsid w:val="00B238E3"/>
    <w:rsid w:val="00B261ED"/>
    <w:rsid w:val="00B27303"/>
    <w:rsid w:val="00B43189"/>
    <w:rsid w:val="00B44CB2"/>
    <w:rsid w:val="00B47FD1"/>
    <w:rsid w:val="00B5054D"/>
    <w:rsid w:val="00B516BB"/>
    <w:rsid w:val="00B51EBF"/>
    <w:rsid w:val="00B53AF6"/>
    <w:rsid w:val="00B60122"/>
    <w:rsid w:val="00B60301"/>
    <w:rsid w:val="00B6367C"/>
    <w:rsid w:val="00B66DB3"/>
    <w:rsid w:val="00B7303D"/>
    <w:rsid w:val="00B75A73"/>
    <w:rsid w:val="00B83B92"/>
    <w:rsid w:val="00B84DB2"/>
    <w:rsid w:val="00BA0164"/>
    <w:rsid w:val="00BA0E49"/>
    <w:rsid w:val="00BA1520"/>
    <w:rsid w:val="00BA20DE"/>
    <w:rsid w:val="00BB03C0"/>
    <w:rsid w:val="00BB2CF9"/>
    <w:rsid w:val="00BB55B2"/>
    <w:rsid w:val="00BC166C"/>
    <w:rsid w:val="00BC3555"/>
    <w:rsid w:val="00BC3E58"/>
    <w:rsid w:val="00BD21AF"/>
    <w:rsid w:val="00BD6A70"/>
    <w:rsid w:val="00BE71AE"/>
    <w:rsid w:val="00BF2BF1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26FA9"/>
    <w:rsid w:val="00C32ECF"/>
    <w:rsid w:val="00C33079"/>
    <w:rsid w:val="00C3349B"/>
    <w:rsid w:val="00C555C2"/>
    <w:rsid w:val="00C60BB1"/>
    <w:rsid w:val="00C759FE"/>
    <w:rsid w:val="00C83A13"/>
    <w:rsid w:val="00C9068C"/>
    <w:rsid w:val="00C919B7"/>
    <w:rsid w:val="00C92967"/>
    <w:rsid w:val="00C93710"/>
    <w:rsid w:val="00CA02F6"/>
    <w:rsid w:val="00CA3D0C"/>
    <w:rsid w:val="00CA5AF2"/>
    <w:rsid w:val="00CA654B"/>
    <w:rsid w:val="00CB72B8"/>
    <w:rsid w:val="00CC123E"/>
    <w:rsid w:val="00CC1A67"/>
    <w:rsid w:val="00CD26E4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4522"/>
    <w:rsid w:val="00D34AC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3721"/>
    <w:rsid w:val="00D67CD1"/>
    <w:rsid w:val="00D70F02"/>
    <w:rsid w:val="00D738D6"/>
    <w:rsid w:val="00D76EE7"/>
    <w:rsid w:val="00D80795"/>
    <w:rsid w:val="00D80A1C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6D36"/>
    <w:rsid w:val="00DC79AA"/>
    <w:rsid w:val="00DD6AAC"/>
    <w:rsid w:val="00DE06BF"/>
    <w:rsid w:val="00DE0E83"/>
    <w:rsid w:val="00DE25D2"/>
    <w:rsid w:val="00DE5D7A"/>
    <w:rsid w:val="00DF2BC8"/>
    <w:rsid w:val="00E06C1F"/>
    <w:rsid w:val="00E0784B"/>
    <w:rsid w:val="00E07937"/>
    <w:rsid w:val="00E104A5"/>
    <w:rsid w:val="00E20530"/>
    <w:rsid w:val="00E2289B"/>
    <w:rsid w:val="00E23819"/>
    <w:rsid w:val="00E27646"/>
    <w:rsid w:val="00E327AD"/>
    <w:rsid w:val="00E36F08"/>
    <w:rsid w:val="00E37B56"/>
    <w:rsid w:val="00E46C08"/>
    <w:rsid w:val="00E471CF"/>
    <w:rsid w:val="00E5224E"/>
    <w:rsid w:val="00E53A1E"/>
    <w:rsid w:val="00E57244"/>
    <w:rsid w:val="00E62835"/>
    <w:rsid w:val="00E73563"/>
    <w:rsid w:val="00E74344"/>
    <w:rsid w:val="00E743FD"/>
    <w:rsid w:val="00E77645"/>
    <w:rsid w:val="00E83697"/>
    <w:rsid w:val="00EA622E"/>
    <w:rsid w:val="00EA66C9"/>
    <w:rsid w:val="00EA7C84"/>
    <w:rsid w:val="00EB420A"/>
    <w:rsid w:val="00EC329B"/>
    <w:rsid w:val="00EC4A25"/>
    <w:rsid w:val="00EF295F"/>
    <w:rsid w:val="00F00803"/>
    <w:rsid w:val="00F025A2"/>
    <w:rsid w:val="00F036E9"/>
    <w:rsid w:val="00F05142"/>
    <w:rsid w:val="00F05820"/>
    <w:rsid w:val="00F07388"/>
    <w:rsid w:val="00F106B2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274B2"/>
    <w:rsid w:val="00F30A2D"/>
    <w:rsid w:val="00F342DC"/>
    <w:rsid w:val="00F37743"/>
    <w:rsid w:val="00F40F3F"/>
    <w:rsid w:val="00F4197B"/>
    <w:rsid w:val="00F41A31"/>
    <w:rsid w:val="00F425C5"/>
    <w:rsid w:val="00F46F27"/>
    <w:rsid w:val="00F503D1"/>
    <w:rsid w:val="00F51F6C"/>
    <w:rsid w:val="00F54A3D"/>
    <w:rsid w:val="00F54CB0"/>
    <w:rsid w:val="00F56AEB"/>
    <w:rsid w:val="00F579CD"/>
    <w:rsid w:val="00F653B8"/>
    <w:rsid w:val="00F705AD"/>
    <w:rsid w:val="00F71B89"/>
    <w:rsid w:val="00F7289A"/>
    <w:rsid w:val="00F7353C"/>
    <w:rsid w:val="00F735D6"/>
    <w:rsid w:val="00F73A1F"/>
    <w:rsid w:val="00F75A76"/>
    <w:rsid w:val="00F7667D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785"/>
    <w:rsid w:val="00FB5AC8"/>
    <w:rsid w:val="00FB6C22"/>
    <w:rsid w:val="00FC1192"/>
    <w:rsid w:val="00FE251B"/>
    <w:rsid w:val="00FE77A9"/>
    <w:rsid w:val="00FF1B6C"/>
    <w:rsid w:val="00FF2189"/>
    <w:rsid w:val="00FF21D4"/>
    <w:rsid w:val="0698760D"/>
    <w:rsid w:val="08971622"/>
    <w:rsid w:val="09B861B0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1F2E349E"/>
    <w:rsid w:val="214024B8"/>
    <w:rsid w:val="27800B8B"/>
    <w:rsid w:val="27F43A08"/>
    <w:rsid w:val="28763DA3"/>
    <w:rsid w:val="29365CC6"/>
    <w:rsid w:val="298D4A23"/>
    <w:rsid w:val="2AFC38FB"/>
    <w:rsid w:val="2D633DAA"/>
    <w:rsid w:val="2EC16AF8"/>
    <w:rsid w:val="2EE171BA"/>
    <w:rsid w:val="30D60DD9"/>
    <w:rsid w:val="31197D2C"/>
    <w:rsid w:val="32332229"/>
    <w:rsid w:val="334E597E"/>
    <w:rsid w:val="37F36AB2"/>
    <w:rsid w:val="3BC8315C"/>
    <w:rsid w:val="3CB801DF"/>
    <w:rsid w:val="3D09213B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A36554A"/>
    <w:rsid w:val="6BCB6B8B"/>
    <w:rsid w:val="712C3580"/>
    <w:rsid w:val="730E226E"/>
    <w:rsid w:val="73BA356D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AFBAC"/>
  <w15:docId w15:val="{E9722D8A-3D31-42ED-880B-CA602DA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002659-Post109e-18-PRN-OpenIssues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002659-Post109e-18-PRN-OpenIssu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Data\3GPP\RAN2\Inbox\R2-2003896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Inbox\R2-200389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4D70DBA-B08E-42FA-B9CC-CE79E868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Ericsson</cp:lastModifiedBy>
  <cp:revision>8</cp:revision>
  <dcterms:created xsi:type="dcterms:W3CDTF">2020-04-27T08:49:00Z</dcterms:created>
  <dcterms:modified xsi:type="dcterms:W3CDTF">2020-04-28T11:54:00Z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KSOProductBuildVer">
    <vt:lpwstr>2052-11.1.0.9584</vt:lpwstr>
  </property>
  <property fmtid="{D5CDD505-2E9C-101B-9397-08002B2CF9AE}" pid="10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2020-04-22T08:53:25Z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34c6a653-6b33-463a-a392-000098810d77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1587346025</vt:lpwstr>
  </property>
  <property fmtid="{D5CDD505-2E9C-101B-9397-08002B2CF9AE}" pid="22" name="CTPClassification">
    <vt:lpwstr>CTP_NT</vt:lpwstr>
  </property>
</Properties>
</file>