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CE8DA" w14:textId="10226C0B"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950B8C">
        <w:t>9</w:t>
      </w:r>
      <w:r w:rsidR="00216C0E">
        <w:t>bis</w:t>
      </w:r>
      <w:r w:rsidRPr="00CE0424">
        <w:tab/>
      </w:r>
      <w:r w:rsidRPr="00CE0424">
        <w:rPr>
          <w:sz w:val="32"/>
          <w:szCs w:val="32"/>
        </w:rPr>
        <w:t xml:space="preserve">Tdoc </w:t>
      </w:r>
      <w:r w:rsidR="009D3C84" w:rsidRPr="009D3C84">
        <w:rPr>
          <w:sz w:val="32"/>
          <w:szCs w:val="32"/>
        </w:rPr>
        <w:t>R2-2003276</w:t>
      </w:r>
    </w:p>
    <w:p w14:paraId="27F060A3" w14:textId="13FF5C3C" w:rsidR="00E90E49" w:rsidRPr="002A54BE" w:rsidRDefault="00DD24F8" w:rsidP="00357380">
      <w:pPr>
        <w:pStyle w:val="3GPPHeader"/>
      </w:pPr>
      <w:r w:rsidRPr="00DD24F8">
        <w:t>Electronic meeting, 2</w:t>
      </w:r>
      <w:r>
        <w:t>0</w:t>
      </w:r>
      <w:r w:rsidRPr="00DD24F8">
        <w:t xml:space="preserve">th - </w:t>
      </w:r>
      <w:r w:rsidR="00FB2C84">
        <w:t>30</w:t>
      </w:r>
      <w:bookmarkStart w:id="0" w:name="_GoBack"/>
      <w:bookmarkEnd w:id="0"/>
      <w:r w:rsidRPr="00DD24F8">
        <w:t xml:space="preserve">th </w:t>
      </w:r>
      <w:r>
        <w:t>April</w:t>
      </w:r>
      <w:r w:rsidRPr="00DD24F8">
        <w:t>, 2020</w:t>
      </w:r>
    </w:p>
    <w:p w14:paraId="04E75EEC" w14:textId="77777777" w:rsidR="00FD133A" w:rsidRPr="002A54BE" w:rsidRDefault="00FD133A" w:rsidP="00357380">
      <w:pPr>
        <w:pStyle w:val="3GPPHeader"/>
      </w:pPr>
    </w:p>
    <w:p w14:paraId="4BB81A17" w14:textId="018F733E" w:rsidR="00E90E49" w:rsidRPr="003059A8" w:rsidRDefault="00E90E49" w:rsidP="00311702">
      <w:pPr>
        <w:pStyle w:val="3GPPHeader"/>
        <w:rPr>
          <w:sz w:val="22"/>
          <w:szCs w:val="22"/>
          <w:lang w:val="sv-SE"/>
        </w:rPr>
      </w:pPr>
      <w:r w:rsidRPr="003059A8">
        <w:rPr>
          <w:sz w:val="22"/>
          <w:szCs w:val="22"/>
          <w:lang w:val="sv-SE"/>
        </w:rPr>
        <w:t>Agenda Item:</w:t>
      </w:r>
      <w:r w:rsidRPr="003059A8">
        <w:rPr>
          <w:sz w:val="22"/>
          <w:szCs w:val="22"/>
          <w:lang w:val="sv-SE"/>
        </w:rPr>
        <w:tab/>
      </w:r>
      <w:r w:rsidR="00AA0731" w:rsidRPr="00AA0731">
        <w:rPr>
          <w:sz w:val="22"/>
          <w:szCs w:val="22"/>
          <w:lang w:val="sv-SE"/>
        </w:rPr>
        <w:t>6.10.2</w:t>
      </w:r>
    </w:p>
    <w:p w14:paraId="70CDCC2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21CFDC9" w14:textId="61C6DE64" w:rsidR="00BD2177" w:rsidRPr="00CE0424" w:rsidRDefault="003D3C45" w:rsidP="00311702">
      <w:pPr>
        <w:pStyle w:val="3GPPHeader"/>
        <w:rPr>
          <w:sz w:val="22"/>
          <w:szCs w:val="22"/>
        </w:rPr>
      </w:pPr>
      <w:r>
        <w:rPr>
          <w:sz w:val="22"/>
          <w:szCs w:val="22"/>
        </w:rPr>
        <w:t>Title:</w:t>
      </w:r>
      <w:r w:rsidR="00E90E49" w:rsidRPr="00CE0424">
        <w:rPr>
          <w:sz w:val="22"/>
          <w:szCs w:val="22"/>
        </w:rPr>
        <w:tab/>
      </w:r>
      <w:r w:rsidR="0040555A">
        <w:rPr>
          <w:sz w:val="22"/>
          <w:szCs w:val="22"/>
        </w:rPr>
        <w:t>Remaining issues for CA&amp;DC UE capabilities</w:t>
      </w:r>
    </w:p>
    <w:p w14:paraId="4D40BBCB"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D2177">
        <w:rPr>
          <w:sz w:val="22"/>
          <w:szCs w:val="22"/>
        </w:rPr>
        <w:t>Discussion, Decision</w:t>
      </w:r>
    </w:p>
    <w:p w14:paraId="5FEF2E26" w14:textId="77777777" w:rsidR="00E90E49" w:rsidRPr="00CE0424" w:rsidRDefault="00230D18" w:rsidP="00CE0424">
      <w:pPr>
        <w:pStyle w:val="Heading1"/>
      </w:pPr>
      <w:r>
        <w:t>1</w:t>
      </w:r>
      <w:r>
        <w:tab/>
      </w:r>
      <w:r w:rsidR="00E90E49" w:rsidRPr="00CE0424">
        <w:t>Introduction</w:t>
      </w:r>
    </w:p>
    <w:p w14:paraId="05699ED2" w14:textId="77777777" w:rsidR="005B4A4F" w:rsidRPr="00993D66" w:rsidRDefault="005B4A4F" w:rsidP="005B4A4F">
      <w:pPr>
        <w:pStyle w:val="TF"/>
        <w:jc w:val="left"/>
        <w:rPr>
          <w:b w:val="0"/>
          <w:bCs/>
          <w:lang w:val="sv-SE"/>
        </w:rPr>
      </w:pPr>
      <w:r w:rsidRPr="00993D66">
        <w:rPr>
          <w:b w:val="0"/>
          <w:bCs/>
          <w:lang w:val="sv-SE"/>
        </w:rPr>
        <w:t>In RAN</w:t>
      </w:r>
      <w:r>
        <w:rPr>
          <w:b w:val="0"/>
          <w:bCs/>
          <w:lang w:val="sv-SE"/>
        </w:rPr>
        <w:t>2-109e, the following TPs were endorsed:</w:t>
      </w:r>
    </w:p>
    <w:p w14:paraId="3FFE8F11" w14:textId="77777777" w:rsidR="005B4A4F" w:rsidRDefault="005B4A4F" w:rsidP="005B4A4F">
      <w:pPr>
        <w:pStyle w:val="Doc-title"/>
      </w:pPr>
      <w:r w:rsidRPr="00DF74B9">
        <w:rPr>
          <w:highlight w:val="yellow"/>
        </w:rPr>
        <w:t>R2-2001190</w:t>
      </w:r>
      <w:r>
        <w:tab/>
        <w:t>TP for 38.331 on introducing UE capability for eDDCA</w:t>
      </w:r>
      <w:r>
        <w:tab/>
        <w:t>Huawei</w:t>
      </w:r>
      <w:r>
        <w:tab/>
        <w:t>draftCR</w:t>
      </w:r>
      <w:r>
        <w:tab/>
        <w:t>Rel-16</w:t>
      </w:r>
      <w:r>
        <w:tab/>
        <w:t>38.331</w:t>
      </w:r>
      <w:r>
        <w:tab/>
        <w:t>15.8.0</w:t>
      </w:r>
      <w:r>
        <w:tab/>
        <w:t>LTE_NR_DC_CA_enh-Core</w:t>
      </w:r>
      <w:r>
        <w:tab/>
        <w:t>Late</w:t>
      </w:r>
    </w:p>
    <w:p w14:paraId="23C36288" w14:textId="77777777" w:rsidR="005B4A4F" w:rsidRDefault="005B4A4F" w:rsidP="005B4A4F">
      <w:pPr>
        <w:pStyle w:val="Agreement"/>
      </w:pPr>
      <w:r>
        <w:t>[AT109e][039][DCCA] Endorsed</w:t>
      </w:r>
    </w:p>
    <w:p w14:paraId="19A7CFB4" w14:textId="77777777" w:rsidR="005B4A4F" w:rsidRPr="00DF74B9" w:rsidRDefault="005B4A4F" w:rsidP="005B4A4F">
      <w:pPr>
        <w:pStyle w:val="Doc-text2"/>
      </w:pPr>
    </w:p>
    <w:p w14:paraId="55D7ED21" w14:textId="77777777" w:rsidR="005B4A4F" w:rsidRDefault="005B4A4F" w:rsidP="005B4A4F">
      <w:pPr>
        <w:pStyle w:val="Doc-title"/>
      </w:pPr>
      <w:r w:rsidRPr="00DF74B9">
        <w:rPr>
          <w:highlight w:val="yellow"/>
        </w:rPr>
        <w:t>R2-2001191</w:t>
      </w:r>
      <w:r>
        <w:tab/>
        <w:t>TP for 36.331 on introducing UE capability for eDCCA</w:t>
      </w:r>
      <w:r>
        <w:tab/>
        <w:t>Huawei</w:t>
      </w:r>
      <w:r>
        <w:tab/>
        <w:t>draftCR</w:t>
      </w:r>
      <w:r>
        <w:tab/>
        <w:t>Rel-16</w:t>
      </w:r>
      <w:r>
        <w:tab/>
        <w:t>36.331</w:t>
      </w:r>
      <w:r>
        <w:tab/>
        <w:t>15.8.0</w:t>
      </w:r>
      <w:r>
        <w:tab/>
        <w:t>LTE_NR_DC_CA_enh-Core</w:t>
      </w:r>
      <w:r>
        <w:tab/>
        <w:t>Late</w:t>
      </w:r>
    </w:p>
    <w:p w14:paraId="57B0E26E" w14:textId="77777777" w:rsidR="005B4A4F" w:rsidRDefault="005B4A4F" w:rsidP="005B4A4F">
      <w:pPr>
        <w:pStyle w:val="Agreement"/>
      </w:pPr>
      <w:r>
        <w:t>[AT109e][039][DCCA] Endorsed</w:t>
      </w:r>
    </w:p>
    <w:p w14:paraId="37EB6ED4" w14:textId="77777777" w:rsidR="005B4A4F" w:rsidRPr="00DF74B9" w:rsidRDefault="005B4A4F" w:rsidP="005B4A4F">
      <w:pPr>
        <w:pStyle w:val="Doc-text2"/>
      </w:pPr>
    </w:p>
    <w:p w14:paraId="5E077ED3" w14:textId="77777777" w:rsidR="005B4A4F" w:rsidRDefault="005B4A4F" w:rsidP="005B4A4F">
      <w:pPr>
        <w:pStyle w:val="Doc-title"/>
      </w:pPr>
      <w:r w:rsidRPr="00DF74B9">
        <w:rPr>
          <w:highlight w:val="yellow"/>
        </w:rPr>
        <w:t>R2-2001192</w:t>
      </w:r>
      <w:r>
        <w:tab/>
        <w:t>Running CR for 38.306 on introducing UE capability for eDCCA</w:t>
      </w:r>
      <w:r>
        <w:tab/>
        <w:t>Huawei</w:t>
      </w:r>
      <w:r>
        <w:tab/>
        <w:t>CR</w:t>
      </w:r>
      <w:r>
        <w:tab/>
        <w:t>Rel-16</w:t>
      </w:r>
      <w:r>
        <w:tab/>
        <w:t>38.306</w:t>
      </w:r>
      <w:r>
        <w:tab/>
        <w:t>15.8.0</w:t>
      </w:r>
      <w:r>
        <w:tab/>
        <w:t>0247</w:t>
      </w:r>
      <w:r>
        <w:tab/>
        <w:t>-</w:t>
      </w:r>
      <w:r>
        <w:tab/>
        <w:t>B</w:t>
      </w:r>
      <w:r>
        <w:tab/>
        <w:t>LTE_NR_DC_CA_enh-Core</w:t>
      </w:r>
      <w:r>
        <w:tab/>
        <w:t>Late</w:t>
      </w:r>
    </w:p>
    <w:p w14:paraId="60994D40" w14:textId="77777777" w:rsidR="005B4A4F" w:rsidRDefault="005B4A4F" w:rsidP="005B4A4F">
      <w:pPr>
        <w:pStyle w:val="Agreement"/>
      </w:pPr>
      <w:r>
        <w:t>[AT109e][039][DCCA] Endorsed (not for approval RP)</w:t>
      </w:r>
    </w:p>
    <w:p w14:paraId="74357FF7" w14:textId="77777777" w:rsidR="005B4A4F" w:rsidRPr="00DF74B9" w:rsidRDefault="005B4A4F" w:rsidP="005B4A4F">
      <w:pPr>
        <w:pStyle w:val="Doc-text2"/>
      </w:pPr>
    </w:p>
    <w:p w14:paraId="437B2044" w14:textId="77777777" w:rsidR="005B4A4F" w:rsidRDefault="005B4A4F" w:rsidP="005B4A4F">
      <w:pPr>
        <w:pStyle w:val="Doc-title"/>
      </w:pPr>
      <w:bookmarkStart w:id="1" w:name="_Hlk37237233"/>
      <w:r w:rsidRPr="00DF74B9">
        <w:rPr>
          <w:highlight w:val="yellow"/>
        </w:rPr>
        <w:t>R2-2002335</w:t>
      </w:r>
      <w:r>
        <w:tab/>
        <w:t>Running CR for 36.306 on introducing UE capability for eDCCA</w:t>
      </w:r>
      <w:bookmarkEnd w:id="1"/>
      <w:r>
        <w:tab/>
        <w:t>Huawei</w:t>
      </w:r>
      <w:r>
        <w:tab/>
        <w:t>CR</w:t>
      </w:r>
      <w:r>
        <w:tab/>
        <w:t>Rel-16</w:t>
      </w:r>
      <w:r>
        <w:tab/>
        <w:t>36.306</w:t>
      </w:r>
      <w:r>
        <w:tab/>
        <w:t>15.7.0</w:t>
      </w:r>
      <w:r>
        <w:tab/>
        <w:t>1744</w:t>
      </w:r>
      <w:r>
        <w:tab/>
        <w:t>-</w:t>
      </w:r>
      <w:r>
        <w:tab/>
        <w:t>B</w:t>
      </w:r>
      <w:r>
        <w:tab/>
        <w:t>LTE_NR_DC_CA_enh-Core</w:t>
      </w:r>
    </w:p>
    <w:p w14:paraId="65919C27" w14:textId="77777777" w:rsidR="005B4A4F" w:rsidRDefault="005B4A4F" w:rsidP="005B4A4F">
      <w:pPr>
        <w:pStyle w:val="Agreement"/>
      </w:pPr>
      <w:r>
        <w:t>[AT109e][039][DCCA] Endorsed (not for approval RP)</w:t>
      </w:r>
    </w:p>
    <w:p w14:paraId="1E208100" w14:textId="77777777" w:rsidR="005B4A4F" w:rsidRPr="0073555B" w:rsidRDefault="005B4A4F" w:rsidP="005B4A4F">
      <w:pPr>
        <w:pStyle w:val="TF"/>
        <w:jc w:val="left"/>
        <w:rPr>
          <w:b w:val="0"/>
          <w:bCs/>
        </w:rPr>
      </w:pPr>
    </w:p>
    <w:p w14:paraId="3CE5D948" w14:textId="2D34EE82" w:rsidR="00477768" w:rsidRPr="0073555B" w:rsidRDefault="005B4A4F" w:rsidP="0073555B">
      <w:pPr>
        <w:pStyle w:val="TF"/>
        <w:jc w:val="left"/>
        <w:rPr>
          <w:rStyle w:val="BodyTextChar"/>
          <w:b w:val="0"/>
          <w:bCs/>
          <w:lang w:val="sv-SE"/>
        </w:rPr>
      </w:pPr>
      <w:r w:rsidRPr="0073555B">
        <w:rPr>
          <w:b w:val="0"/>
          <w:bCs/>
          <w:lang w:val="sv-SE"/>
        </w:rPr>
        <w:t>where some FFS are contained in the TPs for TS 38.306 and TS 36.306.</w:t>
      </w:r>
      <w:r w:rsidR="00A16111" w:rsidRPr="0073555B">
        <w:rPr>
          <w:rStyle w:val="BodyTextChar"/>
          <w:b w:val="0"/>
          <w:bCs/>
        </w:rPr>
        <w:t>This contribution discusses the</w:t>
      </w:r>
      <w:r w:rsidR="004E27D8" w:rsidRPr="0073555B">
        <w:rPr>
          <w:rStyle w:val="BodyTextChar"/>
          <w:b w:val="0"/>
          <w:bCs/>
        </w:rPr>
        <w:t xml:space="preserve"> FFS aspects contained in the endorsed </w:t>
      </w:r>
      <w:r w:rsidR="006E433B" w:rsidRPr="0073555B">
        <w:rPr>
          <w:rStyle w:val="BodyTextChar"/>
          <w:b w:val="0"/>
          <w:bCs/>
        </w:rPr>
        <w:t>TP</w:t>
      </w:r>
      <w:r w:rsidR="002E5446" w:rsidRPr="0073555B">
        <w:rPr>
          <w:rStyle w:val="BodyTextChar"/>
          <w:b w:val="0"/>
          <w:bCs/>
        </w:rPr>
        <w:t>s</w:t>
      </w:r>
      <w:r w:rsidR="001F622A" w:rsidRPr="0073555B">
        <w:rPr>
          <w:rStyle w:val="BodyTextChar"/>
          <w:b w:val="0"/>
          <w:bCs/>
        </w:rPr>
        <w:t>.</w:t>
      </w:r>
      <w:r w:rsidR="002E5446" w:rsidRPr="0073555B">
        <w:rPr>
          <w:rStyle w:val="BodyTextChar"/>
          <w:b w:val="0"/>
          <w:bCs/>
        </w:rPr>
        <w:t xml:space="preserve"> </w:t>
      </w:r>
    </w:p>
    <w:p w14:paraId="58CD6836" w14:textId="77777777" w:rsidR="004000E8" w:rsidRPr="00CE0424" w:rsidRDefault="00230D18" w:rsidP="00CE0424">
      <w:pPr>
        <w:pStyle w:val="Heading1"/>
      </w:pPr>
      <w:bookmarkStart w:id="2" w:name="_Ref178064866"/>
      <w:r>
        <w:t>2</w:t>
      </w:r>
      <w:r>
        <w:tab/>
      </w:r>
      <w:r w:rsidR="004000E8" w:rsidRPr="00CE0424">
        <w:t>Discussion</w:t>
      </w:r>
      <w:bookmarkEnd w:id="2"/>
    </w:p>
    <w:p w14:paraId="17591ED3" w14:textId="0BEBDAD1" w:rsidR="00446214" w:rsidRDefault="00A268A4" w:rsidP="00446347">
      <w:pPr>
        <w:pStyle w:val="Heading2"/>
      </w:pPr>
      <w:r>
        <w:t>2.1</w:t>
      </w:r>
      <w:r w:rsidR="00076F71">
        <w:tab/>
      </w:r>
      <w:r w:rsidR="000C0528">
        <w:t>Remaining aspects for TS 38.306</w:t>
      </w:r>
    </w:p>
    <w:p w14:paraId="2F9FC5B1" w14:textId="4F7FFF75" w:rsidR="001D4A3B" w:rsidRDefault="001A21E0" w:rsidP="001D4A3B">
      <w:pPr>
        <w:pStyle w:val="BodyText"/>
      </w:pPr>
      <w:r>
        <w:t>For MCG RLF recovery, the following was captured in the endorsed TP for 38.306:</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1A21E0" w:rsidRPr="00EC530E" w14:paraId="68742951" w14:textId="77777777" w:rsidTr="00B5689B">
        <w:trPr>
          <w:cantSplit/>
          <w:tblHeader/>
        </w:trPr>
        <w:tc>
          <w:tcPr>
            <w:tcW w:w="6946" w:type="dxa"/>
          </w:tcPr>
          <w:p w14:paraId="245D880A" w14:textId="77777777" w:rsidR="001A21E0" w:rsidRPr="00EC530E" w:rsidRDefault="001A21E0" w:rsidP="00B5689B">
            <w:pPr>
              <w:pStyle w:val="TAH"/>
              <w:rPr>
                <w:rFonts w:cs="Arial"/>
                <w:szCs w:val="18"/>
                <w:lang w:val="en-GB"/>
              </w:rPr>
            </w:pPr>
            <w:r w:rsidRPr="00EC530E">
              <w:rPr>
                <w:rFonts w:cs="Arial"/>
                <w:szCs w:val="18"/>
                <w:lang w:val="en-GB"/>
              </w:rPr>
              <w:t>Definitions for parameters</w:t>
            </w:r>
          </w:p>
        </w:tc>
        <w:tc>
          <w:tcPr>
            <w:tcW w:w="709" w:type="dxa"/>
          </w:tcPr>
          <w:p w14:paraId="3338A201" w14:textId="77777777" w:rsidR="001A21E0" w:rsidRPr="00EC530E" w:rsidRDefault="001A21E0" w:rsidP="00B5689B">
            <w:pPr>
              <w:pStyle w:val="TAH"/>
              <w:rPr>
                <w:rFonts w:cs="Arial"/>
                <w:szCs w:val="18"/>
                <w:lang w:val="en-GB"/>
              </w:rPr>
            </w:pPr>
            <w:r w:rsidRPr="00EC530E">
              <w:rPr>
                <w:rFonts w:cs="Arial"/>
                <w:szCs w:val="18"/>
                <w:lang w:val="en-GB"/>
              </w:rPr>
              <w:t>Per</w:t>
            </w:r>
          </w:p>
        </w:tc>
        <w:tc>
          <w:tcPr>
            <w:tcW w:w="567" w:type="dxa"/>
          </w:tcPr>
          <w:p w14:paraId="1EABC6F3" w14:textId="77777777" w:rsidR="001A21E0" w:rsidRPr="00EC530E" w:rsidRDefault="001A21E0" w:rsidP="00B5689B">
            <w:pPr>
              <w:pStyle w:val="TAH"/>
              <w:rPr>
                <w:rFonts w:cs="Arial"/>
                <w:szCs w:val="18"/>
                <w:lang w:val="en-GB"/>
              </w:rPr>
            </w:pPr>
            <w:r w:rsidRPr="00EC530E">
              <w:rPr>
                <w:rFonts w:cs="Arial"/>
                <w:szCs w:val="18"/>
                <w:lang w:val="en-GB"/>
              </w:rPr>
              <w:t>M</w:t>
            </w:r>
          </w:p>
        </w:tc>
        <w:tc>
          <w:tcPr>
            <w:tcW w:w="709" w:type="dxa"/>
          </w:tcPr>
          <w:p w14:paraId="3EFC0FCD" w14:textId="77777777" w:rsidR="001A21E0" w:rsidRPr="00EC530E" w:rsidRDefault="001A21E0" w:rsidP="00B5689B">
            <w:pPr>
              <w:pStyle w:val="TAH"/>
              <w:rPr>
                <w:rFonts w:cs="Arial"/>
                <w:szCs w:val="18"/>
                <w:lang w:val="en-GB"/>
              </w:rPr>
            </w:pPr>
            <w:r w:rsidRPr="00EC530E">
              <w:rPr>
                <w:rFonts w:cs="Arial"/>
                <w:szCs w:val="18"/>
                <w:lang w:val="en-GB"/>
              </w:rPr>
              <w:t>FDD-TDD DIFF</w:t>
            </w:r>
          </w:p>
        </w:tc>
        <w:tc>
          <w:tcPr>
            <w:tcW w:w="708" w:type="dxa"/>
          </w:tcPr>
          <w:p w14:paraId="66F6F5CD" w14:textId="77777777" w:rsidR="001A21E0" w:rsidRPr="00EC530E" w:rsidRDefault="001A21E0" w:rsidP="00B5689B">
            <w:pPr>
              <w:keepNext/>
              <w:keepLines/>
              <w:spacing w:after="0"/>
              <w:jc w:val="center"/>
              <w:rPr>
                <w:rFonts w:ascii="Arial" w:hAnsi="Arial"/>
                <w:b/>
                <w:sz w:val="18"/>
              </w:rPr>
            </w:pPr>
            <w:r w:rsidRPr="00EC530E">
              <w:rPr>
                <w:rFonts w:ascii="Arial" w:hAnsi="Arial"/>
                <w:b/>
                <w:sz w:val="18"/>
              </w:rPr>
              <w:t>FR1-FR2</w:t>
            </w:r>
          </w:p>
          <w:p w14:paraId="2B409A82" w14:textId="77777777" w:rsidR="001A21E0" w:rsidRPr="00EC530E" w:rsidRDefault="001A21E0" w:rsidP="00B5689B">
            <w:pPr>
              <w:pStyle w:val="TAH"/>
              <w:rPr>
                <w:rFonts w:cs="Arial"/>
                <w:szCs w:val="18"/>
                <w:lang w:val="en-GB"/>
              </w:rPr>
            </w:pPr>
            <w:r w:rsidRPr="00EC530E">
              <w:rPr>
                <w:lang w:val="en-GB"/>
              </w:rPr>
              <w:t>DIFF</w:t>
            </w:r>
          </w:p>
        </w:tc>
      </w:tr>
      <w:tr w:rsidR="001A21E0" w:rsidRPr="00EC530E" w14:paraId="2BD97AD3" w14:textId="77777777" w:rsidTr="00B5689B">
        <w:trPr>
          <w:cantSplit/>
          <w:tblHeader/>
        </w:trPr>
        <w:tc>
          <w:tcPr>
            <w:tcW w:w="6946" w:type="dxa"/>
          </w:tcPr>
          <w:p w14:paraId="4B61FC31" w14:textId="77777777" w:rsidR="001A21E0" w:rsidRDefault="001A21E0" w:rsidP="00B5689B">
            <w:pPr>
              <w:pStyle w:val="TAL"/>
              <w:rPr>
                <w:b/>
                <w:i/>
              </w:rPr>
            </w:pPr>
            <w:r>
              <w:rPr>
                <w:b/>
                <w:i/>
              </w:rPr>
              <w:t>mcgRLF-RecoveryViaSCG-r16</w:t>
            </w:r>
          </w:p>
          <w:p w14:paraId="0914AFA2" w14:textId="77777777" w:rsidR="001A21E0" w:rsidRDefault="001A21E0" w:rsidP="00B5689B">
            <w:pPr>
              <w:pStyle w:val="TAL"/>
            </w:pPr>
            <w:r>
              <w:t>Indicates whether the UE supports recovery from MCG RLF via split SRB1 (if supported) and via SRB3 (if supported) as specified in TS 38.331[9].</w:t>
            </w:r>
          </w:p>
          <w:p w14:paraId="79A2866E" w14:textId="77777777" w:rsidR="001A21E0" w:rsidRPr="00EE35F5" w:rsidRDefault="001A21E0" w:rsidP="00B5689B">
            <w:pPr>
              <w:pStyle w:val="TAL"/>
            </w:pPr>
            <w:r w:rsidRPr="00FC76A6">
              <w:rPr>
                <w:highlight w:val="yellow"/>
              </w:rPr>
              <w:t>TBC: No need to separate split SRB1 from SRB3, or NR-DC and NE-DC.</w:t>
            </w:r>
          </w:p>
        </w:tc>
        <w:tc>
          <w:tcPr>
            <w:tcW w:w="709" w:type="dxa"/>
          </w:tcPr>
          <w:p w14:paraId="6B0C2D15" w14:textId="77777777" w:rsidR="001A21E0" w:rsidRPr="00EC530E" w:rsidRDefault="001A21E0" w:rsidP="00B5689B">
            <w:pPr>
              <w:pStyle w:val="TAL"/>
              <w:jc w:val="center"/>
            </w:pPr>
            <w:r>
              <w:t>UE</w:t>
            </w:r>
          </w:p>
        </w:tc>
        <w:tc>
          <w:tcPr>
            <w:tcW w:w="567" w:type="dxa"/>
          </w:tcPr>
          <w:p w14:paraId="4D2A7A09" w14:textId="77777777" w:rsidR="001A21E0" w:rsidRPr="00EC530E" w:rsidRDefault="001A21E0" w:rsidP="00B5689B">
            <w:pPr>
              <w:pStyle w:val="TAL"/>
              <w:jc w:val="center"/>
            </w:pPr>
            <w:r>
              <w:t>No</w:t>
            </w:r>
          </w:p>
        </w:tc>
        <w:tc>
          <w:tcPr>
            <w:tcW w:w="709" w:type="dxa"/>
          </w:tcPr>
          <w:p w14:paraId="71988B66" w14:textId="77777777" w:rsidR="001A21E0" w:rsidRPr="00EC530E" w:rsidRDefault="001A21E0" w:rsidP="00B5689B">
            <w:pPr>
              <w:pStyle w:val="TAL"/>
              <w:jc w:val="center"/>
            </w:pPr>
            <w:r>
              <w:t>No</w:t>
            </w:r>
          </w:p>
        </w:tc>
        <w:tc>
          <w:tcPr>
            <w:tcW w:w="708" w:type="dxa"/>
          </w:tcPr>
          <w:p w14:paraId="0428C9FC" w14:textId="77777777" w:rsidR="001A21E0" w:rsidRPr="00EC530E" w:rsidRDefault="001A21E0" w:rsidP="00B5689B">
            <w:pPr>
              <w:pStyle w:val="TAL"/>
              <w:jc w:val="center"/>
              <w:rPr>
                <w:lang w:eastAsia="ja-JP"/>
              </w:rPr>
            </w:pPr>
            <w:r>
              <w:rPr>
                <w:lang w:eastAsia="ja-JP"/>
              </w:rPr>
              <w:t>No</w:t>
            </w:r>
          </w:p>
        </w:tc>
      </w:tr>
    </w:tbl>
    <w:p w14:paraId="7C780B7C" w14:textId="77777777" w:rsidR="001A21E0" w:rsidRDefault="001A21E0" w:rsidP="001D4A3B">
      <w:pPr>
        <w:pStyle w:val="BodyText"/>
      </w:pPr>
    </w:p>
    <w:p w14:paraId="76DE6E9D" w14:textId="7C41F416" w:rsidR="001A21E0" w:rsidRDefault="00C841CF" w:rsidP="001D4A3B">
      <w:pPr>
        <w:pStyle w:val="BodyText"/>
      </w:pPr>
      <w:r>
        <w:lastRenderedPageBreak/>
        <w:t>W</w:t>
      </w:r>
      <w:r w:rsidR="005D1BC8" w:rsidRPr="005D1BC8">
        <w:t>e</w:t>
      </w:r>
      <w:r>
        <w:t xml:space="preserve"> think there would be no need to separate this capability for split SRB1 and SRB3, since the UE can </w:t>
      </w:r>
      <w:r w:rsidR="005D1BC8" w:rsidRPr="005D1BC8">
        <w:t xml:space="preserve">already </w:t>
      </w:r>
      <w:r w:rsidR="0017197B">
        <w:t xml:space="preserve">report </w:t>
      </w:r>
      <w:r w:rsidR="005D1BC8" w:rsidRPr="005D1BC8">
        <w:t>separate capabilities for the support of split SRB and SRB3</w:t>
      </w:r>
      <w:r w:rsidR="00EE2EB3">
        <w:t>. Thus</w:t>
      </w:r>
      <w:r w:rsidR="005D1BC8" w:rsidRPr="005D1BC8">
        <w:t xml:space="preserve"> it should be sufficient </w:t>
      </w:r>
      <w:r w:rsidR="00016123">
        <w:t xml:space="preserve">to indicate supports for MCG failure reporting </w:t>
      </w:r>
      <w:r w:rsidR="005D1BC8" w:rsidRPr="005D1BC8">
        <w:t xml:space="preserve">with one capability </w:t>
      </w:r>
      <w:r w:rsidR="00016123">
        <w:t>(</w:t>
      </w:r>
      <w:r w:rsidR="005D1BC8" w:rsidRPr="005D1BC8">
        <w:t>i.e. 1 bit in E-UTRA capability container and 1 bit in NR capability container). The UE functionality should not differ depending on whether the recovery is via split SRB or SRB3.</w:t>
      </w:r>
    </w:p>
    <w:p w14:paraId="093DE555" w14:textId="0E7E3AB6" w:rsidR="00013FD4" w:rsidRDefault="00680551" w:rsidP="000D7A7D">
      <w:pPr>
        <w:pStyle w:val="Proposal"/>
      </w:pPr>
      <w:bookmarkStart w:id="3" w:name="_Toc37352990"/>
      <w:r>
        <w:t xml:space="preserve">A single </w:t>
      </w:r>
      <w:r w:rsidR="009D3C84">
        <w:t xml:space="preserve">per-UE </w:t>
      </w:r>
      <w:r>
        <w:t>field is used to indicate</w:t>
      </w:r>
      <w:r w:rsidR="00D57F2F">
        <w:t xml:space="preserve"> in </w:t>
      </w:r>
      <w:r w:rsidR="00D57F2F" w:rsidRPr="00D57F2F">
        <w:rPr>
          <w:i/>
          <w:iCs/>
        </w:rPr>
        <w:t>UE-NR-Capability</w:t>
      </w:r>
      <w:r>
        <w:t xml:space="preserve"> UE support for </w:t>
      </w:r>
      <w:r w:rsidR="000D7A7D">
        <w:t xml:space="preserve">both: </w:t>
      </w:r>
      <w:r w:rsidR="009D7B26">
        <w:t>MCG failure report via</w:t>
      </w:r>
      <w:r w:rsidR="000D7A7D">
        <w:t xml:space="preserve"> </w:t>
      </w:r>
      <w:r w:rsidR="009D7B26">
        <w:t>split SRB1</w:t>
      </w:r>
      <w:r w:rsidR="000D7A7D">
        <w:t>;</w:t>
      </w:r>
      <w:r w:rsidR="009D7B26">
        <w:t xml:space="preserve"> </w:t>
      </w:r>
      <w:r w:rsidR="000D7A7D">
        <w:t>MCG failure report via</w:t>
      </w:r>
      <w:r w:rsidR="009D7B26">
        <w:t xml:space="preserve"> SRB3.</w:t>
      </w:r>
      <w:bookmarkEnd w:id="3"/>
    </w:p>
    <w:p w14:paraId="12BFCC62" w14:textId="48704988" w:rsidR="00CA051B" w:rsidRDefault="00CA051B" w:rsidP="001D4A3B">
      <w:pPr>
        <w:pStyle w:val="BodyText"/>
      </w:pPr>
      <w:r>
        <w:t>For SCG resume, an FFS is included concerning whether to split this capability as below:</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1A21E0" w:rsidRPr="00EC530E" w14:paraId="00B021FB" w14:textId="77777777" w:rsidTr="00B5689B">
        <w:trPr>
          <w:cantSplit/>
          <w:tblHeader/>
        </w:trPr>
        <w:tc>
          <w:tcPr>
            <w:tcW w:w="6946" w:type="dxa"/>
          </w:tcPr>
          <w:p w14:paraId="76C153FA" w14:textId="77777777" w:rsidR="001A21E0" w:rsidRPr="00EC530E" w:rsidRDefault="001A21E0" w:rsidP="00B5689B">
            <w:pPr>
              <w:pStyle w:val="TAH"/>
              <w:rPr>
                <w:rFonts w:cs="Arial"/>
                <w:szCs w:val="18"/>
                <w:lang w:val="en-GB"/>
              </w:rPr>
            </w:pPr>
            <w:r w:rsidRPr="00EC530E">
              <w:rPr>
                <w:rFonts w:cs="Arial"/>
                <w:szCs w:val="18"/>
                <w:lang w:val="en-GB"/>
              </w:rPr>
              <w:t>Definitions for parameters</w:t>
            </w:r>
          </w:p>
        </w:tc>
        <w:tc>
          <w:tcPr>
            <w:tcW w:w="709" w:type="dxa"/>
          </w:tcPr>
          <w:p w14:paraId="71BF92EE" w14:textId="77777777" w:rsidR="001A21E0" w:rsidRPr="00EC530E" w:rsidRDefault="001A21E0" w:rsidP="00B5689B">
            <w:pPr>
              <w:pStyle w:val="TAH"/>
              <w:rPr>
                <w:rFonts w:cs="Arial"/>
                <w:szCs w:val="18"/>
                <w:lang w:val="en-GB"/>
              </w:rPr>
            </w:pPr>
            <w:r w:rsidRPr="00EC530E">
              <w:rPr>
                <w:rFonts w:cs="Arial"/>
                <w:szCs w:val="18"/>
                <w:lang w:val="en-GB"/>
              </w:rPr>
              <w:t>Per</w:t>
            </w:r>
          </w:p>
        </w:tc>
        <w:tc>
          <w:tcPr>
            <w:tcW w:w="567" w:type="dxa"/>
          </w:tcPr>
          <w:p w14:paraId="5D74B111" w14:textId="77777777" w:rsidR="001A21E0" w:rsidRPr="00EC530E" w:rsidRDefault="001A21E0" w:rsidP="00B5689B">
            <w:pPr>
              <w:pStyle w:val="TAH"/>
              <w:rPr>
                <w:rFonts w:cs="Arial"/>
                <w:szCs w:val="18"/>
                <w:lang w:val="en-GB"/>
              </w:rPr>
            </w:pPr>
            <w:r w:rsidRPr="00EC530E">
              <w:rPr>
                <w:rFonts w:cs="Arial"/>
                <w:szCs w:val="18"/>
                <w:lang w:val="en-GB"/>
              </w:rPr>
              <w:t>M</w:t>
            </w:r>
          </w:p>
        </w:tc>
        <w:tc>
          <w:tcPr>
            <w:tcW w:w="709" w:type="dxa"/>
          </w:tcPr>
          <w:p w14:paraId="60B9B5B6" w14:textId="77777777" w:rsidR="001A21E0" w:rsidRPr="00EC530E" w:rsidRDefault="001A21E0" w:rsidP="00B5689B">
            <w:pPr>
              <w:pStyle w:val="TAH"/>
              <w:rPr>
                <w:rFonts w:cs="Arial"/>
                <w:szCs w:val="18"/>
                <w:lang w:val="en-GB"/>
              </w:rPr>
            </w:pPr>
            <w:r w:rsidRPr="00EC530E">
              <w:rPr>
                <w:rFonts w:cs="Arial"/>
                <w:szCs w:val="18"/>
                <w:lang w:val="en-GB"/>
              </w:rPr>
              <w:t>FDD-TDD DIFF</w:t>
            </w:r>
          </w:p>
        </w:tc>
        <w:tc>
          <w:tcPr>
            <w:tcW w:w="708" w:type="dxa"/>
          </w:tcPr>
          <w:p w14:paraId="4F7CED78" w14:textId="77777777" w:rsidR="001A21E0" w:rsidRPr="00EC530E" w:rsidRDefault="001A21E0" w:rsidP="00B5689B">
            <w:pPr>
              <w:keepNext/>
              <w:keepLines/>
              <w:spacing w:after="0"/>
              <w:jc w:val="center"/>
              <w:rPr>
                <w:rFonts w:ascii="Arial" w:hAnsi="Arial"/>
                <w:b/>
                <w:sz w:val="18"/>
              </w:rPr>
            </w:pPr>
            <w:r w:rsidRPr="00EC530E">
              <w:rPr>
                <w:rFonts w:ascii="Arial" w:hAnsi="Arial"/>
                <w:b/>
                <w:sz w:val="18"/>
              </w:rPr>
              <w:t>FR1-FR2</w:t>
            </w:r>
          </w:p>
          <w:p w14:paraId="06AEF315" w14:textId="77777777" w:rsidR="001A21E0" w:rsidRPr="00EC530E" w:rsidRDefault="001A21E0" w:rsidP="00B5689B">
            <w:pPr>
              <w:pStyle w:val="TAH"/>
              <w:rPr>
                <w:rFonts w:cs="Arial"/>
                <w:szCs w:val="18"/>
                <w:lang w:val="en-GB"/>
              </w:rPr>
            </w:pPr>
            <w:r w:rsidRPr="00EC530E">
              <w:rPr>
                <w:lang w:val="en-GB"/>
              </w:rPr>
              <w:t>DIFF</w:t>
            </w:r>
          </w:p>
        </w:tc>
      </w:tr>
      <w:tr w:rsidR="001A21E0" w:rsidRPr="00EC530E" w14:paraId="43DA7CCD" w14:textId="77777777" w:rsidTr="00B5689B">
        <w:trPr>
          <w:cantSplit/>
        </w:trPr>
        <w:tc>
          <w:tcPr>
            <w:tcW w:w="6946" w:type="dxa"/>
          </w:tcPr>
          <w:p w14:paraId="6A9F202D" w14:textId="77777777" w:rsidR="001A21E0" w:rsidRDefault="001A21E0" w:rsidP="00B5689B">
            <w:pPr>
              <w:pStyle w:val="TAL"/>
              <w:rPr>
                <w:b/>
                <w:i/>
              </w:rPr>
            </w:pPr>
            <w:r>
              <w:rPr>
                <w:b/>
                <w:i/>
              </w:rPr>
              <w:t>resumeWithSCG-r16</w:t>
            </w:r>
          </w:p>
          <w:p w14:paraId="75A24F56" w14:textId="77777777" w:rsidR="001A21E0" w:rsidRDefault="001A21E0" w:rsidP="00B5689B">
            <w:pPr>
              <w:pStyle w:val="TAL"/>
            </w:pPr>
            <w:r>
              <w:t>Indicates whether the UE supports not deleting the stored SCG configuration when initiating resume and (re-)configuration of an SCG during the resume procedure.</w:t>
            </w:r>
          </w:p>
          <w:p w14:paraId="6ECA9325" w14:textId="77777777" w:rsidR="001A21E0" w:rsidRDefault="001A21E0" w:rsidP="00B5689B">
            <w:pPr>
              <w:pStyle w:val="TAL"/>
            </w:pPr>
          </w:p>
          <w:p w14:paraId="6C7BEAD9" w14:textId="73AE2A38" w:rsidR="001A21E0" w:rsidRPr="00A85AD7" w:rsidRDefault="001A21E0" w:rsidP="00B5689B">
            <w:pPr>
              <w:pStyle w:val="TAL"/>
            </w:pPr>
            <w:r w:rsidRPr="00FC76A6">
              <w:rPr>
                <w:highlight w:val="yellow"/>
              </w:rPr>
              <w:t>FFS: Split in two separate capabilities i.e. "not deleting the stored SCG configuration" and "(re-)configuration of an SCG during the resume procedure".</w:t>
            </w:r>
          </w:p>
        </w:tc>
        <w:tc>
          <w:tcPr>
            <w:tcW w:w="709" w:type="dxa"/>
          </w:tcPr>
          <w:p w14:paraId="68ED8323" w14:textId="77777777" w:rsidR="001A21E0" w:rsidRPr="00EC530E" w:rsidRDefault="001A21E0" w:rsidP="00B5689B">
            <w:pPr>
              <w:pStyle w:val="TAL"/>
              <w:jc w:val="center"/>
              <w:rPr>
                <w:rFonts w:eastAsia="SimSun"/>
                <w:lang w:eastAsia="zh-CN"/>
              </w:rPr>
            </w:pPr>
            <w:r>
              <w:rPr>
                <w:rFonts w:eastAsia="SimSun"/>
                <w:lang w:eastAsia="zh-CN"/>
              </w:rPr>
              <w:t>UE</w:t>
            </w:r>
          </w:p>
        </w:tc>
        <w:tc>
          <w:tcPr>
            <w:tcW w:w="567" w:type="dxa"/>
          </w:tcPr>
          <w:p w14:paraId="7ACCBCBD" w14:textId="77777777" w:rsidR="001A21E0" w:rsidRPr="00EC530E" w:rsidRDefault="001A21E0" w:rsidP="00B5689B">
            <w:pPr>
              <w:pStyle w:val="TAL"/>
              <w:jc w:val="center"/>
              <w:rPr>
                <w:rFonts w:eastAsia="SimSun"/>
                <w:lang w:eastAsia="zh-CN"/>
              </w:rPr>
            </w:pPr>
            <w:r>
              <w:rPr>
                <w:rFonts w:eastAsia="SimSun"/>
                <w:lang w:eastAsia="zh-CN"/>
              </w:rPr>
              <w:t>No</w:t>
            </w:r>
          </w:p>
        </w:tc>
        <w:tc>
          <w:tcPr>
            <w:tcW w:w="709" w:type="dxa"/>
          </w:tcPr>
          <w:p w14:paraId="1B719580" w14:textId="77777777" w:rsidR="001A21E0" w:rsidRPr="00EC530E" w:rsidRDefault="001A21E0" w:rsidP="00B5689B">
            <w:pPr>
              <w:pStyle w:val="TAL"/>
              <w:jc w:val="center"/>
              <w:rPr>
                <w:rFonts w:eastAsia="SimSun"/>
                <w:lang w:eastAsia="zh-CN"/>
              </w:rPr>
            </w:pPr>
            <w:r>
              <w:rPr>
                <w:rFonts w:eastAsia="SimSun"/>
                <w:lang w:eastAsia="zh-CN"/>
              </w:rPr>
              <w:t>No</w:t>
            </w:r>
          </w:p>
        </w:tc>
        <w:tc>
          <w:tcPr>
            <w:tcW w:w="708" w:type="dxa"/>
          </w:tcPr>
          <w:p w14:paraId="6F810645" w14:textId="77777777" w:rsidR="001A21E0" w:rsidRPr="00EC530E" w:rsidRDefault="001A21E0" w:rsidP="00B5689B">
            <w:pPr>
              <w:pStyle w:val="TAL"/>
              <w:jc w:val="center"/>
              <w:rPr>
                <w:rFonts w:eastAsia="SimSun"/>
                <w:lang w:eastAsia="zh-CN"/>
              </w:rPr>
            </w:pPr>
            <w:r>
              <w:rPr>
                <w:rFonts w:eastAsia="SimSun"/>
                <w:lang w:eastAsia="zh-CN"/>
              </w:rPr>
              <w:t>No</w:t>
            </w:r>
          </w:p>
        </w:tc>
      </w:tr>
    </w:tbl>
    <w:p w14:paraId="2FE642DC" w14:textId="19F41C22" w:rsidR="001D4A3B" w:rsidRDefault="001D4A3B" w:rsidP="00092775">
      <w:pPr>
        <w:pStyle w:val="BodyText"/>
      </w:pPr>
    </w:p>
    <w:p w14:paraId="5C8D877A" w14:textId="77777777" w:rsidR="00AE1F24" w:rsidRDefault="002D7707" w:rsidP="00092775">
      <w:pPr>
        <w:pStyle w:val="BodyText"/>
      </w:pPr>
      <w:r>
        <w:t xml:space="preserve">While there could be scenarios where usually </w:t>
      </w:r>
      <w:r w:rsidR="0041340F">
        <w:t xml:space="preserve">the network </w:t>
      </w:r>
      <w:r w:rsidR="00B56046">
        <w:t>w</w:t>
      </w:r>
      <w:r w:rsidR="0041340F">
        <w:t>ould be</w:t>
      </w:r>
      <w:r w:rsidR="004F42FF">
        <w:t xml:space="preserve"> able to</w:t>
      </w:r>
      <w:r w:rsidR="0041340F">
        <w:t xml:space="preserve"> </w:t>
      </w:r>
      <w:r w:rsidR="00A23366">
        <w:t>blindly configure the SCG on resume,</w:t>
      </w:r>
      <w:r w:rsidR="001F48D9">
        <w:t xml:space="preserve"> we do not see a benefit on </w:t>
      </w:r>
      <w:r w:rsidR="00493C19">
        <w:t>having this aspect as a separate capability feature. We think it would be more likely that the NW would want to resume a stored SCG configuration, and eventually reconfigure the SCG if needed</w:t>
      </w:r>
      <w:r w:rsidR="008A4808">
        <w:t>.</w:t>
      </w:r>
    </w:p>
    <w:p w14:paraId="31167865" w14:textId="01239D87" w:rsidR="00092DE5" w:rsidRDefault="00865777" w:rsidP="00855FFD">
      <w:pPr>
        <w:pStyle w:val="Proposal"/>
      </w:pPr>
      <w:bookmarkStart w:id="4" w:name="_Toc37352991"/>
      <w:r>
        <w:t xml:space="preserve">A single </w:t>
      </w:r>
      <w:r w:rsidR="0031724E">
        <w:t xml:space="preserve">per-UE </w:t>
      </w:r>
      <w:r>
        <w:t xml:space="preserve">field is used to indicate </w:t>
      </w:r>
      <w:r w:rsidR="00092DE5">
        <w:t xml:space="preserve">UE </w:t>
      </w:r>
      <w:r>
        <w:t xml:space="preserve">support </w:t>
      </w:r>
      <w:r w:rsidR="003A76BB">
        <w:t xml:space="preserve">in </w:t>
      </w:r>
      <w:r w:rsidR="003A76BB" w:rsidRPr="003A76BB">
        <w:rPr>
          <w:i/>
          <w:iCs/>
        </w:rPr>
        <w:t>UE-NR-Capability</w:t>
      </w:r>
      <w:r w:rsidR="003A76BB">
        <w:t xml:space="preserve"> </w:t>
      </w:r>
      <w:r>
        <w:t>for both</w:t>
      </w:r>
      <w:r w:rsidR="00092DE5">
        <w:t>:</w:t>
      </w:r>
      <w:r>
        <w:t xml:space="preserve"> </w:t>
      </w:r>
      <w:r w:rsidRPr="00865777">
        <w:t>not deleting stored SCG configuration</w:t>
      </w:r>
      <w:r w:rsidR="00092DE5">
        <w:t xml:space="preserve"> during the resume procedure;</w:t>
      </w:r>
      <w:r w:rsidRPr="00865777">
        <w:t xml:space="preserve"> and (re-)configuration of an SCG during the resume procedure.</w:t>
      </w:r>
      <w:bookmarkEnd w:id="4"/>
    </w:p>
    <w:p w14:paraId="158CEF88" w14:textId="483270F4" w:rsidR="00707BF1" w:rsidRDefault="00707BF1" w:rsidP="00092775">
      <w:pPr>
        <w:pStyle w:val="BodyText"/>
      </w:pPr>
      <w:r>
        <w:t xml:space="preserve">For activation of SCell in RRC message, </w:t>
      </w:r>
      <w:r w:rsidR="008151C5">
        <w:t xml:space="preserve">an FFS is included concerning whether to </w:t>
      </w:r>
      <w:r w:rsidR="006F3D47">
        <w:t xml:space="preserve">have separate capabilities for this feature, i.e. one for SCell activation upon </w:t>
      </w:r>
      <w:r w:rsidR="006F3D47" w:rsidRPr="006F3D47">
        <w:t xml:space="preserve">reconfigurationWithSync and </w:t>
      </w:r>
      <w:r w:rsidR="006F3D47">
        <w:t xml:space="preserve">one for SCell activation </w:t>
      </w:r>
      <w:r w:rsidR="006F3D47" w:rsidRPr="006F3D47">
        <w:t>upon resume</w:t>
      </w:r>
      <w:r w:rsidR="0023430B">
        <w:t>; another FFS point is whether this feature should have FR1/FR2 differentiation</w:t>
      </w:r>
      <w:r w:rsidR="008151C5">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1A21E0" w:rsidRPr="00EC530E" w14:paraId="0DCEEA13" w14:textId="77777777" w:rsidTr="00B5689B">
        <w:trPr>
          <w:cantSplit/>
          <w:tblHeader/>
        </w:trPr>
        <w:tc>
          <w:tcPr>
            <w:tcW w:w="7088" w:type="dxa"/>
          </w:tcPr>
          <w:p w14:paraId="58D5B9BD" w14:textId="77777777" w:rsidR="001A21E0" w:rsidRPr="00EC530E" w:rsidRDefault="001A21E0" w:rsidP="00B5689B">
            <w:pPr>
              <w:pStyle w:val="TAH"/>
              <w:rPr>
                <w:rFonts w:cs="Arial"/>
                <w:szCs w:val="18"/>
                <w:lang w:val="en-GB"/>
              </w:rPr>
            </w:pPr>
            <w:bookmarkStart w:id="5" w:name="_Hlk37173441"/>
            <w:r w:rsidRPr="00EC530E">
              <w:rPr>
                <w:rFonts w:cs="Arial"/>
                <w:szCs w:val="18"/>
                <w:lang w:val="en-GB"/>
              </w:rPr>
              <w:t>Definitions for parameters</w:t>
            </w:r>
          </w:p>
        </w:tc>
        <w:tc>
          <w:tcPr>
            <w:tcW w:w="567" w:type="dxa"/>
          </w:tcPr>
          <w:p w14:paraId="1A435E6E" w14:textId="77777777" w:rsidR="001A21E0" w:rsidRPr="00EC530E" w:rsidRDefault="001A21E0" w:rsidP="00B5689B">
            <w:pPr>
              <w:pStyle w:val="TAH"/>
              <w:rPr>
                <w:rFonts w:cs="Arial"/>
                <w:szCs w:val="18"/>
                <w:lang w:val="en-GB"/>
              </w:rPr>
            </w:pPr>
            <w:r w:rsidRPr="00EC530E">
              <w:rPr>
                <w:rFonts w:cs="Arial"/>
                <w:szCs w:val="18"/>
                <w:lang w:val="en-GB"/>
              </w:rPr>
              <w:t>Per</w:t>
            </w:r>
          </w:p>
        </w:tc>
        <w:tc>
          <w:tcPr>
            <w:tcW w:w="567" w:type="dxa"/>
          </w:tcPr>
          <w:p w14:paraId="258A627A" w14:textId="77777777" w:rsidR="001A21E0" w:rsidRPr="00EC530E" w:rsidRDefault="001A21E0" w:rsidP="00B5689B">
            <w:pPr>
              <w:pStyle w:val="TAH"/>
              <w:rPr>
                <w:rFonts w:cs="Arial"/>
                <w:szCs w:val="18"/>
                <w:lang w:val="en-GB"/>
              </w:rPr>
            </w:pPr>
            <w:r w:rsidRPr="00EC530E">
              <w:rPr>
                <w:rFonts w:cs="Arial"/>
                <w:szCs w:val="18"/>
                <w:lang w:val="en-GB"/>
              </w:rPr>
              <w:t>M</w:t>
            </w:r>
          </w:p>
        </w:tc>
        <w:tc>
          <w:tcPr>
            <w:tcW w:w="709" w:type="dxa"/>
          </w:tcPr>
          <w:p w14:paraId="48F0A4DB" w14:textId="77777777" w:rsidR="001A21E0" w:rsidRPr="00EC530E" w:rsidRDefault="001A21E0" w:rsidP="00B5689B">
            <w:pPr>
              <w:pStyle w:val="TAH"/>
              <w:rPr>
                <w:rFonts w:cs="Arial"/>
                <w:szCs w:val="18"/>
                <w:lang w:val="en-GB"/>
              </w:rPr>
            </w:pPr>
            <w:r w:rsidRPr="00EC530E">
              <w:rPr>
                <w:rFonts w:cs="Arial"/>
                <w:szCs w:val="18"/>
                <w:lang w:val="en-GB"/>
              </w:rPr>
              <w:t>FDD-TDD DIFF</w:t>
            </w:r>
          </w:p>
        </w:tc>
        <w:tc>
          <w:tcPr>
            <w:tcW w:w="708" w:type="dxa"/>
          </w:tcPr>
          <w:p w14:paraId="52F14AC9" w14:textId="77777777" w:rsidR="001A21E0" w:rsidRPr="00EC530E" w:rsidRDefault="001A21E0" w:rsidP="00B5689B">
            <w:pPr>
              <w:pStyle w:val="TAH"/>
              <w:rPr>
                <w:rFonts w:cs="Arial"/>
                <w:szCs w:val="18"/>
                <w:lang w:val="en-GB"/>
              </w:rPr>
            </w:pPr>
            <w:r w:rsidRPr="00EC530E">
              <w:rPr>
                <w:rFonts w:cs="Arial"/>
                <w:szCs w:val="18"/>
                <w:lang w:val="en-GB"/>
              </w:rPr>
              <w:t>FR1-FR2 DIFF</w:t>
            </w:r>
          </w:p>
        </w:tc>
      </w:tr>
      <w:bookmarkEnd w:id="5"/>
      <w:tr w:rsidR="001A21E0" w:rsidRPr="00EC530E" w14:paraId="3893191D" w14:textId="77777777" w:rsidTr="00B5689B">
        <w:trPr>
          <w:cantSplit/>
          <w:tblHeader/>
        </w:trPr>
        <w:tc>
          <w:tcPr>
            <w:tcW w:w="7088" w:type="dxa"/>
          </w:tcPr>
          <w:p w14:paraId="55F68157" w14:textId="77777777" w:rsidR="001A21E0" w:rsidRDefault="001A21E0" w:rsidP="00B5689B">
            <w:pPr>
              <w:pStyle w:val="TAL"/>
              <w:rPr>
                <w:rFonts w:cs="Arial"/>
                <w:b/>
                <w:bCs/>
                <w:i/>
                <w:iCs/>
                <w:szCs w:val="18"/>
              </w:rPr>
            </w:pPr>
            <w:r>
              <w:rPr>
                <w:rFonts w:cs="Arial"/>
                <w:b/>
                <w:bCs/>
                <w:i/>
                <w:iCs/>
                <w:szCs w:val="18"/>
              </w:rPr>
              <w:t>directSCellActivation-r16</w:t>
            </w:r>
          </w:p>
          <w:p w14:paraId="6CCCC769" w14:textId="77777777" w:rsidR="001A21E0" w:rsidRDefault="001A21E0" w:rsidP="00B5689B">
            <w:pPr>
              <w:pStyle w:val="TAL"/>
              <w:rPr>
                <w:rFonts w:cs="Arial"/>
                <w:bCs/>
                <w:iCs/>
                <w:szCs w:val="18"/>
              </w:rPr>
            </w:pPr>
            <w:r>
              <w:rPr>
                <w:rFonts w:cs="Arial"/>
                <w:bCs/>
                <w:iCs/>
                <w:szCs w:val="18"/>
              </w:rPr>
              <w:t>Indicates whether the UE supports direct MCG/SCG SCell activation upon SCell addition, upon reconfigurationWithSync and upon resume.</w:t>
            </w:r>
          </w:p>
          <w:p w14:paraId="070AFB10" w14:textId="77777777" w:rsidR="001A21E0" w:rsidRPr="00EC530E" w:rsidRDefault="001A21E0" w:rsidP="00B5689B">
            <w:pPr>
              <w:pStyle w:val="TAL"/>
              <w:rPr>
                <w:rFonts w:cs="Arial"/>
                <w:szCs w:val="18"/>
              </w:rPr>
            </w:pPr>
            <w:r w:rsidRPr="00FC76A6">
              <w:rPr>
                <w:rFonts w:cs="Arial"/>
                <w:bCs/>
                <w:iCs/>
                <w:szCs w:val="18"/>
                <w:highlight w:val="yellow"/>
              </w:rPr>
              <w:t>FFS: Separate capabilities for resume?</w:t>
            </w:r>
          </w:p>
        </w:tc>
        <w:tc>
          <w:tcPr>
            <w:tcW w:w="567" w:type="dxa"/>
          </w:tcPr>
          <w:p w14:paraId="4B4E484A" w14:textId="77777777" w:rsidR="001A21E0" w:rsidRPr="00EC530E" w:rsidRDefault="001A21E0" w:rsidP="00B5689B">
            <w:pPr>
              <w:pStyle w:val="TAL"/>
              <w:jc w:val="center"/>
              <w:rPr>
                <w:rFonts w:cs="Arial"/>
                <w:szCs w:val="18"/>
              </w:rPr>
            </w:pPr>
            <w:r>
              <w:rPr>
                <w:rFonts w:cs="Arial"/>
                <w:bCs/>
                <w:iCs/>
                <w:szCs w:val="18"/>
              </w:rPr>
              <w:t>UE</w:t>
            </w:r>
          </w:p>
        </w:tc>
        <w:tc>
          <w:tcPr>
            <w:tcW w:w="567" w:type="dxa"/>
          </w:tcPr>
          <w:p w14:paraId="1538108F" w14:textId="77777777" w:rsidR="001A21E0" w:rsidRPr="00EC530E" w:rsidRDefault="001A21E0" w:rsidP="00B5689B">
            <w:pPr>
              <w:pStyle w:val="TAL"/>
              <w:jc w:val="center"/>
              <w:rPr>
                <w:rFonts w:cs="Arial"/>
                <w:szCs w:val="18"/>
              </w:rPr>
            </w:pPr>
            <w:r>
              <w:rPr>
                <w:rFonts w:cs="Arial"/>
                <w:bCs/>
                <w:iCs/>
                <w:szCs w:val="18"/>
              </w:rPr>
              <w:t>No</w:t>
            </w:r>
          </w:p>
        </w:tc>
        <w:tc>
          <w:tcPr>
            <w:tcW w:w="709" w:type="dxa"/>
          </w:tcPr>
          <w:p w14:paraId="22DFF0FA" w14:textId="77777777" w:rsidR="001A21E0" w:rsidRPr="00EC530E" w:rsidRDefault="001A21E0" w:rsidP="00B5689B">
            <w:pPr>
              <w:pStyle w:val="TAL"/>
              <w:jc w:val="center"/>
              <w:rPr>
                <w:rFonts w:cs="Arial"/>
                <w:szCs w:val="18"/>
              </w:rPr>
            </w:pPr>
            <w:r>
              <w:rPr>
                <w:rFonts w:cs="Arial"/>
                <w:bCs/>
                <w:iCs/>
                <w:szCs w:val="18"/>
              </w:rPr>
              <w:t>No</w:t>
            </w:r>
          </w:p>
        </w:tc>
        <w:tc>
          <w:tcPr>
            <w:tcW w:w="708" w:type="dxa"/>
          </w:tcPr>
          <w:p w14:paraId="042C750D" w14:textId="77777777" w:rsidR="001A21E0" w:rsidRPr="00EC530E" w:rsidRDefault="001A21E0" w:rsidP="00B5689B">
            <w:pPr>
              <w:pStyle w:val="TAL"/>
              <w:jc w:val="center"/>
              <w:rPr>
                <w:rFonts w:cs="Arial"/>
                <w:szCs w:val="18"/>
              </w:rPr>
            </w:pPr>
            <w:r w:rsidRPr="004B70BA">
              <w:rPr>
                <w:highlight w:val="yellow"/>
              </w:rPr>
              <w:t>FFS</w:t>
            </w:r>
          </w:p>
        </w:tc>
      </w:tr>
    </w:tbl>
    <w:p w14:paraId="5F32424E" w14:textId="77777777" w:rsidR="0025154C" w:rsidRDefault="0025154C" w:rsidP="00092775">
      <w:pPr>
        <w:pStyle w:val="BodyText"/>
      </w:pPr>
    </w:p>
    <w:p w14:paraId="5758809E" w14:textId="77777777" w:rsidR="00DA16D5" w:rsidRDefault="0025154C" w:rsidP="00092775">
      <w:pPr>
        <w:pStyle w:val="BodyText"/>
      </w:pPr>
      <w:r>
        <w:t xml:space="preserve">The use of SCell activation in RRC for both MCG and SCG upon </w:t>
      </w:r>
      <w:r w:rsidRPr="0025154C">
        <w:t>reconfigurationWithSync</w:t>
      </w:r>
      <w:r w:rsidR="00D7015D">
        <w:t xml:space="preserve"> seems clear. </w:t>
      </w:r>
      <w:r w:rsidR="00C552E5">
        <w:t xml:space="preserve">However, </w:t>
      </w:r>
      <w:r w:rsidR="0002117A">
        <w:t xml:space="preserve">upon resume it seems currently unclear what the UE would support </w:t>
      </w:r>
      <w:r w:rsidR="00F56C8F">
        <w:t>with either single or separate capabilities for resume case</w:t>
      </w:r>
      <w:r w:rsidR="00267CC1">
        <w:t xml:space="preserve"> for SCG</w:t>
      </w:r>
      <w:r w:rsidR="00F56C8F">
        <w:t xml:space="preserve">. </w:t>
      </w:r>
      <w:r w:rsidR="007F29F3">
        <w:t>For instance, if the UE reports</w:t>
      </w:r>
      <w:r w:rsidR="00D61A0A">
        <w:t xml:space="preserve"> </w:t>
      </w:r>
      <w:r w:rsidR="00394363">
        <w:t xml:space="preserve">the capability </w:t>
      </w:r>
      <w:r w:rsidR="00F25806" w:rsidRPr="00943A66">
        <w:rPr>
          <w:i/>
          <w:iCs/>
        </w:rPr>
        <w:t>directSCellActivation-r16</w:t>
      </w:r>
      <w:r w:rsidR="00394363">
        <w:t xml:space="preserve"> as defined above </w:t>
      </w:r>
      <w:r w:rsidR="00E34B92">
        <w:t xml:space="preserve">but does not report </w:t>
      </w:r>
      <w:r w:rsidR="00B46A1C" w:rsidRPr="00C41260">
        <w:rPr>
          <w:i/>
          <w:iCs/>
        </w:rPr>
        <w:t xml:space="preserve">resumeWithSCG-r16 </w:t>
      </w:r>
      <w:r w:rsidR="00B46A1C">
        <w:t>as also defined above</w:t>
      </w:r>
      <w:r w:rsidR="00F21A2F">
        <w:t xml:space="preserve"> – what the UE would support for SCG</w:t>
      </w:r>
      <w:r w:rsidR="00B46A1C">
        <w:t>?</w:t>
      </w:r>
      <w:r w:rsidR="00DA16D5">
        <w:t xml:space="preserve"> </w:t>
      </w:r>
    </w:p>
    <w:p w14:paraId="418FF37F" w14:textId="5CD16D80" w:rsidR="003E26E4" w:rsidRDefault="00DA16D5" w:rsidP="00092775">
      <w:pPr>
        <w:pStyle w:val="BodyText"/>
      </w:pPr>
      <w:r>
        <w:t xml:space="preserve">In that case, </w:t>
      </w:r>
      <w:r w:rsidR="00782BC9">
        <w:t xml:space="preserve">since </w:t>
      </w:r>
      <w:r w:rsidR="00782BC9" w:rsidRPr="00C41260">
        <w:rPr>
          <w:i/>
          <w:iCs/>
        </w:rPr>
        <w:t>resumeWithSCG-r16</w:t>
      </w:r>
      <w:r w:rsidR="00782BC9">
        <w:rPr>
          <w:i/>
          <w:iCs/>
        </w:rPr>
        <w:t xml:space="preserve"> </w:t>
      </w:r>
      <w:r w:rsidR="00782BC9">
        <w:t xml:space="preserve">capability was not included, </w:t>
      </w:r>
      <w:r>
        <w:t>the UE</w:t>
      </w:r>
      <w:r w:rsidR="00782BC9">
        <w:t xml:space="preserve"> could not support </w:t>
      </w:r>
      <w:r w:rsidR="00032984">
        <w:t xml:space="preserve">SCG </w:t>
      </w:r>
      <w:r w:rsidR="00782BC9">
        <w:t>SCell activation (</w:t>
      </w:r>
      <w:r w:rsidR="00906AEC">
        <w:t xml:space="preserve">or </w:t>
      </w:r>
      <w:r w:rsidR="00E0622D">
        <w:t>any SC</w:t>
      </w:r>
      <w:r w:rsidR="00F31239">
        <w:t>G</w:t>
      </w:r>
      <w:r w:rsidR="00E0622D">
        <w:t xml:space="preserve"> configuration</w:t>
      </w:r>
      <w:r w:rsidR="008D5A55">
        <w:t>, in fact</w:t>
      </w:r>
      <w:r w:rsidR="00782BC9">
        <w:t>)</w:t>
      </w:r>
      <w:r w:rsidR="003166EC">
        <w:t xml:space="preserve">, which basically means that </w:t>
      </w:r>
      <w:r w:rsidR="008C7E9E">
        <w:t xml:space="preserve">the capability for </w:t>
      </w:r>
      <w:r w:rsidR="008C7E9E" w:rsidRPr="00943A66">
        <w:rPr>
          <w:i/>
          <w:iCs/>
        </w:rPr>
        <w:t>directSCellActivation-r16</w:t>
      </w:r>
      <w:r w:rsidR="00F6242B">
        <w:rPr>
          <w:i/>
          <w:iCs/>
        </w:rPr>
        <w:t xml:space="preserve"> </w:t>
      </w:r>
      <w:r w:rsidR="006733B0">
        <w:t xml:space="preserve">cannot </w:t>
      </w:r>
      <w:r w:rsidR="00840E28">
        <w:t xml:space="preserve">fully indicate support </w:t>
      </w:r>
      <w:r w:rsidR="00305BB6">
        <w:t>for SCG</w:t>
      </w:r>
      <w:r w:rsidR="00AF4944">
        <w:t xml:space="preserve"> </w:t>
      </w:r>
      <w:r w:rsidR="009F3470">
        <w:t>SCell activation in RRC.</w:t>
      </w:r>
      <w:r w:rsidR="003E26E4">
        <w:t xml:space="preserve"> </w:t>
      </w:r>
    </w:p>
    <w:p w14:paraId="0AD2E0A4" w14:textId="72C8AD14" w:rsidR="001D4C86" w:rsidRDefault="00E23ED7" w:rsidP="002E2907">
      <w:pPr>
        <w:pStyle w:val="Observation"/>
      </w:pPr>
      <w:bookmarkStart w:id="6" w:name="_Toc37237234"/>
      <w:r>
        <w:t xml:space="preserve">Current definition of </w:t>
      </w:r>
      <w:r w:rsidR="00FD1836" w:rsidRPr="00943A66">
        <w:rPr>
          <w:i/>
          <w:iCs/>
        </w:rPr>
        <w:t>directSCellActivation-r16</w:t>
      </w:r>
      <w:r w:rsidR="00FD1836">
        <w:rPr>
          <w:i/>
          <w:iCs/>
        </w:rPr>
        <w:t xml:space="preserve"> </w:t>
      </w:r>
      <w:r w:rsidR="00FD1836">
        <w:t>cannot fully indicate support for SCG SCell activation</w:t>
      </w:r>
      <w:r w:rsidR="006A6120">
        <w:t xml:space="preserve"> upon resume.</w:t>
      </w:r>
      <w:bookmarkEnd w:id="6"/>
    </w:p>
    <w:p w14:paraId="3048514D" w14:textId="676AD1FE" w:rsidR="00907033" w:rsidRDefault="00907033" w:rsidP="00092775">
      <w:pPr>
        <w:pStyle w:val="BodyText"/>
      </w:pPr>
      <w:r>
        <w:t>Hence,</w:t>
      </w:r>
      <w:r w:rsidR="00FE61F5">
        <w:t xml:space="preserve"> </w:t>
      </w:r>
      <w:r w:rsidR="00E509F5">
        <w:t xml:space="preserve">SCG SCell activation upon resume should be mandatory for UEs that support </w:t>
      </w:r>
      <w:r w:rsidR="0020737E">
        <w:t xml:space="preserve">both </w:t>
      </w:r>
      <w:r w:rsidR="008F54DB" w:rsidRPr="008F54DB">
        <w:t>directSCellActivation-r16</w:t>
      </w:r>
      <w:r w:rsidR="008F54DB">
        <w:t xml:space="preserve"> and </w:t>
      </w:r>
      <w:r w:rsidR="008F54DB" w:rsidRPr="008F54DB">
        <w:t>resumeWithSCG-r16</w:t>
      </w:r>
      <w:r w:rsidR="008F54DB">
        <w:t>.</w:t>
      </w:r>
    </w:p>
    <w:p w14:paraId="399C0F30" w14:textId="262B4F9A" w:rsidR="00CD2BF1" w:rsidRPr="006733B0" w:rsidRDefault="00FE61F5" w:rsidP="00113E3E">
      <w:pPr>
        <w:pStyle w:val="Proposal"/>
      </w:pPr>
      <w:bookmarkStart w:id="7" w:name="_Toc37352992"/>
      <w:r>
        <w:t>SCG SCell activation upon resume should</w:t>
      </w:r>
      <w:r w:rsidR="008870D3">
        <w:t xml:space="preserve"> only</w:t>
      </w:r>
      <w:r>
        <w:t xml:space="preserve"> be </w:t>
      </w:r>
      <w:r w:rsidR="00C16A1B">
        <w:t xml:space="preserve">supported </w:t>
      </w:r>
      <w:r w:rsidR="000F2959">
        <w:t>by</w:t>
      </w:r>
      <w:r>
        <w:t xml:space="preserve"> UEs that support both </w:t>
      </w:r>
      <w:r w:rsidRPr="00625A4D">
        <w:rPr>
          <w:i/>
          <w:iCs/>
        </w:rPr>
        <w:t>directSCellActivation-r16</w:t>
      </w:r>
      <w:r>
        <w:t xml:space="preserve"> and </w:t>
      </w:r>
      <w:r w:rsidRPr="00625A4D">
        <w:rPr>
          <w:i/>
          <w:iCs/>
        </w:rPr>
        <w:t>resumeWithSCG-r16</w:t>
      </w:r>
      <w:r w:rsidR="00D2119B">
        <w:t>.</w:t>
      </w:r>
      <w:bookmarkEnd w:id="7"/>
    </w:p>
    <w:p w14:paraId="7ED89220" w14:textId="77777777" w:rsidR="00423349" w:rsidRDefault="00DC4C61" w:rsidP="00092775">
      <w:pPr>
        <w:pStyle w:val="BodyText"/>
      </w:pPr>
      <w:r>
        <w:t xml:space="preserve">On the FR1/FR2 differentiation aspect, </w:t>
      </w:r>
      <w:r w:rsidR="00CE77DC">
        <w:t xml:space="preserve">there is no need to define in RAN2 that such differentiation is needed. </w:t>
      </w:r>
      <w:r w:rsidR="00CB2CA9">
        <w:t xml:space="preserve">Whether any additional requirements should apply e.g. only for FR2, then RAN4 should indicate that FR1/FR2 differentiation is needed. </w:t>
      </w:r>
    </w:p>
    <w:p w14:paraId="7C834FD0" w14:textId="54F4982C" w:rsidR="00423349" w:rsidRPr="0016501B" w:rsidRDefault="0016501B" w:rsidP="00092DE5">
      <w:pPr>
        <w:pStyle w:val="Proposal"/>
      </w:pPr>
      <w:bookmarkStart w:id="8" w:name="_Toc37352993"/>
      <w:r>
        <w:t>FR1/FR2 differentiation is not allowed for t</w:t>
      </w:r>
      <w:r w:rsidR="00E55AF8" w:rsidRPr="00E55AF8">
        <w:t>he</w:t>
      </w:r>
      <w:r w:rsidR="00873AFD">
        <w:t xml:space="preserve"> capability field</w:t>
      </w:r>
      <w:r w:rsidR="00E55AF8" w:rsidRPr="00E55AF8">
        <w:t xml:space="preserve"> </w:t>
      </w:r>
      <w:r w:rsidR="00462D5F" w:rsidRPr="00943A66">
        <w:rPr>
          <w:i/>
          <w:iCs/>
        </w:rPr>
        <w:t>directSCellActivation-r16</w:t>
      </w:r>
      <w:r>
        <w:t>. This decision can be revisited based on RAN4 input on capabilities.</w:t>
      </w:r>
      <w:bookmarkEnd w:id="8"/>
    </w:p>
    <w:p w14:paraId="14331B86" w14:textId="6B620455" w:rsidR="00BE27B0" w:rsidRDefault="00B239FC" w:rsidP="00092775">
      <w:pPr>
        <w:pStyle w:val="BodyText"/>
      </w:pPr>
      <w:r>
        <w:lastRenderedPageBreak/>
        <w:t xml:space="preserve">For </w:t>
      </w:r>
      <w:r w:rsidR="006C064C">
        <w:t xml:space="preserve">NR configured </w:t>
      </w:r>
      <w:r>
        <w:t xml:space="preserve">measurements </w:t>
      </w:r>
      <w:r w:rsidR="006C064C">
        <w:t xml:space="preserve">to be performed </w:t>
      </w:r>
      <w:r>
        <w:t xml:space="preserve">in RRC_IDLE/INACTIVE, </w:t>
      </w:r>
      <w:r w:rsidR="000E3DC8">
        <w:t>the following FFSs are captured:</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695C36" w:rsidRPr="00EC530E" w14:paraId="69390AA0" w14:textId="77777777" w:rsidTr="00695C36">
        <w:trPr>
          <w:cantSplit/>
          <w:tblHeader/>
        </w:trPr>
        <w:tc>
          <w:tcPr>
            <w:tcW w:w="7088" w:type="dxa"/>
          </w:tcPr>
          <w:p w14:paraId="334F02D2" w14:textId="77777777" w:rsidR="00695C36" w:rsidRPr="00EC530E" w:rsidRDefault="00695C36" w:rsidP="00B5689B">
            <w:pPr>
              <w:pStyle w:val="TAH"/>
              <w:rPr>
                <w:rFonts w:cs="Arial"/>
                <w:szCs w:val="18"/>
                <w:lang w:val="en-GB"/>
              </w:rPr>
            </w:pPr>
            <w:r w:rsidRPr="00EC530E">
              <w:rPr>
                <w:rFonts w:cs="Arial"/>
                <w:szCs w:val="18"/>
                <w:lang w:val="en-GB"/>
              </w:rPr>
              <w:t>Definitions for parameters</w:t>
            </w:r>
          </w:p>
        </w:tc>
        <w:tc>
          <w:tcPr>
            <w:tcW w:w="567" w:type="dxa"/>
          </w:tcPr>
          <w:p w14:paraId="792C04C8" w14:textId="77777777" w:rsidR="00695C36" w:rsidRPr="00EC530E" w:rsidRDefault="00695C36" w:rsidP="00B5689B">
            <w:pPr>
              <w:pStyle w:val="TAH"/>
              <w:rPr>
                <w:rFonts w:cs="Arial"/>
                <w:szCs w:val="18"/>
                <w:lang w:val="en-GB"/>
              </w:rPr>
            </w:pPr>
            <w:r w:rsidRPr="00EC530E">
              <w:rPr>
                <w:rFonts w:cs="Arial"/>
                <w:szCs w:val="18"/>
                <w:lang w:val="en-GB"/>
              </w:rPr>
              <w:t>Per</w:t>
            </w:r>
          </w:p>
        </w:tc>
        <w:tc>
          <w:tcPr>
            <w:tcW w:w="567" w:type="dxa"/>
          </w:tcPr>
          <w:p w14:paraId="28C06C56" w14:textId="77777777" w:rsidR="00695C36" w:rsidRPr="00EC530E" w:rsidRDefault="00695C36" w:rsidP="00B5689B">
            <w:pPr>
              <w:pStyle w:val="TAH"/>
              <w:rPr>
                <w:rFonts w:cs="Arial"/>
                <w:szCs w:val="18"/>
                <w:lang w:val="en-GB"/>
              </w:rPr>
            </w:pPr>
            <w:r w:rsidRPr="00EC530E">
              <w:rPr>
                <w:rFonts w:cs="Arial"/>
                <w:szCs w:val="18"/>
                <w:lang w:val="en-GB"/>
              </w:rPr>
              <w:t>M</w:t>
            </w:r>
          </w:p>
        </w:tc>
        <w:tc>
          <w:tcPr>
            <w:tcW w:w="709" w:type="dxa"/>
          </w:tcPr>
          <w:p w14:paraId="7908E67F" w14:textId="77777777" w:rsidR="00695C36" w:rsidRPr="00EC530E" w:rsidRDefault="00695C36" w:rsidP="00B5689B">
            <w:pPr>
              <w:pStyle w:val="TAH"/>
              <w:rPr>
                <w:rFonts w:cs="Arial"/>
                <w:szCs w:val="18"/>
                <w:lang w:val="en-GB"/>
              </w:rPr>
            </w:pPr>
            <w:r w:rsidRPr="00EC530E">
              <w:rPr>
                <w:rFonts w:cs="Arial"/>
                <w:szCs w:val="18"/>
                <w:lang w:val="en-GB"/>
              </w:rPr>
              <w:t>FDD-TDD DIFF</w:t>
            </w:r>
          </w:p>
        </w:tc>
        <w:tc>
          <w:tcPr>
            <w:tcW w:w="708" w:type="dxa"/>
          </w:tcPr>
          <w:p w14:paraId="657F8C5F" w14:textId="77777777" w:rsidR="00695C36" w:rsidRPr="00EC530E" w:rsidRDefault="00695C36" w:rsidP="00B5689B">
            <w:pPr>
              <w:pStyle w:val="TAH"/>
              <w:rPr>
                <w:rFonts w:cs="Arial"/>
                <w:szCs w:val="18"/>
                <w:lang w:val="en-GB"/>
              </w:rPr>
            </w:pPr>
            <w:r w:rsidRPr="00EC530E">
              <w:rPr>
                <w:rFonts w:cs="Arial"/>
                <w:szCs w:val="18"/>
                <w:lang w:val="en-GB"/>
              </w:rPr>
              <w:t>FR1-FR2 DIFF</w:t>
            </w:r>
          </w:p>
        </w:tc>
      </w:tr>
      <w:tr w:rsidR="00695C36" w:rsidRPr="00EC530E" w14:paraId="64D99303" w14:textId="77777777" w:rsidTr="00695C36">
        <w:trPr>
          <w:cantSplit/>
          <w:tblHeader/>
        </w:trPr>
        <w:tc>
          <w:tcPr>
            <w:tcW w:w="7088" w:type="dxa"/>
            <w:tcBorders>
              <w:top w:val="single" w:sz="4" w:space="0" w:color="808080"/>
              <w:left w:val="single" w:sz="4" w:space="0" w:color="808080"/>
              <w:bottom w:val="single" w:sz="4" w:space="0" w:color="808080"/>
              <w:right w:val="single" w:sz="4" w:space="0" w:color="808080"/>
            </w:tcBorders>
          </w:tcPr>
          <w:p w14:paraId="4E0D151A" w14:textId="77777777" w:rsidR="00695C36" w:rsidRPr="00695C36" w:rsidRDefault="00695C36" w:rsidP="00695C36">
            <w:pPr>
              <w:pStyle w:val="TAH"/>
              <w:jc w:val="left"/>
              <w:rPr>
                <w:rFonts w:cs="Arial"/>
                <w:i/>
                <w:iCs/>
                <w:szCs w:val="18"/>
                <w:lang w:val="en-GB"/>
              </w:rPr>
            </w:pPr>
            <w:r w:rsidRPr="00695C36">
              <w:rPr>
                <w:rFonts w:cs="Arial"/>
                <w:i/>
                <w:iCs/>
                <w:szCs w:val="18"/>
                <w:lang w:val="en-GB"/>
              </w:rPr>
              <w:t>idle-inactive-MeasReport-r16</w:t>
            </w:r>
          </w:p>
          <w:p w14:paraId="66EF6B5F" w14:textId="77777777" w:rsidR="00695C36" w:rsidRPr="00695C36" w:rsidRDefault="00695C36" w:rsidP="00695C36">
            <w:pPr>
              <w:pStyle w:val="TAH"/>
              <w:jc w:val="left"/>
              <w:rPr>
                <w:rFonts w:cs="Arial"/>
                <w:b w:val="0"/>
                <w:bCs/>
                <w:szCs w:val="18"/>
                <w:lang w:val="en-GB"/>
              </w:rPr>
            </w:pPr>
            <w:r w:rsidRPr="00695C36">
              <w:rPr>
                <w:rFonts w:cs="Arial"/>
                <w:b w:val="0"/>
                <w:bCs/>
                <w:szCs w:val="18"/>
                <w:lang w:val="en-GB"/>
              </w:rPr>
              <w:t>Indicates whether the UE supports configuration of NR SSB measurements in RRC_IDLE/RRC_INACTIVE and reporting of the corresponding results upon network request as specified in TS 38.331 [9].</w:t>
            </w:r>
          </w:p>
          <w:p w14:paraId="09F70F0E" w14:textId="77777777" w:rsidR="00695C36" w:rsidRPr="00695C36" w:rsidRDefault="00695C36" w:rsidP="00695C36">
            <w:pPr>
              <w:pStyle w:val="TAH"/>
              <w:rPr>
                <w:rFonts w:cs="Arial"/>
                <w:b w:val="0"/>
                <w:bCs/>
                <w:szCs w:val="18"/>
                <w:lang w:val="en-GB"/>
              </w:rPr>
            </w:pPr>
          </w:p>
          <w:p w14:paraId="66094302" w14:textId="77777777" w:rsidR="00695C36" w:rsidRPr="00695C36" w:rsidRDefault="00695C36" w:rsidP="00695C36">
            <w:pPr>
              <w:pStyle w:val="TAH"/>
              <w:rPr>
                <w:rFonts w:cs="Arial"/>
                <w:b w:val="0"/>
                <w:bCs/>
                <w:szCs w:val="18"/>
                <w:lang w:val="en-GB"/>
              </w:rPr>
            </w:pPr>
            <w:r w:rsidRPr="00245F11">
              <w:rPr>
                <w:rFonts w:cs="Arial"/>
                <w:b w:val="0"/>
                <w:bCs/>
                <w:szCs w:val="18"/>
                <w:highlight w:val="yellow"/>
                <w:lang w:val="en-GB"/>
              </w:rPr>
              <w:t>FFS: Is separate capability needed for E-UTRA measurements or does the UE which supports idle-inactive-MeasReport and NE-DC also support E-UTRA measurements?</w:t>
            </w:r>
          </w:p>
        </w:tc>
        <w:tc>
          <w:tcPr>
            <w:tcW w:w="567" w:type="dxa"/>
            <w:tcBorders>
              <w:top w:val="single" w:sz="4" w:space="0" w:color="808080"/>
              <w:left w:val="single" w:sz="4" w:space="0" w:color="808080"/>
              <w:bottom w:val="single" w:sz="4" w:space="0" w:color="808080"/>
              <w:right w:val="single" w:sz="4" w:space="0" w:color="808080"/>
            </w:tcBorders>
          </w:tcPr>
          <w:p w14:paraId="0C5C830A" w14:textId="77777777" w:rsidR="00695C36" w:rsidRPr="00695C36" w:rsidRDefault="00695C36" w:rsidP="00695C36">
            <w:pPr>
              <w:pStyle w:val="TAH"/>
              <w:rPr>
                <w:rFonts w:cs="Arial"/>
                <w:b w:val="0"/>
                <w:bCs/>
                <w:szCs w:val="18"/>
                <w:lang w:val="en-GB"/>
              </w:rPr>
            </w:pPr>
            <w:r w:rsidRPr="00695C36">
              <w:rPr>
                <w:rFonts w:cs="Arial"/>
                <w:b w:val="0"/>
                <w:bCs/>
                <w:szCs w:val="18"/>
                <w:lang w:val="en-GB"/>
              </w:rPr>
              <w:t>UE</w:t>
            </w:r>
          </w:p>
        </w:tc>
        <w:tc>
          <w:tcPr>
            <w:tcW w:w="567" w:type="dxa"/>
            <w:tcBorders>
              <w:top w:val="single" w:sz="4" w:space="0" w:color="808080"/>
              <w:left w:val="single" w:sz="4" w:space="0" w:color="808080"/>
              <w:bottom w:val="single" w:sz="4" w:space="0" w:color="808080"/>
              <w:right w:val="single" w:sz="4" w:space="0" w:color="808080"/>
            </w:tcBorders>
          </w:tcPr>
          <w:p w14:paraId="541BCBE8" w14:textId="77777777" w:rsidR="00695C36" w:rsidRPr="00695C36" w:rsidRDefault="00695C36" w:rsidP="00695C36">
            <w:pPr>
              <w:pStyle w:val="TAH"/>
              <w:rPr>
                <w:rFonts w:cs="Arial"/>
                <w:b w:val="0"/>
                <w:bCs/>
                <w:szCs w:val="18"/>
                <w:lang w:val="en-GB"/>
              </w:rPr>
            </w:pPr>
            <w:r w:rsidRPr="00695C36">
              <w:rPr>
                <w:rFonts w:cs="Arial"/>
                <w:b w:val="0"/>
                <w:bCs/>
                <w:szCs w:val="18"/>
                <w:lang w:val="en-GB"/>
              </w:rPr>
              <w:t>No</w:t>
            </w:r>
          </w:p>
        </w:tc>
        <w:tc>
          <w:tcPr>
            <w:tcW w:w="709" w:type="dxa"/>
            <w:tcBorders>
              <w:top w:val="single" w:sz="4" w:space="0" w:color="808080"/>
              <w:left w:val="single" w:sz="4" w:space="0" w:color="808080"/>
              <w:bottom w:val="single" w:sz="4" w:space="0" w:color="808080"/>
              <w:right w:val="single" w:sz="4" w:space="0" w:color="808080"/>
            </w:tcBorders>
          </w:tcPr>
          <w:p w14:paraId="496A62BD" w14:textId="77777777" w:rsidR="00695C36" w:rsidRPr="00695C36" w:rsidRDefault="00695C36" w:rsidP="00695C36">
            <w:pPr>
              <w:pStyle w:val="TAH"/>
              <w:rPr>
                <w:rFonts w:cs="Arial"/>
                <w:b w:val="0"/>
                <w:bCs/>
                <w:szCs w:val="18"/>
                <w:lang w:val="en-GB"/>
              </w:rPr>
            </w:pPr>
            <w:r w:rsidRPr="00695C36">
              <w:rPr>
                <w:rFonts w:cs="Arial"/>
                <w:b w:val="0"/>
                <w:bCs/>
                <w:szCs w:val="18"/>
                <w:lang w:val="en-GB"/>
              </w:rPr>
              <w:t>No</w:t>
            </w:r>
          </w:p>
        </w:tc>
        <w:tc>
          <w:tcPr>
            <w:tcW w:w="708" w:type="dxa"/>
            <w:tcBorders>
              <w:top w:val="single" w:sz="4" w:space="0" w:color="808080"/>
              <w:left w:val="single" w:sz="4" w:space="0" w:color="808080"/>
              <w:bottom w:val="single" w:sz="4" w:space="0" w:color="808080"/>
              <w:right w:val="single" w:sz="4" w:space="0" w:color="808080"/>
            </w:tcBorders>
          </w:tcPr>
          <w:p w14:paraId="115AD63D" w14:textId="77777777" w:rsidR="00695C36" w:rsidRPr="00695C36" w:rsidRDefault="00695C36" w:rsidP="00695C36">
            <w:pPr>
              <w:pStyle w:val="TAH"/>
              <w:rPr>
                <w:rFonts w:cs="Arial"/>
                <w:b w:val="0"/>
                <w:bCs/>
                <w:szCs w:val="18"/>
                <w:lang w:val="en-GB"/>
              </w:rPr>
            </w:pPr>
            <w:r w:rsidRPr="00245F11">
              <w:rPr>
                <w:rFonts w:cs="Arial"/>
                <w:b w:val="0"/>
                <w:bCs/>
                <w:szCs w:val="18"/>
                <w:highlight w:val="yellow"/>
                <w:lang w:val="en-GB"/>
              </w:rPr>
              <w:t>FFS</w:t>
            </w:r>
          </w:p>
        </w:tc>
      </w:tr>
    </w:tbl>
    <w:p w14:paraId="430231A1" w14:textId="77777777" w:rsidR="007911B2" w:rsidRDefault="007911B2" w:rsidP="00092775">
      <w:pPr>
        <w:pStyle w:val="BodyText"/>
      </w:pPr>
    </w:p>
    <w:p w14:paraId="543A76CA" w14:textId="1B84CF3B" w:rsidR="005A13BC" w:rsidRDefault="00AE6106" w:rsidP="00092775">
      <w:pPr>
        <w:pStyle w:val="BodyText"/>
      </w:pPr>
      <w:r>
        <w:t>It should be possible to</w:t>
      </w:r>
      <w:r w:rsidR="00BE012B">
        <w:t xml:space="preserve"> use the field above </w:t>
      </w:r>
      <w:r w:rsidR="00BE012B" w:rsidRPr="00BE012B">
        <w:rPr>
          <w:i/>
          <w:iCs/>
        </w:rPr>
        <w:t>idle-inactive-MeasReport-r16</w:t>
      </w:r>
      <w:r>
        <w:t xml:space="preserve"> </w:t>
      </w:r>
      <w:r w:rsidR="00BE012B">
        <w:t>also for E-UTRA measurements configured by a gNB</w:t>
      </w:r>
      <w:r w:rsidR="00F56C99">
        <w:t xml:space="preserve">. Ultimately, </w:t>
      </w:r>
      <w:r w:rsidR="00A219F2">
        <w:t xml:space="preserve">a gNB would likely be interested in </w:t>
      </w:r>
      <w:r w:rsidR="00F2201D">
        <w:t xml:space="preserve">NR measurements </w:t>
      </w:r>
      <w:r w:rsidR="004E74C5" w:rsidRPr="004E74C5">
        <w:t>RRC_IDLE/RRC_INACTIVE</w:t>
      </w:r>
      <w:r w:rsidR="00F2201D">
        <w:t xml:space="preserve">, </w:t>
      </w:r>
      <w:r w:rsidR="007142CE">
        <w:t xml:space="preserve">while it may as well configure </w:t>
      </w:r>
      <w:r w:rsidR="008800B1">
        <w:t xml:space="preserve">E-UTRA measurements </w:t>
      </w:r>
      <w:r w:rsidR="00AC02E6">
        <w:t xml:space="preserve">to be performed in </w:t>
      </w:r>
      <w:r w:rsidR="00AC02E6" w:rsidRPr="004E74C5">
        <w:t>RRC_IDLE/RRC_INACTIVE</w:t>
      </w:r>
      <w:r w:rsidR="00AC02E6">
        <w:t xml:space="preserve">, in case the UE supports NE-DC. </w:t>
      </w:r>
      <w:r w:rsidR="000537B4">
        <w:t xml:space="preserve">Therefore, </w:t>
      </w:r>
      <w:r w:rsidR="00A77156">
        <w:t xml:space="preserve">one field to indicate both </w:t>
      </w:r>
      <w:r w:rsidR="00AD224F">
        <w:t>NR and E-UTRA measurements seems sufficient.</w:t>
      </w:r>
      <w:r w:rsidR="005A13BC">
        <w:t xml:space="preserve"> On FR1/FR2 differentiation aspect, as previously discussed above, </w:t>
      </w:r>
      <w:r w:rsidR="00F24258">
        <w:t>we think it is not needed to imply such differentiation from RAN2 point of view.</w:t>
      </w:r>
    </w:p>
    <w:p w14:paraId="4DDEEE6A" w14:textId="44B40998" w:rsidR="00A74D8F" w:rsidRDefault="00A74D8F" w:rsidP="00092775">
      <w:pPr>
        <w:pStyle w:val="Proposal"/>
      </w:pPr>
      <w:bookmarkStart w:id="9" w:name="_Toc37352994"/>
      <w:r>
        <w:t xml:space="preserve">A single </w:t>
      </w:r>
      <w:r w:rsidR="008F26DE">
        <w:t xml:space="preserve">per-UE </w:t>
      </w:r>
      <w:r>
        <w:t xml:space="preserve">field is used to indicate UE support in </w:t>
      </w:r>
      <w:r w:rsidRPr="003A76BB">
        <w:rPr>
          <w:i/>
          <w:iCs/>
        </w:rPr>
        <w:t>UE-NR-Capability</w:t>
      </w:r>
      <w:r>
        <w:t xml:space="preserve"> for </w:t>
      </w:r>
      <w:r w:rsidR="00206518">
        <w:t xml:space="preserve">NR </w:t>
      </w:r>
      <w:r w:rsidR="00EF3643">
        <w:t>and E-UTRA</w:t>
      </w:r>
      <w:r w:rsidR="00206518">
        <w:t xml:space="preserve"> early measurements</w:t>
      </w:r>
      <w:r w:rsidR="00B53914">
        <w:t>.</w:t>
      </w:r>
      <w:bookmarkEnd w:id="9"/>
    </w:p>
    <w:p w14:paraId="3EB7AFEA" w14:textId="239CAA6F" w:rsidR="009267E0" w:rsidRPr="0016501B" w:rsidRDefault="009267E0" w:rsidP="009267E0">
      <w:pPr>
        <w:pStyle w:val="Proposal"/>
      </w:pPr>
      <w:bookmarkStart w:id="10" w:name="_Toc37352995"/>
      <w:r>
        <w:t>FR1/FR2 differentiation is not allowed for t</w:t>
      </w:r>
      <w:r w:rsidRPr="00E55AF8">
        <w:t>he</w:t>
      </w:r>
      <w:r>
        <w:t xml:space="preserve"> capability field</w:t>
      </w:r>
      <w:r w:rsidRPr="00E55AF8">
        <w:t xml:space="preserve"> </w:t>
      </w:r>
      <w:r w:rsidR="00644BED" w:rsidRPr="00644BED">
        <w:rPr>
          <w:i/>
          <w:iCs/>
        </w:rPr>
        <w:t>idle-inactive-MeasReport-r16</w:t>
      </w:r>
      <w:r>
        <w:t>. This decision can be revisited based on RAN4 input on capabilities.</w:t>
      </w:r>
      <w:bookmarkEnd w:id="10"/>
    </w:p>
    <w:p w14:paraId="26102DFD" w14:textId="3630CEC9" w:rsidR="001D4A3B" w:rsidRDefault="001D4A3B" w:rsidP="00446347">
      <w:pPr>
        <w:pStyle w:val="Heading2"/>
      </w:pPr>
      <w:r>
        <w:t>2.</w:t>
      </w:r>
      <w:r w:rsidR="007547ED">
        <w:t>2</w:t>
      </w:r>
      <w:r w:rsidR="00076F71">
        <w:tab/>
      </w:r>
      <w:r>
        <w:t>Remaining aspects for TS 3</w:t>
      </w:r>
      <w:r w:rsidR="00D81F79">
        <w:t>6</w:t>
      </w:r>
      <w:r>
        <w:t>.306</w:t>
      </w:r>
    </w:p>
    <w:p w14:paraId="24EFFED6" w14:textId="2BB17413" w:rsidR="001D4A3B" w:rsidRDefault="006C064C" w:rsidP="00092775">
      <w:pPr>
        <w:pStyle w:val="BodyText"/>
      </w:pPr>
      <w:r>
        <w:t>For E-UTRA configured measurements to be performed in RRC_IDLE/INACTIVE,</w:t>
      </w:r>
      <w:r w:rsidR="004E4A39">
        <w:t xml:space="preserve"> the following was captured in the endorsed TP for 3</w:t>
      </w:r>
      <w:r w:rsidR="00CE2F5A">
        <w:t>6</w:t>
      </w:r>
      <w:r w:rsidR="004E4A39">
        <w:t>.306:</w:t>
      </w:r>
    </w:p>
    <w:p w14:paraId="4DC1DFC8" w14:textId="77777777" w:rsidR="00F455F5" w:rsidRDefault="00F455F5" w:rsidP="00E50EC6">
      <w:pPr>
        <w:pStyle w:val="Heading4"/>
        <w:pBdr>
          <w:top w:val="single" w:sz="4" w:space="1" w:color="auto"/>
          <w:left w:val="single" w:sz="4" w:space="4" w:color="auto"/>
          <w:bottom w:val="single" w:sz="4" w:space="1" w:color="auto"/>
          <w:right w:val="single" w:sz="4" w:space="4" w:color="auto"/>
        </w:pBdr>
      </w:pPr>
      <w:r>
        <w:t>4.3.6.x2</w:t>
      </w:r>
      <w:r>
        <w:tab/>
      </w:r>
      <w:r>
        <w:rPr>
          <w:i/>
        </w:rPr>
        <w:t>endc-IdleInactive</w:t>
      </w:r>
      <w:r w:rsidRPr="00A926EF">
        <w:rPr>
          <w:i/>
        </w:rPr>
        <w:t>Measurements-r16</w:t>
      </w:r>
    </w:p>
    <w:p w14:paraId="21B2D7AC" w14:textId="77777777" w:rsidR="00F455F5" w:rsidRPr="00796185" w:rsidRDefault="00F455F5" w:rsidP="00E50EC6">
      <w:pPr>
        <w:pBdr>
          <w:top w:val="single" w:sz="4" w:space="1" w:color="auto"/>
          <w:left w:val="single" w:sz="4" w:space="4" w:color="auto"/>
          <w:bottom w:val="single" w:sz="4" w:space="1" w:color="auto"/>
          <w:right w:val="single" w:sz="4" w:space="4" w:color="auto"/>
        </w:pBdr>
      </w:pPr>
      <w:r w:rsidRPr="00796185">
        <w:t xml:space="preserve">This field defines whether the UE supports performing eNB-configured </w:t>
      </w:r>
      <w:r>
        <w:t>NR SSB</w:t>
      </w:r>
      <w:r w:rsidRPr="00796185">
        <w:t xml:space="preserve">-based RRM measurements for configured carrier(s) in RRC_IDLE </w:t>
      </w:r>
      <w:r>
        <w:t xml:space="preserve">and in RRC_INACTIVE (if the UE supports </w:t>
      </w:r>
      <w:r w:rsidRPr="00E06DD7">
        <w:rPr>
          <w:i/>
        </w:rPr>
        <w:t>inactiveState-r15</w:t>
      </w:r>
      <w:r>
        <w:t>)</w:t>
      </w:r>
      <w:r w:rsidRPr="00796185">
        <w:t xml:space="preserve">, including reporting them when requested by </w:t>
      </w:r>
      <w:r>
        <w:t xml:space="preserve">the </w:t>
      </w:r>
      <w:r w:rsidRPr="00796185">
        <w:t xml:space="preserve">eNB while </w:t>
      </w:r>
      <w:r>
        <w:t xml:space="preserve">resuming from RRC_IDLE/RRC_INACTIVE or </w:t>
      </w:r>
      <w:r w:rsidRPr="00796185">
        <w:t>in RRC_CONNECTED, as specified in TS 36.331 [5].</w:t>
      </w:r>
    </w:p>
    <w:p w14:paraId="6508970E" w14:textId="77777777" w:rsidR="00F455F5" w:rsidRPr="009A674F" w:rsidRDefault="00F455F5" w:rsidP="00E50EC6">
      <w:pPr>
        <w:pBdr>
          <w:top w:val="single" w:sz="4" w:space="1" w:color="auto"/>
          <w:left w:val="single" w:sz="4" w:space="4" w:color="auto"/>
          <w:bottom w:val="single" w:sz="4" w:space="1" w:color="auto"/>
          <w:right w:val="single" w:sz="4" w:space="4" w:color="auto"/>
        </w:pBdr>
        <w:rPr>
          <w:highlight w:val="yellow"/>
          <w:lang w:eastAsia="x-none"/>
        </w:rPr>
      </w:pPr>
      <w:r w:rsidRPr="009A674F">
        <w:rPr>
          <w:highlight w:val="yellow"/>
        </w:rPr>
        <w:t xml:space="preserve">FFS1: Is the UE that supports this feature required to also support </w:t>
      </w:r>
      <w:r w:rsidRPr="009A674F">
        <w:rPr>
          <w:i/>
          <w:highlight w:val="yellow"/>
          <w:lang w:eastAsia="x-none"/>
        </w:rPr>
        <w:t>ca-IdleInactiveMeasurements-r16</w:t>
      </w:r>
      <w:r w:rsidRPr="009A674F">
        <w:rPr>
          <w:highlight w:val="yellow"/>
          <w:lang w:eastAsia="x-none"/>
        </w:rPr>
        <w:t>?</w:t>
      </w:r>
    </w:p>
    <w:p w14:paraId="2E739929" w14:textId="687510A3" w:rsidR="00EF5605" w:rsidRDefault="00F455F5" w:rsidP="00E50EC6">
      <w:pPr>
        <w:pBdr>
          <w:top w:val="single" w:sz="4" w:space="1" w:color="auto"/>
          <w:left w:val="single" w:sz="4" w:space="4" w:color="auto"/>
          <w:bottom w:val="single" w:sz="4" w:space="1" w:color="auto"/>
          <w:right w:val="single" w:sz="4" w:space="4" w:color="auto"/>
        </w:pBdr>
      </w:pPr>
      <w:r w:rsidRPr="009A674F">
        <w:rPr>
          <w:highlight w:val="yellow"/>
        </w:rPr>
        <w:t>FFS2: Separate capability for RRC_IDLE and RRC_INACTIVE.</w:t>
      </w:r>
    </w:p>
    <w:p w14:paraId="2930EBA7" w14:textId="731E7499" w:rsidR="00F743FB" w:rsidRDefault="00D7393A" w:rsidP="00F743FB">
      <w:pPr>
        <w:pStyle w:val="BodyText"/>
      </w:pPr>
      <w:r>
        <w:t xml:space="preserve">On FFS1 above, </w:t>
      </w:r>
      <w:r w:rsidR="004448BC">
        <w:t xml:space="preserve">the association of </w:t>
      </w:r>
      <w:r w:rsidR="00464CE3" w:rsidRPr="00464CE3">
        <w:rPr>
          <w:i/>
          <w:iCs/>
        </w:rPr>
        <w:t>ca-IdleInactiveMeasurements-r16</w:t>
      </w:r>
      <w:r w:rsidR="002B4D5F">
        <w:rPr>
          <w:i/>
          <w:iCs/>
        </w:rPr>
        <w:t xml:space="preserve"> </w:t>
      </w:r>
      <w:r w:rsidR="002B4D5F">
        <w:t xml:space="preserve">with </w:t>
      </w:r>
      <w:r w:rsidR="002B4D5F">
        <w:rPr>
          <w:i/>
        </w:rPr>
        <w:t>endc-IdleInactive</w:t>
      </w:r>
      <w:r w:rsidR="002B4D5F" w:rsidRPr="00A926EF">
        <w:rPr>
          <w:i/>
        </w:rPr>
        <w:t>Measurements-r16</w:t>
      </w:r>
      <w:r w:rsidR="002B4D5F">
        <w:rPr>
          <w:i/>
        </w:rPr>
        <w:t xml:space="preserve"> </w:t>
      </w:r>
      <w:r w:rsidR="002B4D5F">
        <w:rPr>
          <w:iCs/>
        </w:rPr>
        <w:t xml:space="preserve">may be cumbersome since </w:t>
      </w:r>
      <w:r w:rsidR="000E280D" w:rsidRPr="00464CE3">
        <w:rPr>
          <w:i/>
          <w:iCs/>
        </w:rPr>
        <w:t>ca-IdleInactiveMeasurements-r16</w:t>
      </w:r>
      <w:r w:rsidR="000E280D">
        <w:rPr>
          <w:i/>
          <w:iCs/>
        </w:rPr>
        <w:t xml:space="preserve"> </w:t>
      </w:r>
      <w:r w:rsidR="000E280D">
        <w:t xml:space="preserve">is associated with yet another feature from </w:t>
      </w:r>
      <w:r w:rsidR="004662D9">
        <w:t>R</w:t>
      </w:r>
      <w:r w:rsidR="000E280D">
        <w:t xml:space="preserve">elease 15. </w:t>
      </w:r>
      <w:r w:rsidR="001D7D2C">
        <w:t xml:space="preserve">As the features are fairly independent </w:t>
      </w:r>
      <w:r w:rsidR="00EC6A96">
        <w:t xml:space="preserve">it could be easier to not associate </w:t>
      </w:r>
      <w:r w:rsidR="00677232">
        <w:t>them.</w:t>
      </w:r>
      <w:r w:rsidR="00B570A8">
        <w:t xml:space="preserve"> For differentiation between </w:t>
      </w:r>
      <w:r w:rsidR="00B570A8" w:rsidRPr="00F87CA2">
        <w:t>RRC_IDLE and RRC_INACTIVE</w:t>
      </w:r>
      <w:r w:rsidR="00636516">
        <w:t xml:space="preserve"> (FFS2)</w:t>
      </w:r>
      <w:r w:rsidR="00B570A8">
        <w:t>, there seems to be no need to handle this case different from the NR case, therefore, a single capability indication would suffice</w:t>
      </w:r>
      <w:r w:rsidR="00B570A8" w:rsidRPr="00F87CA2">
        <w:t>.</w:t>
      </w:r>
      <w:r w:rsidR="00B570A8">
        <w:t xml:space="preserve"> </w:t>
      </w:r>
    </w:p>
    <w:p w14:paraId="4D72CFFE" w14:textId="12C8E29A" w:rsidR="00CA2E1B" w:rsidRDefault="00B83F0D" w:rsidP="00F743FB">
      <w:pPr>
        <w:pStyle w:val="Proposal"/>
      </w:pPr>
      <w:bookmarkStart w:id="11" w:name="_Toc37352996"/>
      <w:r>
        <w:t>A single</w:t>
      </w:r>
      <w:r w:rsidR="00925B8B">
        <w:t xml:space="preserve"> per-UE</w:t>
      </w:r>
      <w:r>
        <w:t xml:space="preserve"> field is used to indicate UE support in </w:t>
      </w:r>
      <w:r w:rsidRPr="003A76BB">
        <w:rPr>
          <w:i/>
          <w:iCs/>
        </w:rPr>
        <w:t>UE-</w:t>
      </w:r>
      <w:r w:rsidR="00080925">
        <w:rPr>
          <w:i/>
          <w:iCs/>
        </w:rPr>
        <w:t>EUTRA</w:t>
      </w:r>
      <w:r w:rsidRPr="003A76BB">
        <w:rPr>
          <w:i/>
          <w:iCs/>
        </w:rPr>
        <w:t>-Capability</w:t>
      </w:r>
      <w:r>
        <w:t xml:space="preserve"> for NR early measurements</w:t>
      </w:r>
      <w:r w:rsidR="00EE579E">
        <w:t xml:space="preserve"> </w:t>
      </w:r>
      <w:r w:rsidR="00EE579E" w:rsidRPr="00EE579E">
        <w:t>for RRC_IDLE and RRC_INACTIVE</w:t>
      </w:r>
      <w:r>
        <w:t>.</w:t>
      </w:r>
      <w:r w:rsidR="005022BC">
        <w:t xml:space="preserve"> </w:t>
      </w:r>
      <w:r w:rsidR="002425DF">
        <w:t>A UE that supports t</w:t>
      </w:r>
      <w:r w:rsidR="005022BC">
        <w:t xml:space="preserve">his capability is not </w:t>
      </w:r>
      <w:r w:rsidR="00D20A23">
        <w:t xml:space="preserve">required to support </w:t>
      </w:r>
      <w:r w:rsidR="00B570A8" w:rsidRPr="00B570A8">
        <w:rPr>
          <w:i/>
          <w:iCs/>
        </w:rPr>
        <w:t>ca-IdleInactiveMeasurements-r16</w:t>
      </w:r>
      <w:r w:rsidR="00B570A8">
        <w:t>.</w:t>
      </w:r>
      <w:bookmarkEnd w:id="11"/>
    </w:p>
    <w:p w14:paraId="35820707" w14:textId="3C0CF821" w:rsidR="006E1665" w:rsidRDefault="006E1665" w:rsidP="006E1665">
      <w:pPr>
        <w:pStyle w:val="BodyText"/>
      </w:pPr>
      <w:r>
        <w:t xml:space="preserve">For validity area of </w:t>
      </w:r>
      <w:r w:rsidR="000D1CF2">
        <w:t>E-UTRA configured measurements to be performed in RRC_IDLE/INACTIVE</w:t>
      </w:r>
      <w:r>
        <w:t xml:space="preserve">, the following </w:t>
      </w:r>
      <w:r w:rsidR="00563EB9">
        <w:t>FFS w</w:t>
      </w:r>
      <w:r w:rsidR="00C95024">
        <w:t>as</w:t>
      </w:r>
      <w:r w:rsidR="00563EB9">
        <w:t xml:space="preserve"> included</w:t>
      </w:r>
      <w:r>
        <w:t>:</w:t>
      </w:r>
    </w:p>
    <w:p w14:paraId="1987DAEF" w14:textId="77777777" w:rsidR="00F455F5" w:rsidRPr="004A412A" w:rsidRDefault="00F455F5" w:rsidP="00616B95">
      <w:pPr>
        <w:pStyle w:val="Heading4"/>
        <w:pBdr>
          <w:top w:val="single" w:sz="4" w:space="1" w:color="auto"/>
          <w:left w:val="single" w:sz="4" w:space="4" w:color="auto"/>
          <w:bottom w:val="single" w:sz="4" w:space="1" w:color="auto"/>
          <w:right w:val="single" w:sz="4" w:space="4" w:color="auto"/>
        </w:pBdr>
      </w:pPr>
      <w:r w:rsidRPr="004A412A">
        <w:t>4.3.6.x3</w:t>
      </w:r>
      <w:r w:rsidRPr="004A412A">
        <w:tab/>
      </w:r>
      <w:r w:rsidRPr="004A412A">
        <w:rPr>
          <w:i/>
        </w:rPr>
        <w:t>idleInactiveValidityAreaList-r16</w:t>
      </w:r>
    </w:p>
    <w:p w14:paraId="0BE6D061" w14:textId="77777777" w:rsidR="00F455F5" w:rsidRPr="004A412A" w:rsidRDefault="00F455F5" w:rsidP="00616B95">
      <w:pPr>
        <w:pBdr>
          <w:top w:val="single" w:sz="4" w:space="1" w:color="auto"/>
          <w:left w:val="single" w:sz="4" w:space="4" w:color="auto"/>
          <w:bottom w:val="single" w:sz="4" w:space="1" w:color="auto"/>
          <w:right w:val="single" w:sz="4" w:space="4" w:color="auto"/>
        </w:pBdr>
      </w:pPr>
      <w:r w:rsidRPr="004A412A">
        <w:t xml:space="preserve">This field defines whether the UE supports configuration of </w:t>
      </w:r>
      <w:r w:rsidRPr="004A412A">
        <w:rPr>
          <w:i/>
        </w:rPr>
        <w:t>validityAreaList-r16</w:t>
      </w:r>
      <w:r w:rsidRPr="004A412A">
        <w:t xml:space="preserve"> for performing eNB-configured measurements for configured carrier(s) in RRC_IDLE and in RRC_INACTIVE, as specified in TS 36.331 [5].</w:t>
      </w:r>
    </w:p>
    <w:p w14:paraId="30D4CCA4" w14:textId="77777777" w:rsidR="00F455F5" w:rsidRPr="004A412A" w:rsidRDefault="00F455F5" w:rsidP="00616B95">
      <w:pPr>
        <w:pBdr>
          <w:top w:val="single" w:sz="4" w:space="1" w:color="auto"/>
          <w:left w:val="single" w:sz="4" w:space="4" w:color="auto"/>
          <w:bottom w:val="single" w:sz="4" w:space="1" w:color="auto"/>
          <w:right w:val="single" w:sz="4" w:space="4" w:color="auto"/>
        </w:pBdr>
        <w:rPr>
          <w:lang w:eastAsia="x-none"/>
        </w:rPr>
      </w:pPr>
      <w:r w:rsidRPr="004A412A">
        <w:t xml:space="preserve">A UE that supports this feature shall also support </w:t>
      </w:r>
      <w:r w:rsidRPr="004A412A">
        <w:rPr>
          <w:i/>
        </w:rPr>
        <w:t>ca-IdleInactiveMeasurements-r16</w:t>
      </w:r>
      <w:r w:rsidRPr="004A412A">
        <w:t xml:space="preserve"> and/or </w:t>
      </w:r>
      <w:r w:rsidRPr="004A412A">
        <w:rPr>
          <w:i/>
        </w:rPr>
        <w:t>endc-IdleInactiveMeasurements-r16</w:t>
      </w:r>
      <w:r w:rsidRPr="004A412A">
        <w:t xml:space="preserve">. </w:t>
      </w:r>
    </w:p>
    <w:p w14:paraId="6EBB7A47" w14:textId="77777777" w:rsidR="00F455F5" w:rsidRDefault="00F455F5" w:rsidP="00616B95">
      <w:pPr>
        <w:pBdr>
          <w:top w:val="single" w:sz="4" w:space="1" w:color="auto"/>
          <w:left w:val="single" w:sz="4" w:space="4" w:color="auto"/>
          <w:bottom w:val="single" w:sz="4" w:space="1" w:color="auto"/>
          <w:right w:val="single" w:sz="4" w:space="4" w:color="auto"/>
        </w:pBdr>
      </w:pPr>
      <w:r w:rsidRPr="009A674F">
        <w:rPr>
          <w:highlight w:val="yellow"/>
        </w:rPr>
        <w:t xml:space="preserve">FFS: </w:t>
      </w:r>
      <w:r w:rsidRPr="009A674F">
        <w:rPr>
          <w:highlight w:val="yellow"/>
          <w:lang w:eastAsia="x-none"/>
        </w:rPr>
        <w:t xml:space="preserve">A UE that supports this feature shall also support </w:t>
      </w:r>
      <w:r w:rsidRPr="009A674F">
        <w:rPr>
          <w:i/>
          <w:highlight w:val="yellow"/>
          <w:lang w:eastAsia="x-none"/>
        </w:rPr>
        <w:t>ca-IdleModeValidityArea-r15</w:t>
      </w:r>
      <w:r w:rsidRPr="009A674F">
        <w:rPr>
          <w:highlight w:val="yellow"/>
          <w:lang w:eastAsia="x-none"/>
        </w:rPr>
        <w:t>.</w:t>
      </w:r>
    </w:p>
    <w:p w14:paraId="6BBF00A0" w14:textId="24CDEC41" w:rsidR="00F455F5" w:rsidRPr="00161B1E" w:rsidRDefault="00632E7B" w:rsidP="00800C15">
      <w:pPr>
        <w:pStyle w:val="BodyText"/>
      </w:pPr>
      <w:r>
        <w:lastRenderedPageBreak/>
        <w:t xml:space="preserve">Our understanding of </w:t>
      </w:r>
      <w:r w:rsidR="00A2389A" w:rsidRPr="00A2389A">
        <w:rPr>
          <w:i/>
          <w:iCs/>
        </w:rPr>
        <w:t>idleInactiveValidityAreaList-r16</w:t>
      </w:r>
      <w:r w:rsidR="00A2389A">
        <w:t xml:space="preserve"> is that it should be applicable </w:t>
      </w:r>
      <w:r w:rsidR="00053DC6">
        <w:t xml:space="preserve">strictly </w:t>
      </w:r>
      <w:r w:rsidR="00574389">
        <w:t xml:space="preserve">to </w:t>
      </w:r>
      <w:r w:rsidR="004A707D" w:rsidRPr="004A707D">
        <w:rPr>
          <w:i/>
          <w:iCs/>
        </w:rPr>
        <w:t>ca-IdleInactiveMeasurements-r16</w:t>
      </w:r>
      <w:r w:rsidR="004A707D" w:rsidRPr="004A707D">
        <w:t xml:space="preserve"> and </w:t>
      </w:r>
      <w:r w:rsidR="004A707D" w:rsidRPr="004A707D">
        <w:rPr>
          <w:i/>
          <w:iCs/>
        </w:rPr>
        <w:t>endc-IdleInactiveMeasurements-r16</w:t>
      </w:r>
      <w:r w:rsidR="004A707D" w:rsidRPr="004A707D">
        <w:t>.</w:t>
      </w:r>
      <w:r w:rsidR="0066154A">
        <w:t xml:space="preserve"> </w:t>
      </w:r>
      <w:r w:rsidR="00FB5A95">
        <w:t xml:space="preserve">From that perspective, there would be no need for the UE to support </w:t>
      </w:r>
      <w:r w:rsidR="00A2377A" w:rsidRPr="00A2377A">
        <w:rPr>
          <w:i/>
          <w:iCs/>
        </w:rPr>
        <w:t>ca-IdleModeValidityArea-r15</w:t>
      </w:r>
      <w:r w:rsidR="00A2377A">
        <w:t xml:space="preserve"> as well.</w:t>
      </w:r>
      <w:r w:rsidR="00405244">
        <w:t xml:space="preserve"> However</w:t>
      </w:r>
      <w:r w:rsidR="00FE2862">
        <w:t xml:space="preserve">, </w:t>
      </w:r>
      <w:r w:rsidR="005A46C2">
        <w:t xml:space="preserve">since </w:t>
      </w:r>
      <w:r w:rsidR="005A46C2" w:rsidRPr="00781209">
        <w:rPr>
          <w:i/>
          <w:iCs/>
        </w:rPr>
        <w:t>ca-IdleInactiveMeasurements-r16</w:t>
      </w:r>
      <w:r w:rsidR="005A46C2">
        <w:t xml:space="preserve"> support is tied to </w:t>
      </w:r>
      <w:r w:rsidR="00781209" w:rsidRPr="00781209">
        <w:rPr>
          <w:i/>
          <w:iCs/>
        </w:rPr>
        <w:t>ca-IdleModeMeasurements-r15</w:t>
      </w:r>
      <w:r w:rsidR="00F638D7">
        <w:t>, as depicted below (</w:t>
      </w:r>
      <w:r w:rsidR="00627716">
        <w:t xml:space="preserve">it is assumed the intention below was to </w:t>
      </w:r>
      <w:r w:rsidR="00E269CF">
        <w:t xml:space="preserve">state </w:t>
      </w:r>
      <w:r w:rsidR="00710982" w:rsidRPr="00781209">
        <w:rPr>
          <w:i/>
          <w:iCs/>
        </w:rPr>
        <w:t>ca-IdleModeMeasurements-r15</w:t>
      </w:r>
      <w:r w:rsidR="00710982">
        <w:rPr>
          <w:i/>
          <w:iCs/>
        </w:rPr>
        <w:t xml:space="preserve"> </w:t>
      </w:r>
      <w:r w:rsidR="007B7D81">
        <w:t>instead of</w:t>
      </w:r>
      <w:r w:rsidR="00C36BE8">
        <w:t xml:space="preserve"> </w:t>
      </w:r>
      <w:r w:rsidR="00C36BE8" w:rsidRPr="008A17DB">
        <w:rPr>
          <w:i/>
          <w:iCs/>
        </w:rPr>
        <w:t>ca-IdleInactiveMeasurements-r15</w:t>
      </w:r>
      <w:r w:rsidR="00F638D7">
        <w:t>)</w:t>
      </w:r>
      <w:r w:rsidR="002E6EC3">
        <w:t xml:space="preserve">, a condition can be added </w:t>
      </w:r>
      <w:r w:rsidR="00562A29">
        <w:t xml:space="preserve">for the </w:t>
      </w:r>
      <w:r w:rsidR="00A25AA3">
        <w:t xml:space="preserve">specific case of </w:t>
      </w:r>
      <w:r w:rsidR="00562A29">
        <w:t xml:space="preserve">support of </w:t>
      </w:r>
      <w:r w:rsidR="00161B1E" w:rsidRPr="004A707D">
        <w:rPr>
          <w:i/>
          <w:iCs/>
        </w:rPr>
        <w:t>ca-IdleInactiveMeasurements-r16</w:t>
      </w:r>
      <w:r w:rsidR="00161B1E">
        <w:t>.</w:t>
      </w:r>
    </w:p>
    <w:p w14:paraId="2FDD224F" w14:textId="77777777" w:rsidR="00505AFF" w:rsidRPr="00505AFF" w:rsidRDefault="00505AFF" w:rsidP="00505AFF">
      <w:pPr>
        <w:pStyle w:val="BodyText"/>
        <w:pBdr>
          <w:top w:val="single" w:sz="4" w:space="1" w:color="auto"/>
          <w:left w:val="single" w:sz="4" w:space="4" w:color="auto"/>
          <w:bottom w:val="single" w:sz="4" w:space="1" w:color="auto"/>
          <w:right w:val="single" w:sz="4" w:space="4" w:color="auto"/>
        </w:pBdr>
        <w:rPr>
          <w:rFonts w:cs="Arial"/>
          <w:sz w:val="24"/>
          <w:szCs w:val="24"/>
        </w:rPr>
      </w:pPr>
      <w:r w:rsidRPr="00505AFF">
        <w:rPr>
          <w:rFonts w:cs="Arial"/>
          <w:sz w:val="24"/>
          <w:szCs w:val="24"/>
        </w:rPr>
        <w:t xml:space="preserve">4.3.6.x1          </w:t>
      </w:r>
      <w:r w:rsidRPr="00505AFF">
        <w:rPr>
          <w:rFonts w:cs="Arial"/>
          <w:i/>
          <w:sz w:val="24"/>
          <w:szCs w:val="24"/>
        </w:rPr>
        <w:t>ca-IdleInactiveMeasurements-r16</w:t>
      </w:r>
    </w:p>
    <w:p w14:paraId="517A0991" w14:textId="77777777" w:rsidR="00505AFF" w:rsidRPr="00505AFF" w:rsidRDefault="00505AFF" w:rsidP="00505AFF">
      <w:pPr>
        <w:pStyle w:val="BodyText"/>
        <w:pBdr>
          <w:top w:val="single" w:sz="4" w:space="1" w:color="auto"/>
          <w:left w:val="single" w:sz="4" w:space="4" w:color="auto"/>
          <w:bottom w:val="single" w:sz="4" w:space="1" w:color="auto"/>
          <w:right w:val="single" w:sz="4" w:space="4" w:color="auto"/>
        </w:pBdr>
        <w:rPr>
          <w:rFonts w:ascii="Times New Roman" w:hAnsi="Times New Roman"/>
        </w:rPr>
      </w:pPr>
      <w:r w:rsidRPr="00505AFF">
        <w:rPr>
          <w:rFonts w:ascii="Times New Roman" w:hAnsi="Times New Roman"/>
        </w:rPr>
        <w:t>This field defines whether the UE supports:</w:t>
      </w:r>
    </w:p>
    <w:p w14:paraId="51CDDA7D" w14:textId="77777777" w:rsidR="00505AFF" w:rsidRPr="00505AFF" w:rsidRDefault="00505AFF" w:rsidP="00505AFF">
      <w:pPr>
        <w:pStyle w:val="BodyText"/>
        <w:pBdr>
          <w:top w:val="single" w:sz="4" w:space="1" w:color="auto"/>
          <w:left w:val="single" w:sz="4" w:space="4" w:color="auto"/>
          <w:bottom w:val="single" w:sz="4" w:space="1" w:color="auto"/>
          <w:right w:val="single" w:sz="4" w:space="4" w:color="auto"/>
        </w:pBdr>
        <w:rPr>
          <w:rFonts w:ascii="Times New Roman" w:hAnsi="Times New Roman"/>
        </w:rPr>
      </w:pPr>
      <w:r w:rsidRPr="00505AFF">
        <w:rPr>
          <w:rFonts w:ascii="Times New Roman" w:hAnsi="Times New Roman"/>
        </w:rPr>
        <w:t>-</w:t>
      </w:r>
      <w:r w:rsidRPr="00505AFF">
        <w:rPr>
          <w:rFonts w:ascii="Times New Roman" w:hAnsi="Times New Roman"/>
        </w:rPr>
        <w:tab/>
        <w:t xml:space="preserve">(if the UE supports </w:t>
      </w:r>
      <w:r w:rsidRPr="00505AFF">
        <w:rPr>
          <w:rFonts w:ascii="Times New Roman" w:hAnsi="Times New Roman"/>
          <w:i/>
        </w:rPr>
        <w:t>inactiveState-r15</w:t>
      </w:r>
      <w:r w:rsidRPr="00505AFF">
        <w:rPr>
          <w:rFonts w:ascii="Times New Roman" w:hAnsi="Times New Roman"/>
        </w:rPr>
        <w:t>), performing eNB-configured CRS-based RRM measurements for configured carrier(s) in RRC_INACTIVE, including reporting them when requested by the eNB while resuming from RRC_INACTIVE or in RRC_CONNECTED, as specified in TS 36.331 [5];</w:t>
      </w:r>
    </w:p>
    <w:p w14:paraId="6143CCF1" w14:textId="77777777" w:rsidR="00505AFF" w:rsidRPr="00505AFF" w:rsidRDefault="00505AFF" w:rsidP="00505AFF">
      <w:pPr>
        <w:pStyle w:val="BodyText"/>
        <w:pBdr>
          <w:top w:val="single" w:sz="4" w:space="1" w:color="auto"/>
          <w:left w:val="single" w:sz="4" w:space="4" w:color="auto"/>
          <w:bottom w:val="single" w:sz="4" w:space="1" w:color="auto"/>
          <w:right w:val="single" w:sz="4" w:space="4" w:color="auto"/>
        </w:pBdr>
        <w:rPr>
          <w:rFonts w:ascii="Times New Roman" w:hAnsi="Times New Roman"/>
        </w:rPr>
      </w:pPr>
      <w:r w:rsidRPr="00505AFF">
        <w:rPr>
          <w:rFonts w:ascii="Times New Roman" w:hAnsi="Times New Roman"/>
        </w:rPr>
        <w:t>-</w:t>
      </w:r>
      <w:r w:rsidRPr="00505AFF">
        <w:rPr>
          <w:rFonts w:ascii="Times New Roman" w:hAnsi="Times New Roman"/>
        </w:rPr>
        <w:tab/>
        <w:t>(if the UE supports RRC connection suspension), reporting eNB-configured CRS-based RRM measurements for configured carrier(s) in RRC_IDLE while resuming the RRC connection from RRC_IDLE, as specified in TS 36.331 [5];</w:t>
      </w:r>
    </w:p>
    <w:p w14:paraId="7AC6588D" w14:textId="36628200" w:rsidR="00F638D7" w:rsidRPr="00677A0F" w:rsidRDefault="00505AFF" w:rsidP="00505AFF">
      <w:pPr>
        <w:pStyle w:val="BodyText"/>
        <w:pBdr>
          <w:top w:val="single" w:sz="4" w:space="1" w:color="auto"/>
          <w:left w:val="single" w:sz="4" w:space="4" w:color="auto"/>
          <w:bottom w:val="single" w:sz="4" w:space="1" w:color="auto"/>
          <w:right w:val="single" w:sz="4" w:space="4" w:color="auto"/>
        </w:pBdr>
        <w:rPr>
          <w:rFonts w:ascii="Times New Roman" w:hAnsi="Times New Roman"/>
        </w:rPr>
      </w:pPr>
      <w:r w:rsidRPr="00505AFF">
        <w:rPr>
          <w:rFonts w:ascii="Times New Roman" w:hAnsi="Times New Roman"/>
          <w:highlight w:val="yellow"/>
        </w:rPr>
        <w:t xml:space="preserve">A UE that supports this feature shall also support </w:t>
      </w:r>
      <w:r w:rsidRPr="00505AFF">
        <w:rPr>
          <w:rFonts w:ascii="Times New Roman" w:hAnsi="Times New Roman"/>
          <w:i/>
          <w:highlight w:val="yellow"/>
        </w:rPr>
        <w:t>ca-IdleInactiveMeasurements-r15</w:t>
      </w:r>
      <w:r w:rsidRPr="00505AFF">
        <w:rPr>
          <w:rFonts w:ascii="Times New Roman" w:hAnsi="Times New Roman"/>
          <w:highlight w:val="yellow"/>
        </w:rPr>
        <w:t>.</w:t>
      </w:r>
    </w:p>
    <w:p w14:paraId="62E52164" w14:textId="32A737E2" w:rsidR="00BD4D93" w:rsidRDefault="0057447D" w:rsidP="00800C15">
      <w:pPr>
        <w:pStyle w:val="Proposal"/>
      </w:pPr>
      <w:bookmarkStart w:id="12" w:name="_Toc37352997"/>
      <w:r>
        <w:t>A UE that indicates</w:t>
      </w:r>
      <w:r w:rsidR="000D7B08">
        <w:t xml:space="preserve"> support</w:t>
      </w:r>
      <w:r>
        <w:t xml:space="preserve"> for</w:t>
      </w:r>
      <w:r w:rsidR="000D7B08">
        <w:t xml:space="preserve"> </w:t>
      </w:r>
      <w:r w:rsidR="004F43CA" w:rsidRPr="008F298A">
        <w:rPr>
          <w:i/>
          <w:iCs/>
        </w:rPr>
        <w:t>ca-IdleInactiveMeasurements-r16</w:t>
      </w:r>
      <w:r w:rsidR="004F43CA">
        <w:t xml:space="preserve"> and</w:t>
      </w:r>
      <w:r>
        <w:t xml:space="preserve"> </w:t>
      </w:r>
      <w:r w:rsidR="00A66898" w:rsidRPr="0044733E">
        <w:rPr>
          <w:i/>
          <w:iCs/>
        </w:rPr>
        <w:t>idleInactiveValidityAreaList-r16</w:t>
      </w:r>
      <w:r w:rsidR="0076583D">
        <w:t xml:space="preserve">, should also indicate support for </w:t>
      </w:r>
      <w:r w:rsidR="00242F65" w:rsidRPr="00242F65">
        <w:rPr>
          <w:i/>
          <w:iCs/>
        </w:rPr>
        <w:t>ca-IdleModeValidityArea-r15</w:t>
      </w:r>
      <w:r>
        <w:t>.</w:t>
      </w:r>
      <w:bookmarkEnd w:id="12"/>
      <w:r w:rsidR="004F43CA">
        <w:t xml:space="preserve"> </w:t>
      </w:r>
    </w:p>
    <w:p w14:paraId="3B108D58" w14:textId="542DE0E7" w:rsidR="009539EC" w:rsidRDefault="003C77A4" w:rsidP="00800C15">
      <w:pPr>
        <w:pStyle w:val="BodyText"/>
      </w:pPr>
      <w:r>
        <w:t xml:space="preserve">For resume of SCells in E-UTRA, the FFSs below were captured. </w:t>
      </w:r>
      <w:r w:rsidR="00EB4731">
        <w:t xml:space="preserve">We assume the </w:t>
      </w:r>
      <w:r w:rsidR="00A9487C">
        <w:t>FFS1</w:t>
      </w:r>
      <w:r w:rsidR="00EB4731">
        <w:t xml:space="preserve"> on </w:t>
      </w:r>
      <w:r w:rsidR="00EB4731" w:rsidRPr="00EB4731">
        <w:t>"(re-)configuration of an SCG during the resume procedure"</w:t>
      </w:r>
      <w:r w:rsidR="00EB4731">
        <w:t xml:space="preserve"> is meant to be </w:t>
      </w:r>
      <w:r w:rsidR="00EB4731" w:rsidRPr="00D85237">
        <w:t xml:space="preserve">"(re-)configuration of an </w:t>
      </w:r>
      <w:r w:rsidR="00EB4731" w:rsidRPr="00A70DCE">
        <w:rPr>
          <w:u w:val="single"/>
        </w:rPr>
        <w:t>SC</w:t>
      </w:r>
      <w:r w:rsidR="00E954E9" w:rsidRPr="00A70DCE">
        <w:rPr>
          <w:u w:val="single"/>
        </w:rPr>
        <w:t>ell</w:t>
      </w:r>
      <w:r w:rsidR="00EB4731" w:rsidRPr="00D85237">
        <w:t xml:space="preserve"> during the resume procedure".</w:t>
      </w:r>
    </w:p>
    <w:p w14:paraId="4304D923" w14:textId="77777777" w:rsidR="009539EC" w:rsidRPr="00D85237" w:rsidRDefault="009539EC" w:rsidP="00616B95">
      <w:pPr>
        <w:pStyle w:val="Heading4"/>
        <w:pBdr>
          <w:top w:val="single" w:sz="4" w:space="1" w:color="auto"/>
          <w:left w:val="single" w:sz="4" w:space="4" w:color="auto"/>
          <w:bottom w:val="single" w:sz="4" w:space="1" w:color="auto"/>
          <w:right w:val="single" w:sz="4" w:space="4" w:color="auto"/>
        </w:pBdr>
      </w:pPr>
      <w:bookmarkStart w:id="13" w:name="_Toc29241429"/>
      <w:r w:rsidRPr="00D85237">
        <w:t>4.3.15.x1</w:t>
      </w:r>
      <w:r w:rsidRPr="00D85237">
        <w:tab/>
      </w:r>
      <w:r w:rsidRPr="00D85237">
        <w:rPr>
          <w:i/>
        </w:rPr>
        <w:t>resumeWithSCells -r16</w:t>
      </w:r>
    </w:p>
    <w:p w14:paraId="2C0AFD84" w14:textId="77777777" w:rsidR="009539EC" w:rsidRPr="00D85237" w:rsidRDefault="009539EC" w:rsidP="00616B95">
      <w:pPr>
        <w:pBdr>
          <w:top w:val="single" w:sz="4" w:space="1" w:color="auto"/>
          <w:left w:val="single" w:sz="4" w:space="4" w:color="auto"/>
          <w:bottom w:val="single" w:sz="4" w:space="1" w:color="auto"/>
          <w:right w:val="single" w:sz="4" w:space="4" w:color="auto"/>
        </w:pBdr>
      </w:pPr>
      <w:r w:rsidRPr="00D85237">
        <w:t xml:space="preserve">This parameter defines whether the UE supports not deleting the stored MCG SCell configuration when initiating the resume procedure and (re-)configuration of MCG SCells in the </w:t>
      </w:r>
      <w:r w:rsidRPr="00D85237">
        <w:rPr>
          <w:i/>
        </w:rPr>
        <w:t>RRCConnectionResume</w:t>
      </w:r>
      <w:r w:rsidRPr="00D85237">
        <w:t xml:space="preserve"> message as specified in TS 36.331 [5].</w:t>
      </w:r>
    </w:p>
    <w:p w14:paraId="3CAC76B6" w14:textId="77777777" w:rsidR="009539EC" w:rsidRPr="00D85237" w:rsidRDefault="009539EC" w:rsidP="00616B95">
      <w:pPr>
        <w:pBdr>
          <w:top w:val="single" w:sz="4" w:space="1" w:color="auto"/>
          <w:left w:val="single" w:sz="4" w:space="4" w:color="auto"/>
          <w:bottom w:val="single" w:sz="4" w:space="1" w:color="auto"/>
          <w:right w:val="single" w:sz="4" w:space="4" w:color="auto"/>
        </w:pBdr>
      </w:pPr>
      <w:r w:rsidRPr="00D85237">
        <w:t>FFS 1: Split in "not deleting the stored SCell configuration" and "(re-)configuration of an SCG during the resume procedure".</w:t>
      </w:r>
    </w:p>
    <w:p w14:paraId="14804609" w14:textId="7BF37EEA" w:rsidR="00152C1F" w:rsidRDefault="009539EC" w:rsidP="00616B95">
      <w:pPr>
        <w:pBdr>
          <w:top w:val="single" w:sz="4" w:space="1" w:color="auto"/>
          <w:left w:val="single" w:sz="4" w:space="4" w:color="auto"/>
          <w:bottom w:val="single" w:sz="4" w:space="1" w:color="auto"/>
          <w:right w:val="single" w:sz="4" w:space="4" w:color="auto"/>
        </w:pBdr>
      </w:pPr>
      <w:r w:rsidRPr="00D85237">
        <w:t>FFS 2: Split in "resume from RRC_IDLE" and "resume from RRC_INACTIVE".</w:t>
      </w:r>
    </w:p>
    <w:p w14:paraId="0CF59818" w14:textId="582F4E84" w:rsidR="00023246" w:rsidRDefault="00E76688" w:rsidP="00152C1F">
      <w:pPr>
        <w:pStyle w:val="BodyText"/>
      </w:pPr>
      <w:r>
        <w:t>Similarly,</w:t>
      </w:r>
      <w:r w:rsidR="00ED6E3A">
        <w:t xml:space="preserve"> as</w:t>
      </w:r>
      <w:r w:rsidR="00152C1F">
        <w:t xml:space="preserve"> discussed in section 2.1, </w:t>
      </w:r>
      <w:r w:rsidR="00F274A6">
        <w:t>t</w:t>
      </w:r>
      <w:r w:rsidR="00460882">
        <w:t xml:space="preserve">here would be no </w:t>
      </w:r>
      <w:r w:rsidR="004E3C64">
        <w:t>need to have separate capabilit</w:t>
      </w:r>
      <w:r w:rsidR="00023246">
        <w:t>ies between</w:t>
      </w:r>
      <w:r w:rsidR="00CF4352">
        <w:t xml:space="preserve"> </w:t>
      </w:r>
      <w:r w:rsidR="00CF4352" w:rsidRPr="00D85237">
        <w:t>"not deleting the stored SCell configuration" and "(re-)configuration of an SC</w:t>
      </w:r>
      <w:r w:rsidR="00241761">
        <w:t>ell</w:t>
      </w:r>
      <w:r w:rsidR="00CF4352" w:rsidRPr="00D85237">
        <w:t xml:space="preserve"> during the resume procedure"</w:t>
      </w:r>
      <w:r w:rsidR="009E3D3D">
        <w:t xml:space="preserve"> (i.e. s</w:t>
      </w:r>
      <w:r w:rsidR="007835FC">
        <w:t>imilar</w:t>
      </w:r>
      <w:r w:rsidR="009E3D3D">
        <w:t xml:space="preserve"> motivations discussed for NR case in section 2.1</w:t>
      </w:r>
      <w:r w:rsidR="007835FC">
        <w:t xml:space="preserve"> for SCG</w:t>
      </w:r>
      <w:r w:rsidR="009E3D3D">
        <w:t xml:space="preserve"> apply for LTE case</w:t>
      </w:r>
      <w:r w:rsidR="006A315D">
        <w:t xml:space="preserve"> for SCells</w:t>
      </w:r>
      <w:r w:rsidR="009E3D3D">
        <w:t>)</w:t>
      </w:r>
      <w:r w:rsidR="00CF4352" w:rsidRPr="00D85237">
        <w:t>.</w:t>
      </w:r>
      <w:r w:rsidR="00023246">
        <w:t xml:space="preserve"> </w:t>
      </w:r>
    </w:p>
    <w:p w14:paraId="03BB73D7" w14:textId="7948F552" w:rsidR="00023246" w:rsidRDefault="00023246" w:rsidP="00023246">
      <w:pPr>
        <w:pStyle w:val="Proposal"/>
      </w:pPr>
      <w:bookmarkStart w:id="14" w:name="_Toc37352998"/>
      <w:r>
        <w:t xml:space="preserve">A single </w:t>
      </w:r>
      <w:r w:rsidR="00352EC0">
        <w:t xml:space="preserve">per-UE </w:t>
      </w:r>
      <w:r>
        <w:t xml:space="preserve">field is used to indicate UE support in </w:t>
      </w:r>
      <w:r w:rsidRPr="003A76BB">
        <w:rPr>
          <w:i/>
          <w:iCs/>
        </w:rPr>
        <w:t>UE-</w:t>
      </w:r>
      <w:r w:rsidR="00B748F3">
        <w:rPr>
          <w:i/>
          <w:iCs/>
        </w:rPr>
        <w:t>EUTRA</w:t>
      </w:r>
      <w:r w:rsidRPr="003A76BB">
        <w:rPr>
          <w:i/>
          <w:iCs/>
        </w:rPr>
        <w:t>-Capability</w:t>
      </w:r>
      <w:r>
        <w:t xml:space="preserve"> for both: </w:t>
      </w:r>
      <w:r w:rsidRPr="00865777">
        <w:t>not deleting stored SC</w:t>
      </w:r>
      <w:r w:rsidR="00F54F92">
        <w:t>ell</w:t>
      </w:r>
      <w:r w:rsidRPr="00865777">
        <w:t xml:space="preserve"> configuration</w:t>
      </w:r>
      <w:r>
        <w:t xml:space="preserve"> during the resume procedure;</w:t>
      </w:r>
      <w:r w:rsidRPr="00865777">
        <w:t xml:space="preserve"> and (re-)configuration of an SC</w:t>
      </w:r>
      <w:r w:rsidR="002B5C57">
        <w:t>ells</w:t>
      </w:r>
      <w:r w:rsidRPr="00865777">
        <w:t xml:space="preserve"> during the resume procedure.</w:t>
      </w:r>
      <w:bookmarkEnd w:id="14"/>
    </w:p>
    <w:p w14:paraId="41CA2A09" w14:textId="22286F79" w:rsidR="00023246" w:rsidRDefault="00801C88" w:rsidP="00152C1F">
      <w:pPr>
        <w:pStyle w:val="BodyText"/>
      </w:pPr>
      <w:r>
        <w:t xml:space="preserve">Regarding whether to have separation of the capability above between </w:t>
      </w:r>
      <w:r w:rsidR="00E10AC1" w:rsidRPr="00E10AC1">
        <w:t>"resume from RRC_IDLE" and "resume from RRC_INACTIVE"</w:t>
      </w:r>
      <w:r>
        <w:t xml:space="preserve">, </w:t>
      </w:r>
      <w:r w:rsidR="001A10A6">
        <w:t>it could be beneficial</w:t>
      </w:r>
      <w:r w:rsidR="00046DBC">
        <w:t xml:space="preserve"> to have it separate </w:t>
      </w:r>
      <w:r w:rsidR="00994980">
        <w:t>sin</w:t>
      </w:r>
      <w:r w:rsidR="001B4C9B">
        <w:t>ce those procedures would likely be used independently (</w:t>
      </w:r>
      <w:r w:rsidR="00780ED4">
        <w:t>e.g.</w:t>
      </w:r>
      <w:r w:rsidR="001B4C9B">
        <w:t xml:space="preserve"> </w:t>
      </w:r>
      <w:r w:rsidR="00DF6076">
        <w:t xml:space="preserve">for RRC state transitions </w:t>
      </w:r>
      <w:r w:rsidR="00EA2EAA">
        <w:t xml:space="preserve">it may be common that </w:t>
      </w:r>
      <w:r w:rsidR="00DF6076">
        <w:t xml:space="preserve">the network use either </w:t>
      </w:r>
      <w:r w:rsidR="00512FE8">
        <w:t xml:space="preserve">the framework for </w:t>
      </w:r>
      <w:r w:rsidR="00DF6076">
        <w:t xml:space="preserve">resume from RRC_IDLE or </w:t>
      </w:r>
      <w:r w:rsidR="00040B35">
        <w:t xml:space="preserve">the framework for </w:t>
      </w:r>
      <w:r w:rsidR="00DF6076">
        <w:t>resume from RRC_</w:t>
      </w:r>
      <w:r w:rsidR="00A1612A">
        <w:t>I</w:t>
      </w:r>
      <w:r w:rsidR="00DF6076">
        <w:t>NACTIVE</w:t>
      </w:r>
      <w:r w:rsidR="001B4C9B">
        <w:t>)</w:t>
      </w:r>
      <w:r w:rsidR="006F681D">
        <w:t>.</w:t>
      </w:r>
    </w:p>
    <w:p w14:paraId="29642BD6" w14:textId="1E713E79" w:rsidR="00CE1985" w:rsidRDefault="005C3F67" w:rsidP="00152C1F">
      <w:pPr>
        <w:pStyle w:val="Proposal"/>
      </w:pPr>
      <w:bookmarkStart w:id="15" w:name="_Toc37352999"/>
      <w:r>
        <w:t xml:space="preserve">When indicating </w:t>
      </w:r>
      <w:r w:rsidR="00432B33">
        <w:t xml:space="preserve">support </w:t>
      </w:r>
      <w:r w:rsidR="00CD00FF">
        <w:t xml:space="preserve">in </w:t>
      </w:r>
      <w:r w:rsidR="00CD00FF" w:rsidRPr="003A76BB">
        <w:rPr>
          <w:i/>
          <w:iCs/>
        </w:rPr>
        <w:t>UE-</w:t>
      </w:r>
      <w:r w:rsidR="00CD00FF">
        <w:rPr>
          <w:i/>
          <w:iCs/>
        </w:rPr>
        <w:t>EUTRA</w:t>
      </w:r>
      <w:r w:rsidR="00CD00FF" w:rsidRPr="003A76BB">
        <w:rPr>
          <w:i/>
          <w:iCs/>
        </w:rPr>
        <w:t>-Capability</w:t>
      </w:r>
      <w:r w:rsidR="00CD00FF">
        <w:t xml:space="preserve"> </w:t>
      </w:r>
      <w:r w:rsidR="00432B33">
        <w:t xml:space="preserve">for </w:t>
      </w:r>
      <w:r w:rsidR="00434E5E" w:rsidRPr="00434E5E">
        <w:t>not deleting stored MCG SCell configuration</w:t>
      </w:r>
      <w:r w:rsidR="00060787">
        <w:t xml:space="preserve"> </w:t>
      </w:r>
      <w:r w:rsidR="00954B0D" w:rsidRPr="00954B0D">
        <w:t xml:space="preserve">when initiating the resume procedure and (re-)configuration of MCG SCells in the </w:t>
      </w:r>
      <w:r w:rsidR="00954B0D" w:rsidRPr="00680E62">
        <w:rPr>
          <w:i/>
          <w:iCs/>
        </w:rPr>
        <w:t>RRCConnectionResume</w:t>
      </w:r>
      <w:r w:rsidR="00C7718B">
        <w:t xml:space="preserve">, the UE </w:t>
      </w:r>
      <w:r w:rsidR="002A1EB1">
        <w:t xml:space="preserve">may report two different fields: </w:t>
      </w:r>
      <w:r w:rsidR="005905F8">
        <w:t xml:space="preserve">one for </w:t>
      </w:r>
      <w:r w:rsidR="00345407">
        <w:t xml:space="preserve">the </w:t>
      </w:r>
      <w:r w:rsidR="00F06637">
        <w:t xml:space="preserve">support of this feature </w:t>
      </w:r>
      <w:r w:rsidR="00345407" w:rsidRPr="00345407">
        <w:t>in "resume from RRC_IDLE" and</w:t>
      </w:r>
      <w:r w:rsidR="00345407">
        <w:t xml:space="preserve"> one for </w:t>
      </w:r>
      <w:r w:rsidR="009C190A">
        <w:t>the support of this feature in</w:t>
      </w:r>
      <w:r w:rsidR="00345407" w:rsidRPr="00345407">
        <w:t xml:space="preserve"> "resume from RRC_INACTIVE"</w:t>
      </w:r>
      <w:r w:rsidR="009C190A">
        <w:t>.</w:t>
      </w:r>
      <w:bookmarkEnd w:id="15"/>
    </w:p>
    <w:p w14:paraId="1985A1A0" w14:textId="77777777" w:rsidR="001D4752" w:rsidRDefault="001D4752" w:rsidP="00A962F5">
      <w:pPr>
        <w:pStyle w:val="BodyText"/>
      </w:pPr>
    </w:p>
    <w:p w14:paraId="6894AED1" w14:textId="3724CAD2" w:rsidR="00A962F5" w:rsidRPr="00D85237" w:rsidRDefault="0096787A" w:rsidP="00A962F5">
      <w:pPr>
        <w:pStyle w:val="BodyText"/>
      </w:pPr>
      <w:r>
        <w:t>For resume of SC</w:t>
      </w:r>
      <w:r w:rsidR="00725CDE">
        <w:t>G</w:t>
      </w:r>
      <w:r>
        <w:t xml:space="preserve"> </w:t>
      </w:r>
      <w:r w:rsidR="00AD6914">
        <w:t>with MN</w:t>
      </w:r>
      <w:r>
        <w:t xml:space="preserve"> E-UTRA, the</w:t>
      </w:r>
      <w:r w:rsidR="001D4752">
        <w:t xml:space="preserve"> following</w:t>
      </w:r>
      <w:r>
        <w:t xml:space="preserve"> FFSs were captured</w:t>
      </w:r>
      <w:r w:rsidR="001D4752">
        <w:t>:</w:t>
      </w:r>
    </w:p>
    <w:p w14:paraId="6E838A8F" w14:textId="77777777" w:rsidR="009539EC" w:rsidRPr="00D85237" w:rsidRDefault="009539EC" w:rsidP="00616B95">
      <w:pPr>
        <w:pStyle w:val="Heading4"/>
        <w:pBdr>
          <w:top w:val="single" w:sz="4" w:space="1" w:color="auto"/>
          <w:left w:val="single" w:sz="4" w:space="4" w:color="auto"/>
          <w:bottom w:val="single" w:sz="4" w:space="1" w:color="auto"/>
          <w:right w:val="single" w:sz="4" w:space="4" w:color="auto"/>
        </w:pBdr>
      </w:pPr>
      <w:r w:rsidRPr="00D85237">
        <w:t>4.3.15.x2</w:t>
      </w:r>
      <w:r w:rsidRPr="00D85237">
        <w:tab/>
      </w:r>
      <w:r w:rsidRPr="00D85237">
        <w:rPr>
          <w:i/>
        </w:rPr>
        <w:t>resumeWithSCG -r16</w:t>
      </w:r>
    </w:p>
    <w:p w14:paraId="47679339" w14:textId="77777777" w:rsidR="009539EC" w:rsidRPr="00D85237" w:rsidRDefault="009539EC" w:rsidP="00616B95">
      <w:pPr>
        <w:pBdr>
          <w:top w:val="single" w:sz="4" w:space="1" w:color="auto"/>
          <w:left w:val="single" w:sz="4" w:space="4" w:color="auto"/>
          <w:bottom w:val="single" w:sz="4" w:space="1" w:color="auto"/>
          <w:right w:val="single" w:sz="4" w:space="4" w:color="auto"/>
        </w:pBdr>
      </w:pPr>
      <w:r w:rsidRPr="00D85237">
        <w:t xml:space="preserve">This parameter defines whether the UE supports not deleting the stored SCG configuration when initiating the resume procedure and (re-)configuration of SCG in the </w:t>
      </w:r>
      <w:r w:rsidRPr="00D85237">
        <w:rPr>
          <w:i/>
        </w:rPr>
        <w:t>RRCConnectionResume</w:t>
      </w:r>
      <w:r w:rsidRPr="00D85237">
        <w:t xml:space="preserve"> message as specified in TS 36.331 [5].</w:t>
      </w:r>
    </w:p>
    <w:p w14:paraId="6B87D489" w14:textId="77777777" w:rsidR="009539EC" w:rsidRPr="00D85237" w:rsidRDefault="009539EC" w:rsidP="00616B95">
      <w:pPr>
        <w:pBdr>
          <w:top w:val="single" w:sz="4" w:space="1" w:color="auto"/>
          <w:left w:val="single" w:sz="4" w:space="4" w:color="auto"/>
          <w:bottom w:val="single" w:sz="4" w:space="1" w:color="auto"/>
          <w:right w:val="single" w:sz="4" w:space="4" w:color="auto"/>
        </w:pBdr>
      </w:pPr>
      <w:r w:rsidRPr="00D85237">
        <w:lastRenderedPageBreak/>
        <w:t>FFS 1: Split in "not deleting the stored SCG configuration" and "configuration of an SCG during the resume procedure" (it is assumed that if both are supported, the network can reconfigure the stored SCells).</w:t>
      </w:r>
    </w:p>
    <w:p w14:paraId="54F17C03" w14:textId="3BACD808" w:rsidR="009539EC" w:rsidRDefault="009539EC" w:rsidP="00616B95">
      <w:pPr>
        <w:pBdr>
          <w:top w:val="single" w:sz="4" w:space="1" w:color="auto"/>
          <w:left w:val="single" w:sz="4" w:space="4" w:color="auto"/>
          <w:bottom w:val="single" w:sz="4" w:space="1" w:color="auto"/>
          <w:right w:val="single" w:sz="4" w:space="4" w:color="auto"/>
        </w:pBdr>
      </w:pPr>
      <w:r w:rsidRPr="00D85237">
        <w:t>FFS 2: Split "resume from RRC_IDLE" and "resume from RRC_INACTIVE".</w:t>
      </w:r>
    </w:p>
    <w:p w14:paraId="7FA9EA4A" w14:textId="427AF33F" w:rsidR="009F35F2" w:rsidRDefault="009F35F2" w:rsidP="00616B95">
      <w:pPr>
        <w:pStyle w:val="BodyText"/>
        <w:pBdr>
          <w:top w:val="single" w:sz="4" w:space="1" w:color="auto"/>
          <w:left w:val="single" w:sz="4" w:space="4" w:color="auto"/>
          <w:bottom w:val="single" w:sz="4" w:space="1" w:color="auto"/>
          <w:right w:val="single" w:sz="4" w:space="4" w:color="auto"/>
        </w:pBdr>
      </w:pPr>
      <w:r>
        <w:t xml:space="preserve">As discussed in section 2.1, there would be no need to have separate capabilities between </w:t>
      </w:r>
      <w:r w:rsidRPr="00D85237">
        <w:t>"not deleting the stored SC</w:t>
      </w:r>
      <w:r w:rsidR="00417E95">
        <w:t>G</w:t>
      </w:r>
      <w:r w:rsidRPr="00D85237">
        <w:t xml:space="preserve"> configuration" and "(re-)configuration of an SCG during the resume procedure"</w:t>
      </w:r>
      <w:r>
        <w:t xml:space="preserve"> (i.e. same motivations discussed for NR case in section 2.1 apply for LTE case)</w:t>
      </w:r>
      <w:r w:rsidRPr="00D85237">
        <w:t>.</w:t>
      </w:r>
      <w:r>
        <w:t xml:space="preserve"> </w:t>
      </w:r>
    </w:p>
    <w:p w14:paraId="348E0D2C" w14:textId="2F3E77A1" w:rsidR="009F35F2" w:rsidRDefault="009F35F2" w:rsidP="009F35F2">
      <w:pPr>
        <w:pStyle w:val="Proposal"/>
      </w:pPr>
      <w:bookmarkStart w:id="16" w:name="_Toc37353000"/>
      <w:r>
        <w:t xml:space="preserve">A single </w:t>
      </w:r>
      <w:r w:rsidR="003D1A85">
        <w:t xml:space="preserve">per-UE </w:t>
      </w:r>
      <w:r>
        <w:t xml:space="preserve">field is used to indicate UE support in </w:t>
      </w:r>
      <w:r w:rsidRPr="003A76BB">
        <w:rPr>
          <w:i/>
          <w:iCs/>
        </w:rPr>
        <w:t>UE-</w:t>
      </w:r>
      <w:r>
        <w:rPr>
          <w:i/>
          <w:iCs/>
        </w:rPr>
        <w:t>EUTRA</w:t>
      </w:r>
      <w:r w:rsidRPr="003A76BB">
        <w:rPr>
          <w:i/>
          <w:iCs/>
        </w:rPr>
        <w:t>-Capability</w:t>
      </w:r>
      <w:r>
        <w:t xml:space="preserve"> for both: </w:t>
      </w:r>
      <w:r w:rsidRPr="00865777">
        <w:t>not deleting stored SCG configuration</w:t>
      </w:r>
      <w:r>
        <w:t xml:space="preserve"> during the resume procedure;</w:t>
      </w:r>
      <w:r w:rsidRPr="00865777">
        <w:t xml:space="preserve"> and (re-)configuration of an SCG during the resume procedure.</w:t>
      </w:r>
      <w:bookmarkEnd w:id="16"/>
    </w:p>
    <w:p w14:paraId="07F3471D" w14:textId="157836AB" w:rsidR="00CC2AFA" w:rsidRPr="008818B8" w:rsidRDefault="00CC2AFA" w:rsidP="00CC2AFA">
      <w:pPr>
        <w:pStyle w:val="BodyText"/>
        <w:rPr>
          <w:iCs/>
        </w:rPr>
      </w:pPr>
      <w:r>
        <w:t xml:space="preserve">Regarding whether to have separation of the capability above between </w:t>
      </w:r>
      <w:r w:rsidRPr="00E10AC1">
        <w:t>"resume from RRC_IDLE" and "resume from RRC_INACTIVE"</w:t>
      </w:r>
      <w:r>
        <w:t xml:space="preserve">, </w:t>
      </w:r>
      <w:r w:rsidR="00B36C91">
        <w:t xml:space="preserve">as discussed above for </w:t>
      </w:r>
      <w:r w:rsidR="008818B8" w:rsidRPr="00D85237">
        <w:rPr>
          <w:i/>
        </w:rPr>
        <w:t>resumeWithSCells</w:t>
      </w:r>
      <w:r w:rsidR="008818B8">
        <w:rPr>
          <w:i/>
        </w:rPr>
        <w:t xml:space="preserve"> </w:t>
      </w:r>
      <w:r w:rsidR="008818B8">
        <w:rPr>
          <w:iCs/>
        </w:rPr>
        <w:t xml:space="preserve">capability, </w:t>
      </w:r>
      <w:r w:rsidR="00A3771C">
        <w:rPr>
          <w:iCs/>
        </w:rPr>
        <w:t>we think it could be useful to have separate capabilities for those cases</w:t>
      </w:r>
      <w:r w:rsidR="00DF7CF2">
        <w:rPr>
          <w:iCs/>
        </w:rPr>
        <w:t>.</w:t>
      </w:r>
    </w:p>
    <w:p w14:paraId="2256F7F9" w14:textId="1984ADA2" w:rsidR="001A5F4C" w:rsidRDefault="001A5F4C" w:rsidP="001A5F4C">
      <w:pPr>
        <w:pStyle w:val="Proposal"/>
      </w:pPr>
      <w:bookmarkStart w:id="17" w:name="_Toc37353001"/>
      <w:r>
        <w:t xml:space="preserve">When indicating support in </w:t>
      </w:r>
      <w:r w:rsidRPr="003A76BB">
        <w:rPr>
          <w:i/>
          <w:iCs/>
        </w:rPr>
        <w:t>UE-</w:t>
      </w:r>
      <w:r>
        <w:rPr>
          <w:i/>
          <w:iCs/>
        </w:rPr>
        <w:t>EUTRA</w:t>
      </w:r>
      <w:r w:rsidRPr="003A76BB">
        <w:rPr>
          <w:i/>
          <w:iCs/>
        </w:rPr>
        <w:t>-Capability</w:t>
      </w:r>
      <w:r>
        <w:t xml:space="preserve"> for </w:t>
      </w:r>
      <w:r w:rsidRPr="00434E5E">
        <w:t xml:space="preserve">not deleting stored </w:t>
      </w:r>
      <w:r w:rsidR="008D1CE2">
        <w:t>S</w:t>
      </w:r>
      <w:r w:rsidRPr="00434E5E">
        <w:t>CG</w:t>
      </w:r>
      <w:r w:rsidR="008D1CE2">
        <w:t xml:space="preserve"> </w:t>
      </w:r>
      <w:r w:rsidRPr="00434E5E">
        <w:t>configuration</w:t>
      </w:r>
      <w:r>
        <w:t xml:space="preserve"> </w:t>
      </w:r>
      <w:r w:rsidRPr="00954B0D">
        <w:t xml:space="preserve">when initiating the resume procedure and (re-)configuration of </w:t>
      </w:r>
      <w:r w:rsidR="00003257">
        <w:t>S</w:t>
      </w:r>
      <w:r w:rsidRPr="00954B0D">
        <w:t xml:space="preserve">CG in the </w:t>
      </w:r>
      <w:r w:rsidRPr="00680E62">
        <w:rPr>
          <w:i/>
          <w:iCs/>
        </w:rPr>
        <w:t>RRCConnectionResume</w:t>
      </w:r>
      <w:r>
        <w:t xml:space="preserve">, the UE may report two different fields: one for the support of this feature </w:t>
      </w:r>
      <w:r w:rsidRPr="00345407">
        <w:t>in "resume from RRC_IDLE" and</w:t>
      </w:r>
      <w:r>
        <w:t xml:space="preserve"> one for the support of this feature in</w:t>
      </w:r>
      <w:r w:rsidRPr="00345407">
        <w:t xml:space="preserve"> "resume from RRC_INACTIVE"</w:t>
      </w:r>
      <w:r>
        <w:t>.</w:t>
      </w:r>
      <w:bookmarkEnd w:id="17"/>
    </w:p>
    <w:p w14:paraId="5D971451" w14:textId="3F40E1AC" w:rsidR="00CC2AFA" w:rsidRPr="00D85237" w:rsidRDefault="009757CB" w:rsidP="00D913FD">
      <w:pPr>
        <w:pStyle w:val="BodyText"/>
      </w:pPr>
      <w:r w:rsidRPr="009757CB">
        <w:t xml:space="preserve">For </w:t>
      </w:r>
      <w:r w:rsidR="00D515FA">
        <w:t>M</w:t>
      </w:r>
      <w:r w:rsidRPr="009757CB">
        <w:t xml:space="preserve">CG </w:t>
      </w:r>
      <w:r w:rsidR="00D515FA">
        <w:t xml:space="preserve">failure recovery </w:t>
      </w:r>
      <w:r w:rsidRPr="009757CB">
        <w:t xml:space="preserve">with MN E-UTRA, </w:t>
      </w:r>
      <w:r w:rsidR="00AC2681">
        <w:t>one item was left to be confirmed</w:t>
      </w:r>
      <w:r w:rsidRPr="009757CB">
        <w:t>:</w:t>
      </w:r>
    </w:p>
    <w:p w14:paraId="4F2F5CD3" w14:textId="77777777" w:rsidR="009539EC" w:rsidRPr="00D85237" w:rsidRDefault="009539EC" w:rsidP="00FF5131">
      <w:pPr>
        <w:pStyle w:val="Heading4"/>
        <w:pBdr>
          <w:top w:val="single" w:sz="4" w:space="1" w:color="auto"/>
          <w:left w:val="single" w:sz="4" w:space="4" w:color="auto"/>
          <w:bottom w:val="single" w:sz="4" w:space="1" w:color="auto"/>
          <w:right w:val="single" w:sz="4" w:space="4" w:color="auto"/>
        </w:pBdr>
      </w:pPr>
      <w:r w:rsidRPr="00D85237">
        <w:t>4.3.15.x3</w:t>
      </w:r>
      <w:r w:rsidRPr="00D85237">
        <w:tab/>
      </w:r>
      <w:r w:rsidRPr="00D85237">
        <w:rPr>
          <w:i/>
        </w:rPr>
        <w:t>mcgRLF-RecoveryViaSCG-r16</w:t>
      </w:r>
    </w:p>
    <w:p w14:paraId="6708ED68" w14:textId="77777777" w:rsidR="009539EC" w:rsidRPr="00D85237" w:rsidRDefault="009539EC" w:rsidP="00FF5131">
      <w:pPr>
        <w:pBdr>
          <w:top w:val="single" w:sz="4" w:space="1" w:color="auto"/>
          <w:left w:val="single" w:sz="4" w:space="4" w:color="auto"/>
          <w:bottom w:val="single" w:sz="4" w:space="1" w:color="auto"/>
          <w:right w:val="single" w:sz="4" w:space="4" w:color="auto"/>
        </w:pBdr>
      </w:pPr>
      <w:r w:rsidRPr="00D85237">
        <w:t>This parameter defines whether the UE supports recovery from MCG RLF via split SRB1 (if supported) and via SRB3 (if supported) as specified in TS 36.331 [5].</w:t>
      </w:r>
    </w:p>
    <w:p w14:paraId="5C88980E" w14:textId="77777777" w:rsidR="009539EC" w:rsidRDefault="009539EC" w:rsidP="00FF5131">
      <w:pPr>
        <w:pBdr>
          <w:top w:val="single" w:sz="4" w:space="1" w:color="auto"/>
          <w:left w:val="single" w:sz="4" w:space="4" w:color="auto"/>
          <w:bottom w:val="single" w:sz="4" w:space="1" w:color="auto"/>
          <w:right w:val="single" w:sz="4" w:space="4" w:color="auto"/>
        </w:pBdr>
      </w:pPr>
      <w:r w:rsidRPr="00D85237">
        <w:t>TBC: No need to separate split SRB1 from SRB3, or NR-DC and NE-DC.</w:t>
      </w:r>
    </w:p>
    <w:bookmarkEnd w:id="13"/>
    <w:p w14:paraId="4985F830" w14:textId="2601199A" w:rsidR="00C13EDE" w:rsidRDefault="00C13EDE" w:rsidP="00FF5131">
      <w:pPr>
        <w:pStyle w:val="BodyText"/>
        <w:pBdr>
          <w:top w:val="single" w:sz="4" w:space="1" w:color="auto"/>
          <w:left w:val="single" w:sz="4" w:space="4" w:color="auto"/>
          <w:bottom w:val="single" w:sz="4" w:space="1" w:color="auto"/>
          <w:right w:val="single" w:sz="4" w:space="4" w:color="auto"/>
        </w:pBdr>
      </w:pPr>
      <w:r>
        <w:t xml:space="preserve">As discussed in section 2.1, there would be no need to have separate capabilities between </w:t>
      </w:r>
      <w:r w:rsidR="0099241D">
        <w:t>split SRB1 and SRB3</w:t>
      </w:r>
      <w:r w:rsidR="00FE41FC">
        <w:t>, or separation between NR-DC and NE-DC, it could be</w:t>
      </w:r>
      <w:r>
        <w:t xml:space="preserve"> (i.e. same motivations discussed for NR case in section 2.1 apply for LTE case)</w:t>
      </w:r>
      <w:r w:rsidRPr="00D85237">
        <w:t>.</w:t>
      </w:r>
      <w:r>
        <w:t xml:space="preserve"> </w:t>
      </w:r>
    </w:p>
    <w:p w14:paraId="1848FC54" w14:textId="4E4FBEF0" w:rsidR="009539EC" w:rsidRDefault="00A048D0" w:rsidP="00800C15">
      <w:pPr>
        <w:pStyle w:val="Proposal"/>
      </w:pPr>
      <w:bookmarkStart w:id="18" w:name="_Toc37353002"/>
      <w:r>
        <w:t xml:space="preserve">A single </w:t>
      </w:r>
      <w:r w:rsidR="00DC5A89">
        <w:t xml:space="preserve">per-UE </w:t>
      </w:r>
      <w:r>
        <w:t>field is used to indicate UE support</w:t>
      </w:r>
      <w:r w:rsidR="004F051C">
        <w:t xml:space="preserve"> in </w:t>
      </w:r>
      <w:r w:rsidR="004F051C" w:rsidRPr="006E417B">
        <w:rPr>
          <w:i/>
          <w:iCs/>
        </w:rPr>
        <w:t>UE-EUTRA-Capability</w:t>
      </w:r>
      <w:r>
        <w:t xml:space="preserve"> for both: MCG failure report via split SRB1; MCG failure report via SRB3.</w:t>
      </w:r>
      <w:r w:rsidR="003B162E">
        <w:t xml:space="preserve"> This field applies to NR-DC and NE-DC.</w:t>
      </w:r>
      <w:bookmarkEnd w:id="18"/>
    </w:p>
    <w:p w14:paraId="33CA70C9" w14:textId="3EE8BABB" w:rsidR="00C01F33" w:rsidRPr="00CE0424" w:rsidRDefault="00605AA9" w:rsidP="004745E9">
      <w:pPr>
        <w:pStyle w:val="Heading1"/>
      </w:pPr>
      <w:r>
        <w:t>3</w:t>
      </w:r>
      <w:r w:rsidR="00EC4447">
        <w:tab/>
      </w:r>
      <w:r w:rsidR="00C01F33" w:rsidRPr="004745E9">
        <w:t>Conclusion</w:t>
      </w:r>
    </w:p>
    <w:p w14:paraId="78559227"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B3D183D" w14:textId="77777777" w:rsidR="00153E75"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Cs/>
        </w:rPr>
        <w:instrText xml:space="preserve"> TOC \f O \n \h \z \t "Observation" \c </w:instrText>
      </w:r>
      <w:r>
        <w:rPr>
          <w:b w:val="0"/>
          <w:bCs/>
        </w:rPr>
        <w:fldChar w:fldCharType="separate"/>
      </w:r>
      <w:hyperlink w:anchor="_Toc37237234" w:history="1">
        <w:r w:rsidR="00153E75" w:rsidRPr="00713ADF">
          <w:rPr>
            <w:rStyle w:val="Hyperlink"/>
            <w:noProof/>
          </w:rPr>
          <w:t>Observation 1</w:t>
        </w:r>
        <w:r w:rsidR="00153E75">
          <w:rPr>
            <w:rFonts w:asciiTheme="minorHAnsi" w:eastAsiaTheme="minorEastAsia" w:hAnsiTheme="minorHAnsi" w:cstheme="minorBidi"/>
            <w:b w:val="0"/>
            <w:noProof/>
            <w:sz w:val="22"/>
            <w:szCs w:val="22"/>
            <w:lang w:val="en-US" w:eastAsia="en-US"/>
          </w:rPr>
          <w:tab/>
        </w:r>
        <w:r w:rsidR="00153E75" w:rsidRPr="00713ADF">
          <w:rPr>
            <w:rStyle w:val="Hyperlink"/>
            <w:noProof/>
          </w:rPr>
          <w:t xml:space="preserve">Current definition of </w:t>
        </w:r>
        <w:r w:rsidR="00153E75" w:rsidRPr="00713ADF">
          <w:rPr>
            <w:rStyle w:val="Hyperlink"/>
            <w:i/>
            <w:iCs/>
            <w:noProof/>
          </w:rPr>
          <w:t xml:space="preserve">directSCellActivation-r16 </w:t>
        </w:r>
        <w:r w:rsidR="00153E75" w:rsidRPr="00713ADF">
          <w:rPr>
            <w:rStyle w:val="Hyperlink"/>
            <w:noProof/>
          </w:rPr>
          <w:t>cannot fully indicate support for SCG SCell activation upon resume.</w:t>
        </w:r>
      </w:hyperlink>
    </w:p>
    <w:p w14:paraId="518D38D0" w14:textId="0FADD7D1" w:rsidR="006E1C82" w:rsidRDefault="006F6582" w:rsidP="008E065E">
      <w:pPr>
        <w:pStyle w:val="BodyText"/>
        <w:rPr>
          <w:b/>
          <w:bCs/>
        </w:rPr>
      </w:pPr>
      <w:r>
        <w:rPr>
          <w:b/>
          <w:bCs/>
        </w:rPr>
        <w:fldChar w:fldCharType="end"/>
      </w:r>
    </w:p>
    <w:p w14:paraId="31C95A55" w14:textId="77777777" w:rsidR="006E1C82" w:rsidRDefault="006E1C82" w:rsidP="008E065E">
      <w:pPr>
        <w:pStyle w:val="BodyText"/>
        <w:rPr>
          <w:b/>
          <w:bCs/>
        </w:rPr>
      </w:pPr>
    </w:p>
    <w:p w14:paraId="149B2F65"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986EC4F" w14:textId="77777777" w:rsidR="00D04DCB"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Cs/>
          <w:lang w:val="en-US"/>
        </w:rPr>
        <w:instrText xml:space="preserve"> TOC \n \h \z \t "Proposal" \c </w:instrText>
      </w:r>
      <w:r>
        <w:rPr>
          <w:b w:val="0"/>
          <w:bCs/>
          <w:lang w:val="en-US"/>
        </w:rPr>
        <w:fldChar w:fldCharType="separate"/>
      </w:r>
      <w:hyperlink w:anchor="_Toc37352990" w:history="1">
        <w:r w:rsidR="00D04DCB" w:rsidRPr="00CA3916">
          <w:rPr>
            <w:rStyle w:val="Hyperlink"/>
            <w:noProof/>
          </w:rPr>
          <w:t>Proposal 1</w:t>
        </w:r>
        <w:r w:rsidR="00D04DCB">
          <w:rPr>
            <w:rFonts w:asciiTheme="minorHAnsi" w:eastAsiaTheme="minorEastAsia" w:hAnsiTheme="minorHAnsi" w:cstheme="minorBidi"/>
            <w:b w:val="0"/>
            <w:noProof/>
            <w:sz w:val="22"/>
            <w:szCs w:val="22"/>
            <w:lang w:val="en-US" w:eastAsia="en-US"/>
          </w:rPr>
          <w:tab/>
        </w:r>
        <w:r w:rsidR="00D04DCB" w:rsidRPr="00CA3916">
          <w:rPr>
            <w:rStyle w:val="Hyperlink"/>
            <w:noProof/>
          </w:rPr>
          <w:t xml:space="preserve">A single per-UE field is used to indicate in </w:t>
        </w:r>
        <w:r w:rsidR="00D04DCB" w:rsidRPr="00CA3916">
          <w:rPr>
            <w:rStyle w:val="Hyperlink"/>
            <w:i/>
            <w:iCs/>
            <w:noProof/>
          </w:rPr>
          <w:t>UE-NR-Capability</w:t>
        </w:r>
        <w:r w:rsidR="00D04DCB" w:rsidRPr="00CA3916">
          <w:rPr>
            <w:rStyle w:val="Hyperlink"/>
            <w:noProof/>
          </w:rPr>
          <w:t xml:space="preserve"> UE support for both: MCG failure report via split SRB1; MCG failure report via SRB3.</w:t>
        </w:r>
      </w:hyperlink>
    </w:p>
    <w:p w14:paraId="58246246" w14:textId="77777777" w:rsidR="00D04DCB" w:rsidRDefault="009B188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7352991" w:history="1">
        <w:r w:rsidR="00D04DCB" w:rsidRPr="00CA3916">
          <w:rPr>
            <w:rStyle w:val="Hyperlink"/>
            <w:noProof/>
          </w:rPr>
          <w:t>Proposal 2</w:t>
        </w:r>
        <w:r w:rsidR="00D04DCB">
          <w:rPr>
            <w:rFonts w:asciiTheme="minorHAnsi" w:eastAsiaTheme="minorEastAsia" w:hAnsiTheme="minorHAnsi" w:cstheme="minorBidi"/>
            <w:b w:val="0"/>
            <w:noProof/>
            <w:sz w:val="22"/>
            <w:szCs w:val="22"/>
            <w:lang w:val="en-US" w:eastAsia="en-US"/>
          </w:rPr>
          <w:tab/>
        </w:r>
        <w:r w:rsidR="00D04DCB" w:rsidRPr="00CA3916">
          <w:rPr>
            <w:rStyle w:val="Hyperlink"/>
            <w:noProof/>
          </w:rPr>
          <w:t xml:space="preserve">A single per-UE field is used to indicate UE support in </w:t>
        </w:r>
        <w:r w:rsidR="00D04DCB" w:rsidRPr="00CA3916">
          <w:rPr>
            <w:rStyle w:val="Hyperlink"/>
            <w:i/>
            <w:iCs/>
            <w:noProof/>
          </w:rPr>
          <w:t>UE-NR-Capability</w:t>
        </w:r>
        <w:r w:rsidR="00D04DCB" w:rsidRPr="00CA3916">
          <w:rPr>
            <w:rStyle w:val="Hyperlink"/>
            <w:noProof/>
          </w:rPr>
          <w:t xml:space="preserve"> for both: not deleting stored SCG configuration during the resume procedure; and (re-)configuration of an SCG during the resume procedure.</w:t>
        </w:r>
      </w:hyperlink>
    </w:p>
    <w:p w14:paraId="06DAED87" w14:textId="77777777" w:rsidR="00D04DCB" w:rsidRDefault="009B188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7352992" w:history="1">
        <w:r w:rsidR="00D04DCB" w:rsidRPr="00CA3916">
          <w:rPr>
            <w:rStyle w:val="Hyperlink"/>
            <w:noProof/>
          </w:rPr>
          <w:t>Proposal 3</w:t>
        </w:r>
        <w:r w:rsidR="00D04DCB">
          <w:rPr>
            <w:rFonts w:asciiTheme="minorHAnsi" w:eastAsiaTheme="minorEastAsia" w:hAnsiTheme="minorHAnsi" w:cstheme="minorBidi"/>
            <w:b w:val="0"/>
            <w:noProof/>
            <w:sz w:val="22"/>
            <w:szCs w:val="22"/>
            <w:lang w:val="en-US" w:eastAsia="en-US"/>
          </w:rPr>
          <w:tab/>
        </w:r>
        <w:r w:rsidR="00D04DCB" w:rsidRPr="00CA3916">
          <w:rPr>
            <w:rStyle w:val="Hyperlink"/>
            <w:noProof/>
          </w:rPr>
          <w:t xml:space="preserve">SCG SCell activation upon resume should only be supported by UEs that support both </w:t>
        </w:r>
        <w:r w:rsidR="00D04DCB" w:rsidRPr="00CA3916">
          <w:rPr>
            <w:rStyle w:val="Hyperlink"/>
            <w:i/>
            <w:iCs/>
            <w:noProof/>
          </w:rPr>
          <w:t>directSCellActivation-r16</w:t>
        </w:r>
        <w:r w:rsidR="00D04DCB" w:rsidRPr="00CA3916">
          <w:rPr>
            <w:rStyle w:val="Hyperlink"/>
            <w:noProof/>
          </w:rPr>
          <w:t xml:space="preserve"> and </w:t>
        </w:r>
        <w:r w:rsidR="00D04DCB" w:rsidRPr="00CA3916">
          <w:rPr>
            <w:rStyle w:val="Hyperlink"/>
            <w:i/>
            <w:iCs/>
            <w:noProof/>
          </w:rPr>
          <w:t>resumeWithSCG-r16</w:t>
        </w:r>
        <w:r w:rsidR="00D04DCB" w:rsidRPr="00CA3916">
          <w:rPr>
            <w:rStyle w:val="Hyperlink"/>
            <w:noProof/>
          </w:rPr>
          <w:t>.</w:t>
        </w:r>
      </w:hyperlink>
    </w:p>
    <w:p w14:paraId="17D6FC35" w14:textId="77777777" w:rsidR="00D04DCB" w:rsidRDefault="009B188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7352993" w:history="1">
        <w:r w:rsidR="00D04DCB" w:rsidRPr="00CA3916">
          <w:rPr>
            <w:rStyle w:val="Hyperlink"/>
            <w:noProof/>
          </w:rPr>
          <w:t>Proposal 4</w:t>
        </w:r>
        <w:r w:rsidR="00D04DCB">
          <w:rPr>
            <w:rFonts w:asciiTheme="minorHAnsi" w:eastAsiaTheme="minorEastAsia" w:hAnsiTheme="minorHAnsi" w:cstheme="minorBidi"/>
            <w:b w:val="0"/>
            <w:noProof/>
            <w:sz w:val="22"/>
            <w:szCs w:val="22"/>
            <w:lang w:val="en-US" w:eastAsia="en-US"/>
          </w:rPr>
          <w:tab/>
        </w:r>
        <w:r w:rsidR="00D04DCB" w:rsidRPr="00CA3916">
          <w:rPr>
            <w:rStyle w:val="Hyperlink"/>
            <w:noProof/>
          </w:rPr>
          <w:t xml:space="preserve">FR1/FR2 differentiation is not allowed for the capability field </w:t>
        </w:r>
        <w:r w:rsidR="00D04DCB" w:rsidRPr="00CA3916">
          <w:rPr>
            <w:rStyle w:val="Hyperlink"/>
            <w:i/>
            <w:iCs/>
            <w:noProof/>
          </w:rPr>
          <w:t>directSCellActivation-r16</w:t>
        </w:r>
        <w:r w:rsidR="00D04DCB" w:rsidRPr="00CA3916">
          <w:rPr>
            <w:rStyle w:val="Hyperlink"/>
            <w:noProof/>
          </w:rPr>
          <w:t>. This decision can be revisited based on RAN4 input on capabilities.</w:t>
        </w:r>
      </w:hyperlink>
    </w:p>
    <w:p w14:paraId="2D963E85" w14:textId="77777777" w:rsidR="00D04DCB" w:rsidRDefault="009B188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7352994" w:history="1">
        <w:r w:rsidR="00D04DCB" w:rsidRPr="00CA3916">
          <w:rPr>
            <w:rStyle w:val="Hyperlink"/>
            <w:noProof/>
          </w:rPr>
          <w:t>Proposal 5</w:t>
        </w:r>
        <w:r w:rsidR="00D04DCB">
          <w:rPr>
            <w:rFonts w:asciiTheme="minorHAnsi" w:eastAsiaTheme="minorEastAsia" w:hAnsiTheme="minorHAnsi" w:cstheme="minorBidi"/>
            <w:b w:val="0"/>
            <w:noProof/>
            <w:sz w:val="22"/>
            <w:szCs w:val="22"/>
            <w:lang w:val="en-US" w:eastAsia="en-US"/>
          </w:rPr>
          <w:tab/>
        </w:r>
        <w:r w:rsidR="00D04DCB" w:rsidRPr="00CA3916">
          <w:rPr>
            <w:rStyle w:val="Hyperlink"/>
            <w:noProof/>
          </w:rPr>
          <w:t xml:space="preserve">A single per-UE field is used to indicate UE support in </w:t>
        </w:r>
        <w:r w:rsidR="00D04DCB" w:rsidRPr="00CA3916">
          <w:rPr>
            <w:rStyle w:val="Hyperlink"/>
            <w:i/>
            <w:iCs/>
            <w:noProof/>
          </w:rPr>
          <w:t>UE-NR-Capability</w:t>
        </w:r>
        <w:r w:rsidR="00D04DCB" w:rsidRPr="00CA3916">
          <w:rPr>
            <w:rStyle w:val="Hyperlink"/>
            <w:noProof/>
          </w:rPr>
          <w:t xml:space="preserve"> for NR and E-UTRA early measurements.</w:t>
        </w:r>
      </w:hyperlink>
    </w:p>
    <w:p w14:paraId="77E92FCE" w14:textId="77777777" w:rsidR="00D04DCB" w:rsidRDefault="009B188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7352995" w:history="1">
        <w:r w:rsidR="00D04DCB" w:rsidRPr="00CA3916">
          <w:rPr>
            <w:rStyle w:val="Hyperlink"/>
            <w:noProof/>
          </w:rPr>
          <w:t>Proposal 6</w:t>
        </w:r>
        <w:r w:rsidR="00D04DCB">
          <w:rPr>
            <w:rFonts w:asciiTheme="minorHAnsi" w:eastAsiaTheme="minorEastAsia" w:hAnsiTheme="minorHAnsi" w:cstheme="minorBidi"/>
            <w:b w:val="0"/>
            <w:noProof/>
            <w:sz w:val="22"/>
            <w:szCs w:val="22"/>
            <w:lang w:val="en-US" w:eastAsia="en-US"/>
          </w:rPr>
          <w:tab/>
        </w:r>
        <w:r w:rsidR="00D04DCB" w:rsidRPr="00CA3916">
          <w:rPr>
            <w:rStyle w:val="Hyperlink"/>
            <w:noProof/>
          </w:rPr>
          <w:t xml:space="preserve">FR1/FR2 differentiation is not allowed for the capability field </w:t>
        </w:r>
        <w:r w:rsidR="00D04DCB" w:rsidRPr="00CA3916">
          <w:rPr>
            <w:rStyle w:val="Hyperlink"/>
            <w:i/>
            <w:iCs/>
            <w:noProof/>
          </w:rPr>
          <w:t>idle-inactive-MeasReport-r16</w:t>
        </w:r>
        <w:r w:rsidR="00D04DCB" w:rsidRPr="00CA3916">
          <w:rPr>
            <w:rStyle w:val="Hyperlink"/>
            <w:noProof/>
          </w:rPr>
          <w:t>. This decision can be revisited based on RAN4 input on capabilities.</w:t>
        </w:r>
      </w:hyperlink>
    </w:p>
    <w:p w14:paraId="47DBFA94" w14:textId="77777777" w:rsidR="00D04DCB" w:rsidRDefault="009B188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7352996" w:history="1">
        <w:r w:rsidR="00D04DCB" w:rsidRPr="00CA3916">
          <w:rPr>
            <w:rStyle w:val="Hyperlink"/>
            <w:noProof/>
          </w:rPr>
          <w:t>Proposal 7</w:t>
        </w:r>
        <w:r w:rsidR="00D04DCB">
          <w:rPr>
            <w:rFonts w:asciiTheme="minorHAnsi" w:eastAsiaTheme="minorEastAsia" w:hAnsiTheme="minorHAnsi" w:cstheme="minorBidi"/>
            <w:b w:val="0"/>
            <w:noProof/>
            <w:sz w:val="22"/>
            <w:szCs w:val="22"/>
            <w:lang w:val="en-US" w:eastAsia="en-US"/>
          </w:rPr>
          <w:tab/>
        </w:r>
        <w:r w:rsidR="00D04DCB" w:rsidRPr="00CA3916">
          <w:rPr>
            <w:rStyle w:val="Hyperlink"/>
            <w:noProof/>
          </w:rPr>
          <w:t xml:space="preserve">A single per-UE field is used to indicate UE support in </w:t>
        </w:r>
        <w:r w:rsidR="00D04DCB" w:rsidRPr="00CA3916">
          <w:rPr>
            <w:rStyle w:val="Hyperlink"/>
            <w:i/>
            <w:iCs/>
            <w:noProof/>
          </w:rPr>
          <w:t>UE-EUTRA-Capability</w:t>
        </w:r>
        <w:r w:rsidR="00D04DCB" w:rsidRPr="00CA3916">
          <w:rPr>
            <w:rStyle w:val="Hyperlink"/>
            <w:noProof/>
          </w:rPr>
          <w:t xml:space="preserve"> for NR early measurements for RRC_IDLE and RRC_INACTIVE. A UE that supports this capability is not required to support </w:t>
        </w:r>
        <w:r w:rsidR="00D04DCB" w:rsidRPr="00CA3916">
          <w:rPr>
            <w:rStyle w:val="Hyperlink"/>
            <w:i/>
            <w:iCs/>
            <w:noProof/>
          </w:rPr>
          <w:t>ca-IdleInactiveMeasurements-r16</w:t>
        </w:r>
        <w:r w:rsidR="00D04DCB" w:rsidRPr="00CA3916">
          <w:rPr>
            <w:rStyle w:val="Hyperlink"/>
            <w:noProof/>
          </w:rPr>
          <w:t>.</w:t>
        </w:r>
      </w:hyperlink>
    </w:p>
    <w:p w14:paraId="5D28ECA3" w14:textId="77777777" w:rsidR="00D04DCB" w:rsidRDefault="009B188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7352997" w:history="1">
        <w:r w:rsidR="00D04DCB" w:rsidRPr="00CA3916">
          <w:rPr>
            <w:rStyle w:val="Hyperlink"/>
            <w:noProof/>
          </w:rPr>
          <w:t>Proposal 8</w:t>
        </w:r>
        <w:r w:rsidR="00D04DCB">
          <w:rPr>
            <w:rFonts w:asciiTheme="minorHAnsi" w:eastAsiaTheme="minorEastAsia" w:hAnsiTheme="minorHAnsi" w:cstheme="minorBidi"/>
            <w:b w:val="0"/>
            <w:noProof/>
            <w:sz w:val="22"/>
            <w:szCs w:val="22"/>
            <w:lang w:val="en-US" w:eastAsia="en-US"/>
          </w:rPr>
          <w:tab/>
        </w:r>
        <w:r w:rsidR="00D04DCB" w:rsidRPr="00CA3916">
          <w:rPr>
            <w:rStyle w:val="Hyperlink"/>
            <w:noProof/>
          </w:rPr>
          <w:t xml:space="preserve">A UE that indicates support for </w:t>
        </w:r>
        <w:r w:rsidR="00D04DCB" w:rsidRPr="00CA3916">
          <w:rPr>
            <w:rStyle w:val="Hyperlink"/>
            <w:i/>
            <w:iCs/>
            <w:noProof/>
          </w:rPr>
          <w:t>ca-IdleInactiveMeasurements-r16</w:t>
        </w:r>
        <w:r w:rsidR="00D04DCB" w:rsidRPr="00CA3916">
          <w:rPr>
            <w:rStyle w:val="Hyperlink"/>
            <w:noProof/>
          </w:rPr>
          <w:t xml:space="preserve"> and </w:t>
        </w:r>
        <w:r w:rsidR="00D04DCB" w:rsidRPr="00CA3916">
          <w:rPr>
            <w:rStyle w:val="Hyperlink"/>
            <w:i/>
            <w:iCs/>
            <w:noProof/>
          </w:rPr>
          <w:t>idleInactiveValidityAreaList-r16</w:t>
        </w:r>
        <w:r w:rsidR="00D04DCB" w:rsidRPr="00CA3916">
          <w:rPr>
            <w:rStyle w:val="Hyperlink"/>
            <w:noProof/>
          </w:rPr>
          <w:t xml:space="preserve">, should also indicate support for </w:t>
        </w:r>
        <w:r w:rsidR="00D04DCB" w:rsidRPr="00CA3916">
          <w:rPr>
            <w:rStyle w:val="Hyperlink"/>
            <w:i/>
            <w:iCs/>
            <w:noProof/>
          </w:rPr>
          <w:t>ca-IdleModeValidityArea-r15</w:t>
        </w:r>
        <w:r w:rsidR="00D04DCB" w:rsidRPr="00CA3916">
          <w:rPr>
            <w:rStyle w:val="Hyperlink"/>
            <w:noProof/>
          </w:rPr>
          <w:t>.</w:t>
        </w:r>
      </w:hyperlink>
    </w:p>
    <w:p w14:paraId="060B0023" w14:textId="77777777" w:rsidR="00D04DCB" w:rsidRDefault="009B188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7352998" w:history="1">
        <w:r w:rsidR="00D04DCB" w:rsidRPr="00CA3916">
          <w:rPr>
            <w:rStyle w:val="Hyperlink"/>
            <w:noProof/>
          </w:rPr>
          <w:t>Proposal 9</w:t>
        </w:r>
        <w:r w:rsidR="00D04DCB">
          <w:rPr>
            <w:rFonts w:asciiTheme="minorHAnsi" w:eastAsiaTheme="minorEastAsia" w:hAnsiTheme="minorHAnsi" w:cstheme="minorBidi"/>
            <w:b w:val="0"/>
            <w:noProof/>
            <w:sz w:val="22"/>
            <w:szCs w:val="22"/>
            <w:lang w:val="en-US" w:eastAsia="en-US"/>
          </w:rPr>
          <w:tab/>
        </w:r>
        <w:r w:rsidR="00D04DCB" w:rsidRPr="00CA3916">
          <w:rPr>
            <w:rStyle w:val="Hyperlink"/>
            <w:noProof/>
          </w:rPr>
          <w:t xml:space="preserve">A single per-UE field is used to indicate UE support in </w:t>
        </w:r>
        <w:r w:rsidR="00D04DCB" w:rsidRPr="00CA3916">
          <w:rPr>
            <w:rStyle w:val="Hyperlink"/>
            <w:i/>
            <w:iCs/>
            <w:noProof/>
          </w:rPr>
          <w:t>UE-EUTRA-Capability</w:t>
        </w:r>
        <w:r w:rsidR="00D04DCB" w:rsidRPr="00CA3916">
          <w:rPr>
            <w:rStyle w:val="Hyperlink"/>
            <w:noProof/>
          </w:rPr>
          <w:t xml:space="preserve"> for both: not deleting stored SCell configuration during the resume procedure; and (re-)configuration of an SCells during the resume procedure.</w:t>
        </w:r>
      </w:hyperlink>
    </w:p>
    <w:p w14:paraId="6F10E6CD" w14:textId="77777777" w:rsidR="00D04DCB" w:rsidRDefault="009B188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7352999" w:history="1">
        <w:r w:rsidR="00D04DCB" w:rsidRPr="00CA3916">
          <w:rPr>
            <w:rStyle w:val="Hyperlink"/>
            <w:noProof/>
          </w:rPr>
          <w:t>Proposal 10</w:t>
        </w:r>
        <w:r w:rsidR="00D04DCB">
          <w:rPr>
            <w:rFonts w:asciiTheme="minorHAnsi" w:eastAsiaTheme="minorEastAsia" w:hAnsiTheme="minorHAnsi" w:cstheme="minorBidi"/>
            <w:b w:val="0"/>
            <w:noProof/>
            <w:sz w:val="22"/>
            <w:szCs w:val="22"/>
            <w:lang w:val="en-US" w:eastAsia="en-US"/>
          </w:rPr>
          <w:tab/>
        </w:r>
        <w:r w:rsidR="00D04DCB" w:rsidRPr="00CA3916">
          <w:rPr>
            <w:rStyle w:val="Hyperlink"/>
            <w:noProof/>
          </w:rPr>
          <w:t xml:space="preserve">When indicating support in </w:t>
        </w:r>
        <w:r w:rsidR="00D04DCB" w:rsidRPr="00CA3916">
          <w:rPr>
            <w:rStyle w:val="Hyperlink"/>
            <w:i/>
            <w:iCs/>
            <w:noProof/>
          </w:rPr>
          <w:t>UE-EUTRA-Capability</w:t>
        </w:r>
        <w:r w:rsidR="00D04DCB" w:rsidRPr="00CA3916">
          <w:rPr>
            <w:rStyle w:val="Hyperlink"/>
            <w:noProof/>
          </w:rPr>
          <w:t xml:space="preserve"> for not deleting stored MCG SCell configuration when initiating the resume procedure and (re-)configuration of MCG SCells in the </w:t>
        </w:r>
        <w:r w:rsidR="00D04DCB" w:rsidRPr="00CA3916">
          <w:rPr>
            <w:rStyle w:val="Hyperlink"/>
            <w:i/>
            <w:iCs/>
            <w:noProof/>
          </w:rPr>
          <w:t>RRCConnectionResume</w:t>
        </w:r>
        <w:r w:rsidR="00D04DCB" w:rsidRPr="00CA3916">
          <w:rPr>
            <w:rStyle w:val="Hyperlink"/>
            <w:noProof/>
          </w:rPr>
          <w:t>, the UE may report two different fields: one for the support of this feature in "resume from RRC_IDLE" and one for the support of this feature in "resume from RRC_INACTIVE".</w:t>
        </w:r>
      </w:hyperlink>
    </w:p>
    <w:p w14:paraId="76732721" w14:textId="77777777" w:rsidR="00D04DCB" w:rsidRDefault="009B188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7353000" w:history="1">
        <w:r w:rsidR="00D04DCB" w:rsidRPr="00CA3916">
          <w:rPr>
            <w:rStyle w:val="Hyperlink"/>
            <w:noProof/>
          </w:rPr>
          <w:t>Proposal 11</w:t>
        </w:r>
        <w:r w:rsidR="00D04DCB">
          <w:rPr>
            <w:rFonts w:asciiTheme="minorHAnsi" w:eastAsiaTheme="minorEastAsia" w:hAnsiTheme="minorHAnsi" w:cstheme="minorBidi"/>
            <w:b w:val="0"/>
            <w:noProof/>
            <w:sz w:val="22"/>
            <w:szCs w:val="22"/>
            <w:lang w:val="en-US" w:eastAsia="en-US"/>
          </w:rPr>
          <w:tab/>
        </w:r>
        <w:r w:rsidR="00D04DCB" w:rsidRPr="00CA3916">
          <w:rPr>
            <w:rStyle w:val="Hyperlink"/>
            <w:noProof/>
          </w:rPr>
          <w:t xml:space="preserve">A single per-UE field is used to indicate UE support in </w:t>
        </w:r>
        <w:r w:rsidR="00D04DCB" w:rsidRPr="00CA3916">
          <w:rPr>
            <w:rStyle w:val="Hyperlink"/>
            <w:i/>
            <w:iCs/>
            <w:noProof/>
          </w:rPr>
          <w:t>UE-EUTRA-Capability</w:t>
        </w:r>
        <w:r w:rsidR="00D04DCB" w:rsidRPr="00CA3916">
          <w:rPr>
            <w:rStyle w:val="Hyperlink"/>
            <w:noProof/>
          </w:rPr>
          <w:t xml:space="preserve"> for both: not deleting stored SCG configuration during the resume procedure; and (re-)configuration of an SCG during the resume procedure.</w:t>
        </w:r>
      </w:hyperlink>
    </w:p>
    <w:p w14:paraId="3AB1031E" w14:textId="77777777" w:rsidR="00D04DCB" w:rsidRDefault="009B188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7353001" w:history="1">
        <w:r w:rsidR="00D04DCB" w:rsidRPr="00CA3916">
          <w:rPr>
            <w:rStyle w:val="Hyperlink"/>
            <w:noProof/>
          </w:rPr>
          <w:t>Proposal 12</w:t>
        </w:r>
        <w:r w:rsidR="00D04DCB">
          <w:rPr>
            <w:rFonts w:asciiTheme="minorHAnsi" w:eastAsiaTheme="minorEastAsia" w:hAnsiTheme="minorHAnsi" w:cstheme="minorBidi"/>
            <w:b w:val="0"/>
            <w:noProof/>
            <w:sz w:val="22"/>
            <w:szCs w:val="22"/>
            <w:lang w:val="en-US" w:eastAsia="en-US"/>
          </w:rPr>
          <w:tab/>
        </w:r>
        <w:r w:rsidR="00D04DCB" w:rsidRPr="00CA3916">
          <w:rPr>
            <w:rStyle w:val="Hyperlink"/>
            <w:noProof/>
          </w:rPr>
          <w:t xml:space="preserve">When indicating support in </w:t>
        </w:r>
        <w:r w:rsidR="00D04DCB" w:rsidRPr="00CA3916">
          <w:rPr>
            <w:rStyle w:val="Hyperlink"/>
            <w:i/>
            <w:iCs/>
            <w:noProof/>
          </w:rPr>
          <w:t>UE-EUTRA-Capability</w:t>
        </w:r>
        <w:r w:rsidR="00D04DCB" w:rsidRPr="00CA3916">
          <w:rPr>
            <w:rStyle w:val="Hyperlink"/>
            <w:noProof/>
          </w:rPr>
          <w:t xml:space="preserve"> for not deleting stored SCG configuration when initiating the resume procedure and (re-)configuration of SCG in the </w:t>
        </w:r>
        <w:r w:rsidR="00D04DCB" w:rsidRPr="00CA3916">
          <w:rPr>
            <w:rStyle w:val="Hyperlink"/>
            <w:i/>
            <w:iCs/>
            <w:noProof/>
          </w:rPr>
          <w:t>RRCConnectionResume</w:t>
        </w:r>
        <w:r w:rsidR="00D04DCB" w:rsidRPr="00CA3916">
          <w:rPr>
            <w:rStyle w:val="Hyperlink"/>
            <w:noProof/>
          </w:rPr>
          <w:t>, the UE may report two different fields: one for the support of this feature in "resume from RRC_IDLE" and one for the support of this feature in "resume from RRC_INACTIVE".</w:t>
        </w:r>
      </w:hyperlink>
    </w:p>
    <w:p w14:paraId="33D15F8E" w14:textId="77777777" w:rsidR="00D04DCB" w:rsidRDefault="009B188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7353002" w:history="1">
        <w:r w:rsidR="00D04DCB" w:rsidRPr="00CA3916">
          <w:rPr>
            <w:rStyle w:val="Hyperlink"/>
            <w:noProof/>
          </w:rPr>
          <w:t>Proposal 13</w:t>
        </w:r>
        <w:r w:rsidR="00D04DCB">
          <w:rPr>
            <w:rFonts w:asciiTheme="minorHAnsi" w:eastAsiaTheme="minorEastAsia" w:hAnsiTheme="minorHAnsi" w:cstheme="minorBidi"/>
            <w:b w:val="0"/>
            <w:noProof/>
            <w:sz w:val="22"/>
            <w:szCs w:val="22"/>
            <w:lang w:val="en-US" w:eastAsia="en-US"/>
          </w:rPr>
          <w:tab/>
        </w:r>
        <w:r w:rsidR="00D04DCB" w:rsidRPr="00CA3916">
          <w:rPr>
            <w:rStyle w:val="Hyperlink"/>
            <w:noProof/>
          </w:rPr>
          <w:t xml:space="preserve">A single per-UE field is used to indicate UE support in </w:t>
        </w:r>
        <w:r w:rsidR="00D04DCB" w:rsidRPr="00CA3916">
          <w:rPr>
            <w:rStyle w:val="Hyperlink"/>
            <w:i/>
            <w:iCs/>
            <w:noProof/>
          </w:rPr>
          <w:t>UE-EUTRA-Capability</w:t>
        </w:r>
        <w:r w:rsidR="00D04DCB" w:rsidRPr="00CA3916">
          <w:rPr>
            <w:rStyle w:val="Hyperlink"/>
            <w:noProof/>
          </w:rPr>
          <w:t xml:space="preserve"> for both: MCG failure report via split SRB1; MCG failure report via SRB3. This field applies to NR-DC and NE-DC.</w:t>
        </w:r>
      </w:hyperlink>
    </w:p>
    <w:p w14:paraId="68C0AE4C" w14:textId="27A6EAB5" w:rsidR="006E1C82" w:rsidRPr="00CE0424" w:rsidRDefault="006E1C82" w:rsidP="006E1C82">
      <w:pPr>
        <w:pStyle w:val="BodyText"/>
        <w:rPr>
          <w:b/>
          <w:bCs/>
        </w:rPr>
      </w:pPr>
      <w:r>
        <w:rPr>
          <w:b/>
          <w:bCs/>
          <w:lang w:val="en-US"/>
        </w:rPr>
        <w:fldChar w:fldCharType="end"/>
      </w:r>
      <w:r w:rsidRPr="00CE0424">
        <w:rPr>
          <w:b/>
          <w:bCs/>
        </w:rPr>
        <w:t xml:space="preserve"> </w:t>
      </w:r>
    </w:p>
    <w:p w14:paraId="42EB82A9" w14:textId="77777777" w:rsidR="008E065E" w:rsidRPr="00CE0424" w:rsidRDefault="008E065E" w:rsidP="008E065E">
      <w:pPr>
        <w:rPr>
          <w:b/>
          <w:bCs/>
        </w:rPr>
      </w:pPr>
    </w:p>
    <w:p w14:paraId="2F6B9C7E" w14:textId="77777777" w:rsidR="00C01F33" w:rsidRPr="00CE0424" w:rsidRDefault="00C01F33" w:rsidP="006E062C"/>
    <w:p w14:paraId="4E5F587A" w14:textId="63F056E8" w:rsidR="00F507D1" w:rsidRPr="00CE0424" w:rsidRDefault="004745E9" w:rsidP="00CE0424">
      <w:pPr>
        <w:pStyle w:val="Heading1"/>
      </w:pPr>
      <w:bookmarkStart w:id="19" w:name="_In-sequence_SDU_delivery"/>
      <w:bookmarkEnd w:id="19"/>
      <w:r>
        <w:t>4</w:t>
      </w:r>
      <w:r w:rsidR="00EC4447">
        <w:tab/>
      </w:r>
      <w:r w:rsidR="00F507D1" w:rsidRPr="00CE0424">
        <w:t>References</w:t>
      </w:r>
    </w:p>
    <w:p w14:paraId="1F23F067" w14:textId="77777777" w:rsidR="00153E75" w:rsidRDefault="00880A98" w:rsidP="00153E75">
      <w:pPr>
        <w:pStyle w:val="Reference"/>
      </w:pPr>
      <w:bookmarkStart w:id="20" w:name="_Ref11660338"/>
      <w:bookmarkStart w:id="21" w:name="_Ref174151459"/>
      <w:bookmarkStart w:id="22" w:name="_Ref189809556"/>
      <w:r w:rsidRPr="00880A98">
        <w:t>R2-2001192</w:t>
      </w:r>
      <w:r w:rsidR="00D304F7" w:rsidRPr="00CE0424">
        <w:t xml:space="preserve">, </w:t>
      </w:r>
      <w:r w:rsidR="00D304F7">
        <w:t>“</w:t>
      </w:r>
      <w:r>
        <w:t>Running CR for 38.306 on introducing UE capability for eDCCA</w:t>
      </w:r>
      <w:r w:rsidR="00D304F7">
        <w:t>”</w:t>
      </w:r>
      <w:r w:rsidR="00D304F7" w:rsidRPr="00CE0424">
        <w:t xml:space="preserve">, </w:t>
      </w:r>
      <w:r>
        <w:t>Huawei</w:t>
      </w:r>
      <w:r w:rsidR="00D304F7" w:rsidRPr="00CE0424">
        <w:t>,</w:t>
      </w:r>
      <w:r w:rsidR="005237B0">
        <w:t xml:space="preserve"> RAN2-109-e, </w:t>
      </w:r>
      <w:r w:rsidR="002F58FA" w:rsidRPr="002F58FA">
        <w:t>Electronic meeting, 24th February - 6th March, 2020</w:t>
      </w:r>
    </w:p>
    <w:p w14:paraId="6548B1A3" w14:textId="3B82AC97" w:rsidR="00E10B03" w:rsidRPr="00CE0424" w:rsidRDefault="001F57A0" w:rsidP="00153E75">
      <w:pPr>
        <w:pStyle w:val="Reference"/>
      </w:pPr>
      <w:r w:rsidRPr="00215BD1">
        <w:t>R2-2002335</w:t>
      </w:r>
      <w:r w:rsidR="00215BD1" w:rsidRPr="00215BD1">
        <w:t>,</w:t>
      </w:r>
      <w:r w:rsidR="004009B3">
        <w:t xml:space="preserve"> ”</w:t>
      </w:r>
      <w:r>
        <w:t>Running CR for 36.306 on introducing UE capability for eDCCA</w:t>
      </w:r>
      <w:r w:rsidR="00215BD1">
        <w:t>”</w:t>
      </w:r>
      <w:r w:rsidR="005F3025" w:rsidRPr="00CE0424">
        <w:t xml:space="preserve">, </w:t>
      </w:r>
      <w:bookmarkEnd w:id="20"/>
      <w:r w:rsidR="00B24335">
        <w:t>Huawei</w:t>
      </w:r>
      <w:r w:rsidR="00B24335" w:rsidRPr="00CE0424">
        <w:t>,</w:t>
      </w:r>
      <w:r w:rsidR="00B24335">
        <w:t xml:space="preserve"> RAN2-109-e, </w:t>
      </w:r>
      <w:r w:rsidR="00B24335" w:rsidRPr="002F58FA">
        <w:t>Electronic meeting, 24th February - 6th March, 2020</w:t>
      </w:r>
    </w:p>
    <w:bookmarkEnd w:id="21"/>
    <w:bookmarkEnd w:id="22"/>
    <w:p w14:paraId="0F2CA0B6"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60E925" w14:textId="77777777" w:rsidR="009B1882" w:rsidRDefault="009B1882">
      <w:r>
        <w:separator/>
      </w:r>
    </w:p>
  </w:endnote>
  <w:endnote w:type="continuationSeparator" w:id="0">
    <w:p w14:paraId="4FA43790" w14:textId="77777777" w:rsidR="009B1882" w:rsidRDefault="009B1882">
      <w:r>
        <w:continuationSeparator/>
      </w:r>
    </w:p>
  </w:endnote>
  <w:endnote w:type="continuationNotice" w:id="1">
    <w:p w14:paraId="628C56A7" w14:textId="77777777" w:rsidR="009B1882" w:rsidRDefault="009B18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A2552" w14:textId="77777777" w:rsidR="00B5689B" w:rsidRDefault="00B5689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2B7F4B" w14:textId="77777777" w:rsidR="009B1882" w:rsidRDefault="009B1882">
      <w:r>
        <w:separator/>
      </w:r>
    </w:p>
  </w:footnote>
  <w:footnote w:type="continuationSeparator" w:id="0">
    <w:p w14:paraId="42A869B7" w14:textId="77777777" w:rsidR="009B1882" w:rsidRDefault="009B1882">
      <w:r>
        <w:continuationSeparator/>
      </w:r>
    </w:p>
  </w:footnote>
  <w:footnote w:type="continuationNotice" w:id="1">
    <w:p w14:paraId="7622F75B" w14:textId="77777777" w:rsidR="009B1882" w:rsidRDefault="009B18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D0B84" w14:textId="77777777" w:rsidR="00B5689B" w:rsidRDefault="00B5689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9"/>
  </w:num>
  <w:num w:numId="6">
    <w:abstractNumId w:val="16"/>
  </w:num>
  <w:num w:numId="7">
    <w:abstractNumId w:val="20"/>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5"/>
  </w:num>
  <w:num w:numId="18">
    <w:abstractNumId w:val="7"/>
  </w:num>
  <w:num w:numId="19">
    <w:abstractNumId w:val="4"/>
  </w:num>
  <w:num w:numId="20">
    <w:abstractNumId w:val="24"/>
  </w:num>
  <w:num w:numId="21">
    <w:abstractNumId w:val="11"/>
  </w:num>
  <w:num w:numId="22">
    <w:abstractNumId w:val="22"/>
  </w:num>
  <w:num w:numId="23">
    <w:abstractNumId w:val="6"/>
  </w:num>
  <w:num w:numId="24">
    <w:abstractNumId w:val="12"/>
  </w:num>
  <w:num w:numId="25">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2177"/>
    <w:rsid w:val="0000007D"/>
    <w:rsid w:val="000006E1"/>
    <w:rsid w:val="00002A37"/>
    <w:rsid w:val="00002F60"/>
    <w:rsid w:val="00003257"/>
    <w:rsid w:val="0000564C"/>
    <w:rsid w:val="00006446"/>
    <w:rsid w:val="00006896"/>
    <w:rsid w:val="000069B0"/>
    <w:rsid w:val="00007CDC"/>
    <w:rsid w:val="00011B28"/>
    <w:rsid w:val="00013FD4"/>
    <w:rsid w:val="00015D15"/>
    <w:rsid w:val="00016123"/>
    <w:rsid w:val="0002117A"/>
    <w:rsid w:val="00021CA9"/>
    <w:rsid w:val="00023246"/>
    <w:rsid w:val="0002564D"/>
    <w:rsid w:val="00025ECA"/>
    <w:rsid w:val="000325B8"/>
    <w:rsid w:val="00032984"/>
    <w:rsid w:val="00034C15"/>
    <w:rsid w:val="0003668B"/>
    <w:rsid w:val="00036BA1"/>
    <w:rsid w:val="00040B35"/>
    <w:rsid w:val="000422E2"/>
    <w:rsid w:val="00042F22"/>
    <w:rsid w:val="000444EF"/>
    <w:rsid w:val="00046DBC"/>
    <w:rsid w:val="0004708D"/>
    <w:rsid w:val="00052A07"/>
    <w:rsid w:val="000534E3"/>
    <w:rsid w:val="000537B4"/>
    <w:rsid w:val="00053DC6"/>
    <w:rsid w:val="0005606A"/>
    <w:rsid w:val="00056565"/>
    <w:rsid w:val="00057117"/>
    <w:rsid w:val="00060787"/>
    <w:rsid w:val="000616E7"/>
    <w:rsid w:val="00061BA0"/>
    <w:rsid w:val="000635F0"/>
    <w:rsid w:val="0006487E"/>
    <w:rsid w:val="00065E1A"/>
    <w:rsid w:val="000673CB"/>
    <w:rsid w:val="00074F3D"/>
    <w:rsid w:val="00076F71"/>
    <w:rsid w:val="00077E5F"/>
    <w:rsid w:val="0008036A"/>
    <w:rsid w:val="00080925"/>
    <w:rsid w:val="00081AE6"/>
    <w:rsid w:val="000847CD"/>
    <w:rsid w:val="000855EB"/>
    <w:rsid w:val="00085B52"/>
    <w:rsid w:val="000866F2"/>
    <w:rsid w:val="0009009F"/>
    <w:rsid w:val="00091557"/>
    <w:rsid w:val="000924C1"/>
    <w:rsid w:val="000924F0"/>
    <w:rsid w:val="00092775"/>
    <w:rsid w:val="00092DE5"/>
    <w:rsid w:val="00093474"/>
    <w:rsid w:val="00094E36"/>
    <w:rsid w:val="0009510F"/>
    <w:rsid w:val="0009595C"/>
    <w:rsid w:val="0009640A"/>
    <w:rsid w:val="000A15CC"/>
    <w:rsid w:val="000A1B7B"/>
    <w:rsid w:val="000A56F2"/>
    <w:rsid w:val="000B2719"/>
    <w:rsid w:val="000B3A8F"/>
    <w:rsid w:val="000B4AB9"/>
    <w:rsid w:val="000B58C3"/>
    <w:rsid w:val="000B61E9"/>
    <w:rsid w:val="000C0528"/>
    <w:rsid w:val="000C165A"/>
    <w:rsid w:val="000C2622"/>
    <w:rsid w:val="000C2E19"/>
    <w:rsid w:val="000C4FF9"/>
    <w:rsid w:val="000C6DD1"/>
    <w:rsid w:val="000D0D07"/>
    <w:rsid w:val="000D1CF2"/>
    <w:rsid w:val="000D4797"/>
    <w:rsid w:val="000D6FE0"/>
    <w:rsid w:val="000D7A7D"/>
    <w:rsid w:val="000D7B08"/>
    <w:rsid w:val="000E0527"/>
    <w:rsid w:val="000E1E92"/>
    <w:rsid w:val="000E280D"/>
    <w:rsid w:val="000E2FBB"/>
    <w:rsid w:val="000E3DC8"/>
    <w:rsid w:val="000E4131"/>
    <w:rsid w:val="000E6075"/>
    <w:rsid w:val="000F06D6"/>
    <w:rsid w:val="000F0EB1"/>
    <w:rsid w:val="000F1106"/>
    <w:rsid w:val="000F2825"/>
    <w:rsid w:val="000F2959"/>
    <w:rsid w:val="000F3BE9"/>
    <w:rsid w:val="000F3F6C"/>
    <w:rsid w:val="000F6DF3"/>
    <w:rsid w:val="001005C0"/>
    <w:rsid w:val="001005FF"/>
    <w:rsid w:val="00102EB2"/>
    <w:rsid w:val="001054C2"/>
    <w:rsid w:val="001062FB"/>
    <w:rsid w:val="001063E6"/>
    <w:rsid w:val="00107D5F"/>
    <w:rsid w:val="001112E4"/>
    <w:rsid w:val="00113CF4"/>
    <w:rsid w:val="00113E3E"/>
    <w:rsid w:val="001153EA"/>
    <w:rsid w:val="00115643"/>
    <w:rsid w:val="00116765"/>
    <w:rsid w:val="001219F5"/>
    <w:rsid w:val="00121A20"/>
    <w:rsid w:val="0012377F"/>
    <w:rsid w:val="00123A12"/>
    <w:rsid w:val="00124314"/>
    <w:rsid w:val="00126758"/>
    <w:rsid w:val="00126B4A"/>
    <w:rsid w:val="0013159C"/>
    <w:rsid w:val="00132FD0"/>
    <w:rsid w:val="00133DB3"/>
    <w:rsid w:val="001344C0"/>
    <w:rsid w:val="001346FA"/>
    <w:rsid w:val="00135252"/>
    <w:rsid w:val="001352B4"/>
    <w:rsid w:val="00137AB5"/>
    <w:rsid w:val="00137F0B"/>
    <w:rsid w:val="00143E08"/>
    <w:rsid w:val="00151E23"/>
    <w:rsid w:val="001526E0"/>
    <w:rsid w:val="00152C1F"/>
    <w:rsid w:val="00153E75"/>
    <w:rsid w:val="001551B5"/>
    <w:rsid w:val="00161B1E"/>
    <w:rsid w:val="0016501B"/>
    <w:rsid w:val="001659C1"/>
    <w:rsid w:val="00170786"/>
    <w:rsid w:val="0017197B"/>
    <w:rsid w:val="001729BB"/>
    <w:rsid w:val="00173A1C"/>
    <w:rsid w:val="00173A8E"/>
    <w:rsid w:val="0017502C"/>
    <w:rsid w:val="001812C1"/>
    <w:rsid w:val="0018143F"/>
    <w:rsid w:val="00181FF8"/>
    <w:rsid w:val="00190AC1"/>
    <w:rsid w:val="0019341A"/>
    <w:rsid w:val="00197DF9"/>
    <w:rsid w:val="001A10A6"/>
    <w:rsid w:val="001A1987"/>
    <w:rsid w:val="001A21E0"/>
    <w:rsid w:val="001A2564"/>
    <w:rsid w:val="001A5F4C"/>
    <w:rsid w:val="001A6173"/>
    <w:rsid w:val="001A6CBA"/>
    <w:rsid w:val="001B0D97"/>
    <w:rsid w:val="001B4C9B"/>
    <w:rsid w:val="001B5A5D"/>
    <w:rsid w:val="001C1CE5"/>
    <w:rsid w:val="001C3D2A"/>
    <w:rsid w:val="001D0BA9"/>
    <w:rsid w:val="001D4752"/>
    <w:rsid w:val="001D4A3B"/>
    <w:rsid w:val="001D4C86"/>
    <w:rsid w:val="001D51BA"/>
    <w:rsid w:val="001D5342"/>
    <w:rsid w:val="001D53E7"/>
    <w:rsid w:val="001D6342"/>
    <w:rsid w:val="001D6D53"/>
    <w:rsid w:val="001D7D2C"/>
    <w:rsid w:val="001E1233"/>
    <w:rsid w:val="001E3C6F"/>
    <w:rsid w:val="001E58E2"/>
    <w:rsid w:val="001E7AED"/>
    <w:rsid w:val="001F3916"/>
    <w:rsid w:val="001F48D9"/>
    <w:rsid w:val="001F54C5"/>
    <w:rsid w:val="001F57A0"/>
    <w:rsid w:val="001F622A"/>
    <w:rsid w:val="001F662C"/>
    <w:rsid w:val="001F7074"/>
    <w:rsid w:val="00200490"/>
    <w:rsid w:val="00201F3A"/>
    <w:rsid w:val="00203F96"/>
    <w:rsid w:val="00206518"/>
    <w:rsid w:val="002069B2"/>
    <w:rsid w:val="0020737E"/>
    <w:rsid w:val="00207FA3"/>
    <w:rsid w:val="00211DA0"/>
    <w:rsid w:val="00211F68"/>
    <w:rsid w:val="00214DA8"/>
    <w:rsid w:val="00215423"/>
    <w:rsid w:val="002158FA"/>
    <w:rsid w:val="00215BD1"/>
    <w:rsid w:val="00216C0E"/>
    <w:rsid w:val="0021785C"/>
    <w:rsid w:val="00220600"/>
    <w:rsid w:val="002224DB"/>
    <w:rsid w:val="00223FCB"/>
    <w:rsid w:val="002252C3"/>
    <w:rsid w:val="0022575D"/>
    <w:rsid w:val="00225C54"/>
    <w:rsid w:val="00230765"/>
    <w:rsid w:val="00230D18"/>
    <w:rsid w:val="002319E4"/>
    <w:rsid w:val="0023430B"/>
    <w:rsid w:val="00235632"/>
    <w:rsid w:val="00235872"/>
    <w:rsid w:val="00237591"/>
    <w:rsid w:val="00241559"/>
    <w:rsid w:val="00241761"/>
    <w:rsid w:val="002425DF"/>
    <w:rsid w:val="00242F65"/>
    <w:rsid w:val="00242FB4"/>
    <w:rsid w:val="002435B3"/>
    <w:rsid w:val="002458EB"/>
    <w:rsid w:val="00245F11"/>
    <w:rsid w:val="0024620D"/>
    <w:rsid w:val="002500C8"/>
    <w:rsid w:val="0025154C"/>
    <w:rsid w:val="00257543"/>
    <w:rsid w:val="002617E7"/>
    <w:rsid w:val="00264228"/>
    <w:rsid w:val="00264334"/>
    <w:rsid w:val="0026473E"/>
    <w:rsid w:val="00266214"/>
    <w:rsid w:val="00267C83"/>
    <w:rsid w:val="00267CC1"/>
    <w:rsid w:val="00267DB0"/>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420"/>
    <w:rsid w:val="0029777D"/>
    <w:rsid w:val="002A055E"/>
    <w:rsid w:val="002A1D4E"/>
    <w:rsid w:val="002A1EB1"/>
    <w:rsid w:val="002A2869"/>
    <w:rsid w:val="002A404C"/>
    <w:rsid w:val="002A54BE"/>
    <w:rsid w:val="002B1D46"/>
    <w:rsid w:val="002B24D6"/>
    <w:rsid w:val="002B4D5F"/>
    <w:rsid w:val="002B5C57"/>
    <w:rsid w:val="002C06AD"/>
    <w:rsid w:val="002C1EE7"/>
    <w:rsid w:val="002C41E6"/>
    <w:rsid w:val="002C7A29"/>
    <w:rsid w:val="002D071A"/>
    <w:rsid w:val="002D15B4"/>
    <w:rsid w:val="002D34B2"/>
    <w:rsid w:val="002D48B0"/>
    <w:rsid w:val="002D5B37"/>
    <w:rsid w:val="002D7637"/>
    <w:rsid w:val="002D7707"/>
    <w:rsid w:val="002E17F2"/>
    <w:rsid w:val="002E2907"/>
    <w:rsid w:val="002E5446"/>
    <w:rsid w:val="002E6EC3"/>
    <w:rsid w:val="002E79AA"/>
    <w:rsid w:val="002E7CAE"/>
    <w:rsid w:val="002F2771"/>
    <w:rsid w:val="002F3260"/>
    <w:rsid w:val="002F37A9"/>
    <w:rsid w:val="002F58FA"/>
    <w:rsid w:val="00301CE6"/>
    <w:rsid w:val="0030256B"/>
    <w:rsid w:val="0030501F"/>
    <w:rsid w:val="003059A8"/>
    <w:rsid w:val="00305BB6"/>
    <w:rsid w:val="00307BA1"/>
    <w:rsid w:val="00311702"/>
    <w:rsid w:val="00311E82"/>
    <w:rsid w:val="003133AA"/>
    <w:rsid w:val="00313FD6"/>
    <w:rsid w:val="003143BD"/>
    <w:rsid w:val="00315363"/>
    <w:rsid w:val="003166EC"/>
    <w:rsid w:val="0031724E"/>
    <w:rsid w:val="003203ED"/>
    <w:rsid w:val="00322C9F"/>
    <w:rsid w:val="00324D23"/>
    <w:rsid w:val="00331751"/>
    <w:rsid w:val="00334579"/>
    <w:rsid w:val="00335858"/>
    <w:rsid w:val="00335997"/>
    <w:rsid w:val="00336BDA"/>
    <w:rsid w:val="00342BD7"/>
    <w:rsid w:val="00344A8A"/>
    <w:rsid w:val="00345407"/>
    <w:rsid w:val="00346DB5"/>
    <w:rsid w:val="003477B1"/>
    <w:rsid w:val="00347869"/>
    <w:rsid w:val="00350B3C"/>
    <w:rsid w:val="00352EC0"/>
    <w:rsid w:val="003548D0"/>
    <w:rsid w:val="00357380"/>
    <w:rsid w:val="003602D9"/>
    <w:rsid w:val="003604CE"/>
    <w:rsid w:val="00367009"/>
    <w:rsid w:val="00370E47"/>
    <w:rsid w:val="003742AC"/>
    <w:rsid w:val="00377CE1"/>
    <w:rsid w:val="00385BF0"/>
    <w:rsid w:val="00386569"/>
    <w:rsid w:val="003939FF"/>
    <w:rsid w:val="00394363"/>
    <w:rsid w:val="003A0844"/>
    <w:rsid w:val="003A2223"/>
    <w:rsid w:val="003A2A0F"/>
    <w:rsid w:val="003A45A1"/>
    <w:rsid w:val="003A5B0A"/>
    <w:rsid w:val="003A6BAC"/>
    <w:rsid w:val="003A70A4"/>
    <w:rsid w:val="003A75BF"/>
    <w:rsid w:val="003A76BB"/>
    <w:rsid w:val="003A7EF3"/>
    <w:rsid w:val="003B159C"/>
    <w:rsid w:val="003B162E"/>
    <w:rsid w:val="003B369F"/>
    <w:rsid w:val="003B36A3"/>
    <w:rsid w:val="003B64BB"/>
    <w:rsid w:val="003B7FE5"/>
    <w:rsid w:val="003C11C8"/>
    <w:rsid w:val="003C2702"/>
    <w:rsid w:val="003C77A4"/>
    <w:rsid w:val="003C7806"/>
    <w:rsid w:val="003C7832"/>
    <w:rsid w:val="003D109F"/>
    <w:rsid w:val="003D1A85"/>
    <w:rsid w:val="003D2478"/>
    <w:rsid w:val="003D3C45"/>
    <w:rsid w:val="003D5B1F"/>
    <w:rsid w:val="003D61AC"/>
    <w:rsid w:val="003E15FA"/>
    <w:rsid w:val="003E26E4"/>
    <w:rsid w:val="003E55E4"/>
    <w:rsid w:val="003E5977"/>
    <w:rsid w:val="003E6E23"/>
    <w:rsid w:val="003E74E3"/>
    <w:rsid w:val="003F05C7"/>
    <w:rsid w:val="003F2CD4"/>
    <w:rsid w:val="003F3E1A"/>
    <w:rsid w:val="003F6BBE"/>
    <w:rsid w:val="004000E8"/>
    <w:rsid w:val="004009B3"/>
    <w:rsid w:val="00402E2B"/>
    <w:rsid w:val="0040512B"/>
    <w:rsid w:val="00405244"/>
    <w:rsid w:val="0040555A"/>
    <w:rsid w:val="00405CA5"/>
    <w:rsid w:val="00407CD3"/>
    <w:rsid w:val="00410134"/>
    <w:rsid w:val="00410B72"/>
    <w:rsid w:val="00410F18"/>
    <w:rsid w:val="0041263E"/>
    <w:rsid w:val="0041340F"/>
    <w:rsid w:val="00413AAC"/>
    <w:rsid w:val="00413E92"/>
    <w:rsid w:val="00417E95"/>
    <w:rsid w:val="00421105"/>
    <w:rsid w:val="00422AA4"/>
    <w:rsid w:val="00423349"/>
    <w:rsid w:val="004233D6"/>
    <w:rsid w:val="004242F4"/>
    <w:rsid w:val="00427248"/>
    <w:rsid w:val="00431D5D"/>
    <w:rsid w:val="00432B33"/>
    <w:rsid w:val="00434E5E"/>
    <w:rsid w:val="00437447"/>
    <w:rsid w:val="00441A92"/>
    <w:rsid w:val="004431DC"/>
    <w:rsid w:val="004448BC"/>
    <w:rsid w:val="00444F56"/>
    <w:rsid w:val="00446214"/>
    <w:rsid w:val="00446347"/>
    <w:rsid w:val="00446488"/>
    <w:rsid w:val="00446D29"/>
    <w:rsid w:val="0044733E"/>
    <w:rsid w:val="004517AA"/>
    <w:rsid w:val="00452CAC"/>
    <w:rsid w:val="00457565"/>
    <w:rsid w:val="00457B71"/>
    <w:rsid w:val="00460882"/>
    <w:rsid w:val="00462D5F"/>
    <w:rsid w:val="00464CE3"/>
    <w:rsid w:val="004662D9"/>
    <w:rsid w:val="004669E2"/>
    <w:rsid w:val="00470C31"/>
    <w:rsid w:val="00471DE0"/>
    <w:rsid w:val="004734D0"/>
    <w:rsid w:val="00473761"/>
    <w:rsid w:val="004745E9"/>
    <w:rsid w:val="0047556B"/>
    <w:rsid w:val="00477768"/>
    <w:rsid w:val="00482AA6"/>
    <w:rsid w:val="00492BC5"/>
    <w:rsid w:val="00493C19"/>
    <w:rsid w:val="004964F1"/>
    <w:rsid w:val="004A16BC"/>
    <w:rsid w:val="004A2B94"/>
    <w:rsid w:val="004A412A"/>
    <w:rsid w:val="004A707D"/>
    <w:rsid w:val="004B6F6A"/>
    <w:rsid w:val="004B7C0C"/>
    <w:rsid w:val="004C3898"/>
    <w:rsid w:val="004D2222"/>
    <w:rsid w:val="004D36B1"/>
    <w:rsid w:val="004D7EBD"/>
    <w:rsid w:val="004E2279"/>
    <w:rsid w:val="004E2680"/>
    <w:rsid w:val="004E27D8"/>
    <w:rsid w:val="004E28F9"/>
    <w:rsid w:val="004E3C64"/>
    <w:rsid w:val="004E4285"/>
    <w:rsid w:val="004E462E"/>
    <w:rsid w:val="004E4A39"/>
    <w:rsid w:val="004E56DC"/>
    <w:rsid w:val="004E7251"/>
    <w:rsid w:val="004E74C5"/>
    <w:rsid w:val="004E76F4"/>
    <w:rsid w:val="004F051C"/>
    <w:rsid w:val="004F0B4E"/>
    <w:rsid w:val="004F0B6C"/>
    <w:rsid w:val="004F2078"/>
    <w:rsid w:val="004F4294"/>
    <w:rsid w:val="004F42FF"/>
    <w:rsid w:val="004F43CA"/>
    <w:rsid w:val="004F4DA3"/>
    <w:rsid w:val="004F7EED"/>
    <w:rsid w:val="005022BC"/>
    <w:rsid w:val="00505AFF"/>
    <w:rsid w:val="00506557"/>
    <w:rsid w:val="0050677A"/>
    <w:rsid w:val="00506F8A"/>
    <w:rsid w:val="005108D8"/>
    <w:rsid w:val="005116F9"/>
    <w:rsid w:val="00512FE8"/>
    <w:rsid w:val="005153A7"/>
    <w:rsid w:val="005219CF"/>
    <w:rsid w:val="005237B0"/>
    <w:rsid w:val="00527185"/>
    <w:rsid w:val="00534B59"/>
    <w:rsid w:val="00536759"/>
    <w:rsid w:val="00537C62"/>
    <w:rsid w:val="005417C5"/>
    <w:rsid w:val="00541978"/>
    <w:rsid w:val="00546970"/>
    <w:rsid w:val="00554E19"/>
    <w:rsid w:val="00560DA9"/>
    <w:rsid w:val="0056121F"/>
    <w:rsid w:val="00562A29"/>
    <w:rsid w:val="00563EB9"/>
    <w:rsid w:val="00572505"/>
    <w:rsid w:val="00572825"/>
    <w:rsid w:val="00574389"/>
    <w:rsid w:val="0057447D"/>
    <w:rsid w:val="00582809"/>
    <w:rsid w:val="00587261"/>
    <w:rsid w:val="0058798C"/>
    <w:rsid w:val="005900FA"/>
    <w:rsid w:val="005905F8"/>
    <w:rsid w:val="00592E7F"/>
    <w:rsid w:val="005935A4"/>
    <w:rsid w:val="005948C2"/>
    <w:rsid w:val="00595DCA"/>
    <w:rsid w:val="0059779B"/>
    <w:rsid w:val="005A13BC"/>
    <w:rsid w:val="005A209A"/>
    <w:rsid w:val="005A46C2"/>
    <w:rsid w:val="005A662D"/>
    <w:rsid w:val="005B1409"/>
    <w:rsid w:val="005B1CEA"/>
    <w:rsid w:val="005B35D7"/>
    <w:rsid w:val="005B392A"/>
    <w:rsid w:val="005B3AA3"/>
    <w:rsid w:val="005B4A4F"/>
    <w:rsid w:val="005B6F83"/>
    <w:rsid w:val="005C04FB"/>
    <w:rsid w:val="005C171B"/>
    <w:rsid w:val="005C3F67"/>
    <w:rsid w:val="005C74FB"/>
    <w:rsid w:val="005D1602"/>
    <w:rsid w:val="005D1BC8"/>
    <w:rsid w:val="005E31C8"/>
    <w:rsid w:val="005E385F"/>
    <w:rsid w:val="005E5B81"/>
    <w:rsid w:val="005F2CB1"/>
    <w:rsid w:val="005F3025"/>
    <w:rsid w:val="005F618C"/>
    <w:rsid w:val="005F70BD"/>
    <w:rsid w:val="0060283C"/>
    <w:rsid w:val="00604F14"/>
    <w:rsid w:val="00605AA9"/>
    <w:rsid w:val="00611B83"/>
    <w:rsid w:val="00613257"/>
    <w:rsid w:val="00616B95"/>
    <w:rsid w:val="00617926"/>
    <w:rsid w:val="00620A71"/>
    <w:rsid w:val="00620D80"/>
    <w:rsid w:val="00622D8E"/>
    <w:rsid w:val="006234A6"/>
    <w:rsid w:val="00625A4D"/>
    <w:rsid w:val="00627716"/>
    <w:rsid w:val="00630001"/>
    <w:rsid w:val="006311B3"/>
    <w:rsid w:val="006311F9"/>
    <w:rsid w:val="0063284C"/>
    <w:rsid w:val="00632E7B"/>
    <w:rsid w:val="00636398"/>
    <w:rsid w:val="00636516"/>
    <w:rsid w:val="006368D3"/>
    <w:rsid w:val="006377EC"/>
    <w:rsid w:val="0064151F"/>
    <w:rsid w:val="00641533"/>
    <w:rsid w:val="0064208D"/>
    <w:rsid w:val="00643475"/>
    <w:rsid w:val="0064396A"/>
    <w:rsid w:val="00644BED"/>
    <w:rsid w:val="0064624E"/>
    <w:rsid w:val="00650AB9"/>
    <w:rsid w:val="00653C44"/>
    <w:rsid w:val="00655733"/>
    <w:rsid w:val="00655ACD"/>
    <w:rsid w:val="00656A92"/>
    <w:rsid w:val="00656DDE"/>
    <w:rsid w:val="0065792E"/>
    <w:rsid w:val="0066011D"/>
    <w:rsid w:val="006607C0"/>
    <w:rsid w:val="006613A6"/>
    <w:rsid w:val="0066154A"/>
    <w:rsid w:val="006627A2"/>
    <w:rsid w:val="006634E6"/>
    <w:rsid w:val="006655EE"/>
    <w:rsid w:val="00667D58"/>
    <w:rsid w:val="00667EE7"/>
    <w:rsid w:val="00670922"/>
    <w:rsid w:val="00670BE1"/>
    <w:rsid w:val="0067145A"/>
    <w:rsid w:val="0067218F"/>
    <w:rsid w:val="006733B0"/>
    <w:rsid w:val="006741F2"/>
    <w:rsid w:val="00674CC3"/>
    <w:rsid w:val="00675C72"/>
    <w:rsid w:val="006771F9"/>
    <w:rsid w:val="00677232"/>
    <w:rsid w:val="006776D7"/>
    <w:rsid w:val="00677A0F"/>
    <w:rsid w:val="00680551"/>
    <w:rsid w:val="00680E62"/>
    <w:rsid w:val="00681003"/>
    <w:rsid w:val="006817C9"/>
    <w:rsid w:val="00683ECE"/>
    <w:rsid w:val="00695C36"/>
    <w:rsid w:val="00695FC2"/>
    <w:rsid w:val="00696949"/>
    <w:rsid w:val="00697052"/>
    <w:rsid w:val="006A195E"/>
    <w:rsid w:val="006A315D"/>
    <w:rsid w:val="006A46FB"/>
    <w:rsid w:val="006A5E28"/>
    <w:rsid w:val="006A6120"/>
    <w:rsid w:val="006A697B"/>
    <w:rsid w:val="006A7AFF"/>
    <w:rsid w:val="006B1816"/>
    <w:rsid w:val="006B2099"/>
    <w:rsid w:val="006B50CF"/>
    <w:rsid w:val="006C03B8"/>
    <w:rsid w:val="006C064C"/>
    <w:rsid w:val="006C5233"/>
    <w:rsid w:val="006C5EC9"/>
    <w:rsid w:val="006C6059"/>
    <w:rsid w:val="006C7522"/>
    <w:rsid w:val="006D4DD8"/>
    <w:rsid w:val="006D6F08"/>
    <w:rsid w:val="006E062C"/>
    <w:rsid w:val="006E1665"/>
    <w:rsid w:val="006E1C82"/>
    <w:rsid w:val="006E28B7"/>
    <w:rsid w:val="006E2A9B"/>
    <w:rsid w:val="006E3310"/>
    <w:rsid w:val="006E417B"/>
    <w:rsid w:val="006E433B"/>
    <w:rsid w:val="006E4D58"/>
    <w:rsid w:val="006E4E39"/>
    <w:rsid w:val="006E526E"/>
    <w:rsid w:val="006E565E"/>
    <w:rsid w:val="006E673D"/>
    <w:rsid w:val="006E7D3B"/>
    <w:rsid w:val="006F1B70"/>
    <w:rsid w:val="006F341D"/>
    <w:rsid w:val="006F3CDE"/>
    <w:rsid w:val="006F3D47"/>
    <w:rsid w:val="006F58D4"/>
    <w:rsid w:val="006F6582"/>
    <w:rsid w:val="006F681D"/>
    <w:rsid w:val="0070346E"/>
    <w:rsid w:val="00704EDB"/>
    <w:rsid w:val="00706101"/>
    <w:rsid w:val="00707072"/>
    <w:rsid w:val="00707BF1"/>
    <w:rsid w:val="00707D61"/>
    <w:rsid w:val="00710005"/>
    <w:rsid w:val="00710982"/>
    <w:rsid w:val="00712287"/>
    <w:rsid w:val="00712772"/>
    <w:rsid w:val="007142CE"/>
    <w:rsid w:val="007148D3"/>
    <w:rsid w:val="00715B9A"/>
    <w:rsid w:val="007221D2"/>
    <w:rsid w:val="007257D0"/>
    <w:rsid w:val="00725CDE"/>
    <w:rsid w:val="00726EA6"/>
    <w:rsid w:val="00727208"/>
    <w:rsid w:val="00727680"/>
    <w:rsid w:val="007348B1"/>
    <w:rsid w:val="0073555B"/>
    <w:rsid w:val="007362A6"/>
    <w:rsid w:val="00736D7D"/>
    <w:rsid w:val="00740E58"/>
    <w:rsid w:val="007445A0"/>
    <w:rsid w:val="00745052"/>
    <w:rsid w:val="0074524B"/>
    <w:rsid w:val="00747D8B"/>
    <w:rsid w:val="00751228"/>
    <w:rsid w:val="00751844"/>
    <w:rsid w:val="007547ED"/>
    <w:rsid w:val="007571E1"/>
    <w:rsid w:val="00757A16"/>
    <w:rsid w:val="007604B2"/>
    <w:rsid w:val="00762E86"/>
    <w:rsid w:val="00765281"/>
    <w:rsid w:val="0076583D"/>
    <w:rsid w:val="00766BAD"/>
    <w:rsid w:val="007729A2"/>
    <w:rsid w:val="007755F2"/>
    <w:rsid w:val="00776971"/>
    <w:rsid w:val="00780A80"/>
    <w:rsid w:val="00780ED4"/>
    <w:rsid w:val="00781209"/>
    <w:rsid w:val="0078177E"/>
    <w:rsid w:val="00782BC9"/>
    <w:rsid w:val="0078304C"/>
    <w:rsid w:val="007835FC"/>
    <w:rsid w:val="00783673"/>
    <w:rsid w:val="007847C4"/>
    <w:rsid w:val="00785490"/>
    <w:rsid w:val="007875AA"/>
    <w:rsid w:val="007911B2"/>
    <w:rsid w:val="007925EA"/>
    <w:rsid w:val="00793CD8"/>
    <w:rsid w:val="00795C92"/>
    <w:rsid w:val="00796231"/>
    <w:rsid w:val="007A1CB3"/>
    <w:rsid w:val="007A306F"/>
    <w:rsid w:val="007A3434"/>
    <w:rsid w:val="007A43A6"/>
    <w:rsid w:val="007A58A6"/>
    <w:rsid w:val="007B0B7F"/>
    <w:rsid w:val="007B3D2D"/>
    <w:rsid w:val="007B50AE"/>
    <w:rsid w:val="007B51DF"/>
    <w:rsid w:val="007B7D81"/>
    <w:rsid w:val="007C05DD"/>
    <w:rsid w:val="007C3D18"/>
    <w:rsid w:val="007C60BF"/>
    <w:rsid w:val="007C6A07"/>
    <w:rsid w:val="007C75A1"/>
    <w:rsid w:val="007C77A5"/>
    <w:rsid w:val="007D04E5"/>
    <w:rsid w:val="007D5901"/>
    <w:rsid w:val="007D7526"/>
    <w:rsid w:val="007E0EC8"/>
    <w:rsid w:val="007E1B1E"/>
    <w:rsid w:val="007E4610"/>
    <w:rsid w:val="007E4715"/>
    <w:rsid w:val="007E505B"/>
    <w:rsid w:val="007E7091"/>
    <w:rsid w:val="007F29F3"/>
    <w:rsid w:val="00800414"/>
    <w:rsid w:val="00800C15"/>
    <w:rsid w:val="00801C88"/>
    <w:rsid w:val="008030BE"/>
    <w:rsid w:val="00803FAE"/>
    <w:rsid w:val="0080605F"/>
    <w:rsid w:val="00807786"/>
    <w:rsid w:val="00811FCB"/>
    <w:rsid w:val="008151C5"/>
    <w:rsid w:val="008158D6"/>
    <w:rsid w:val="00817079"/>
    <w:rsid w:val="00817196"/>
    <w:rsid w:val="00822C44"/>
    <w:rsid w:val="008235DB"/>
    <w:rsid w:val="00824AB4"/>
    <w:rsid w:val="00825C42"/>
    <w:rsid w:val="00825D25"/>
    <w:rsid w:val="0082771B"/>
    <w:rsid w:val="00827D6F"/>
    <w:rsid w:val="00835DE9"/>
    <w:rsid w:val="008376AC"/>
    <w:rsid w:val="00840E28"/>
    <w:rsid w:val="008444E8"/>
    <w:rsid w:val="00844E80"/>
    <w:rsid w:val="00846FE7"/>
    <w:rsid w:val="00853C88"/>
    <w:rsid w:val="00855FFD"/>
    <w:rsid w:val="00856911"/>
    <w:rsid w:val="00857247"/>
    <w:rsid w:val="00865777"/>
    <w:rsid w:val="008677FD"/>
    <w:rsid w:val="008706D4"/>
    <w:rsid w:val="00870F8A"/>
    <w:rsid w:val="008719A4"/>
    <w:rsid w:val="00871D23"/>
    <w:rsid w:val="00873AFD"/>
    <w:rsid w:val="00874312"/>
    <w:rsid w:val="0087437C"/>
    <w:rsid w:val="00875CD7"/>
    <w:rsid w:val="00876B4D"/>
    <w:rsid w:val="00877F18"/>
    <w:rsid w:val="008800B1"/>
    <w:rsid w:val="00880A98"/>
    <w:rsid w:val="008818B8"/>
    <w:rsid w:val="00886F2B"/>
    <w:rsid w:val="008870D3"/>
    <w:rsid w:val="008913AF"/>
    <w:rsid w:val="008941E3"/>
    <w:rsid w:val="00894A88"/>
    <w:rsid w:val="00895386"/>
    <w:rsid w:val="008A17DB"/>
    <w:rsid w:val="008A21FF"/>
    <w:rsid w:val="008A26BA"/>
    <w:rsid w:val="008A2CE2"/>
    <w:rsid w:val="008A30AC"/>
    <w:rsid w:val="008A44B8"/>
    <w:rsid w:val="008A480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C7E9E"/>
    <w:rsid w:val="008D00A5"/>
    <w:rsid w:val="008D1CE2"/>
    <w:rsid w:val="008D34F1"/>
    <w:rsid w:val="008D39D8"/>
    <w:rsid w:val="008D3B0D"/>
    <w:rsid w:val="008D5A55"/>
    <w:rsid w:val="008D6D1A"/>
    <w:rsid w:val="008E065E"/>
    <w:rsid w:val="008E0927"/>
    <w:rsid w:val="008E1909"/>
    <w:rsid w:val="008F0AEA"/>
    <w:rsid w:val="008F1EAB"/>
    <w:rsid w:val="008F26DE"/>
    <w:rsid w:val="008F28A6"/>
    <w:rsid w:val="008F298A"/>
    <w:rsid w:val="008F33DC"/>
    <w:rsid w:val="008F477F"/>
    <w:rsid w:val="008F54DB"/>
    <w:rsid w:val="00902350"/>
    <w:rsid w:val="0090336B"/>
    <w:rsid w:val="009053AA"/>
    <w:rsid w:val="00906939"/>
    <w:rsid w:val="00906AEC"/>
    <w:rsid w:val="00907033"/>
    <w:rsid w:val="00910B7D"/>
    <w:rsid w:val="00911DFB"/>
    <w:rsid w:val="009139D9"/>
    <w:rsid w:val="00914AD8"/>
    <w:rsid w:val="00916079"/>
    <w:rsid w:val="00917CE9"/>
    <w:rsid w:val="009204A7"/>
    <w:rsid w:val="00920BF2"/>
    <w:rsid w:val="00922010"/>
    <w:rsid w:val="0092417A"/>
    <w:rsid w:val="00925B8B"/>
    <w:rsid w:val="009267E0"/>
    <w:rsid w:val="00931BD9"/>
    <w:rsid w:val="00936875"/>
    <w:rsid w:val="009368F3"/>
    <w:rsid w:val="00941636"/>
    <w:rsid w:val="009420BB"/>
    <w:rsid w:val="00943742"/>
    <w:rsid w:val="00943A66"/>
    <w:rsid w:val="00945C05"/>
    <w:rsid w:val="00946945"/>
    <w:rsid w:val="00947713"/>
    <w:rsid w:val="00950B8C"/>
    <w:rsid w:val="00950DE7"/>
    <w:rsid w:val="00953188"/>
    <w:rsid w:val="00953920"/>
    <w:rsid w:val="009539EC"/>
    <w:rsid w:val="00953D47"/>
    <w:rsid w:val="00954B0D"/>
    <w:rsid w:val="0095681E"/>
    <w:rsid w:val="009572D4"/>
    <w:rsid w:val="00957716"/>
    <w:rsid w:val="00957994"/>
    <w:rsid w:val="00961921"/>
    <w:rsid w:val="0096430A"/>
    <w:rsid w:val="0096554B"/>
    <w:rsid w:val="0096584A"/>
    <w:rsid w:val="0096787A"/>
    <w:rsid w:val="00971F08"/>
    <w:rsid w:val="00973DA4"/>
    <w:rsid w:val="009757CB"/>
    <w:rsid w:val="0097603D"/>
    <w:rsid w:val="00976949"/>
    <w:rsid w:val="00980477"/>
    <w:rsid w:val="00985253"/>
    <w:rsid w:val="009853B3"/>
    <w:rsid w:val="00990630"/>
    <w:rsid w:val="00991761"/>
    <w:rsid w:val="0099241D"/>
    <w:rsid w:val="00993D66"/>
    <w:rsid w:val="00994980"/>
    <w:rsid w:val="00994DCA"/>
    <w:rsid w:val="009960EC"/>
    <w:rsid w:val="009970DD"/>
    <w:rsid w:val="009A0FBA"/>
    <w:rsid w:val="009A1601"/>
    <w:rsid w:val="009A1EE3"/>
    <w:rsid w:val="009A3BB6"/>
    <w:rsid w:val="009A462D"/>
    <w:rsid w:val="009A5CBA"/>
    <w:rsid w:val="009A674F"/>
    <w:rsid w:val="009B1882"/>
    <w:rsid w:val="009B1F30"/>
    <w:rsid w:val="009B25E4"/>
    <w:rsid w:val="009B3AC2"/>
    <w:rsid w:val="009B4DF4"/>
    <w:rsid w:val="009B564E"/>
    <w:rsid w:val="009B7E87"/>
    <w:rsid w:val="009B7F37"/>
    <w:rsid w:val="009C0169"/>
    <w:rsid w:val="009C190A"/>
    <w:rsid w:val="009C28B7"/>
    <w:rsid w:val="009C394E"/>
    <w:rsid w:val="009C403E"/>
    <w:rsid w:val="009D0E1A"/>
    <w:rsid w:val="009D3C84"/>
    <w:rsid w:val="009D4FF0"/>
    <w:rsid w:val="009D703C"/>
    <w:rsid w:val="009D718F"/>
    <w:rsid w:val="009D7B26"/>
    <w:rsid w:val="009E068F"/>
    <w:rsid w:val="009E14E0"/>
    <w:rsid w:val="009E35DB"/>
    <w:rsid w:val="009E3D3D"/>
    <w:rsid w:val="009E47A3"/>
    <w:rsid w:val="009E5E05"/>
    <w:rsid w:val="009E5E2C"/>
    <w:rsid w:val="009F08F3"/>
    <w:rsid w:val="009F344F"/>
    <w:rsid w:val="009F3470"/>
    <w:rsid w:val="009F35F2"/>
    <w:rsid w:val="009F7CF0"/>
    <w:rsid w:val="00A031D8"/>
    <w:rsid w:val="00A048A8"/>
    <w:rsid w:val="00A048D0"/>
    <w:rsid w:val="00A04F49"/>
    <w:rsid w:val="00A05265"/>
    <w:rsid w:val="00A06049"/>
    <w:rsid w:val="00A13E54"/>
    <w:rsid w:val="00A16111"/>
    <w:rsid w:val="00A1612A"/>
    <w:rsid w:val="00A17F63"/>
    <w:rsid w:val="00A2193B"/>
    <w:rsid w:val="00A219F2"/>
    <w:rsid w:val="00A23366"/>
    <w:rsid w:val="00A2351A"/>
    <w:rsid w:val="00A2377A"/>
    <w:rsid w:val="00A2389A"/>
    <w:rsid w:val="00A25AA3"/>
    <w:rsid w:val="00A264A9"/>
    <w:rsid w:val="00A268A4"/>
    <w:rsid w:val="00A26DCF"/>
    <w:rsid w:val="00A27785"/>
    <w:rsid w:val="00A30187"/>
    <w:rsid w:val="00A33E9A"/>
    <w:rsid w:val="00A3448A"/>
    <w:rsid w:val="00A34C6C"/>
    <w:rsid w:val="00A36297"/>
    <w:rsid w:val="00A36425"/>
    <w:rsid w:val="00A3771C"/>
    <w:rsid w:val="00A41E2B"/>
    <w:rsid w:val="00A45B74"/>
    <w:rsid w:val="00A52E1D"/>
    <w:rsid w:val="00A55FFF"/>
    <w:rsid w:val="00A60A2E"/>
    <w:rsid w:val="00A61499"/>
    <w:rsid w:val="00A62A77"/>
    <w:rsid w:val="00A63483"/>
    <w:rsid w:val="00A657D7"/>
    <w:rsid w:val="00A660AC"/>
    <w:rsid w:val="00A66898"/>
    <w:rsid w:val="00A66FCB"/>
    <w:rsid w:val="00A67E6C"/>
    <w:rsid w:val="00A70DCE"/>
    <w:rsid w:val="00A71B99"/>
    <w:rsid w:val="00A72F3B"/>
    <w:rsid w:val="00A739D0"/>
    <w:rsid w:val="00A74D8F"/>
    <w:rsid w:val="00A761D4"/>
    <w:rsid w:val="00A77156"/>
    <w:rsid w:val="00A77EC4"/>
    <w:rsid w:val="00A81338"/>
    <w:rsid w:val="00A84B4F"/>
    <w:rsid w:val="00A92879"/>
    <w:rsid w:val="00A9442A"/>
    <w:rsid w:val="00A9487C"/>
    <w:rsid w:val="00A95D21"/>
    <w:rsid w:val="00A962F5"/>
    <w:rsid w:val="00A968F3"/>
    <w:rsid w:val="00A96CBE"/>
    <w:rsid w:val="00AA016F"/>
    <w:rsid w:val="00AA0731"/>
    <w:rsid w:val="00AA1ED6"/>
    <w:rsid w:val="00AA2121"/>
    <w:rsid w:val="00AA51D6"/>
    <w:rsid w:val="00AB0BC8"/>
    <w:rsid w:val="00AB11CA"/>
    <w:rsid w:val="00AB14D9"/>
    <w:rsid w:val="00AB2DD1"/>
    <w:rsid w:val="00AB33EB"/>
    <w:rsid w:val="00AB4AB8"/>
    <w:rsid w:val="00AB655E"/>
    <w:rsid w:val="00AC007F"/>
    <w:rsid w:val="00AC02E6"/>
    <w:rsid w:val="00AC2681"/>
    <w:rsid w:val="00AC2ECD"/>
    <w:rsid w:val="00AC3119"/>
    <w:rsid w:val="00AC49FB"/>
    <w:rsid w:val="00AC5572"/>
    <w:rsid w:val="00AC5A10"/>
    <w:rsid w:val="00AD0AA3"/>
    <w:rsid w:val="00AD224F"/>
    <w:rsid w:val="00AD3F94"/>
    <w:rsid w:val="00AD485B"/>
    <w:rsid w:val="00AD4A5A"/>
    <w:rsid w:val="00AD6914"/>
    <w:rsid w:val="00AE1541"/>
    <w:rsid w:val="00AE1F24"/>
    <w:rsid w:val="00AE27AC"/>
    <w:rsid w:val="00AE40E0"/>
    <w:rsid w:val="00AE4DBA"/>
    <w:rsid w:val="00AE4F07"/>
    <w:rsid w:val="00AE6106"/>
    <w:rsid w:val="00AF1C5D"/>
    <w:rsid w:val="00AF42D7"/>
    <w:rsid w:val="00AF4944"/>
    <w:rsid w:val="00B006FE"/>
    <w:rsid w:val="00B007CB"/>
    <w:rsid w:val="00B01B29"/>
    <w:rsid w:val="00B02AA9"/>
    <w:rsid w:val="00B02FA3"/>
    <w:rsid w:val="00B05084"/>
    <w:rsid w:val="00B12CF2"/>
    <w:rsid w:val="00B157F9"/>
    <w:rsid w:val="00B20256"/>
    <w:rsid w:val="00B20D09"/>
    <w:rsid w:val="00B239FC"/>
    <w:rsid w:val="00B2404C"/>
    <w:rsid w:val="00B24335"/>
    <w:rsid w:val="00B25B40"/>
    <w:rsid w:val="00B2763F"/>
    <w:rsid w:val="00B27AAC"/>
    <w:rsid w:val="00B30929"/>
    <w:rsid w:val="00B36C91"/>
    <w:rsid w:val="00B372AA"/>
    <w:rsid w:val="00B40445"/>
    <w:rsid w:val="00B409E0"/>
    <w:rsid w:val="00B417F8"/>
    <w:rsid w:val="00B41888"/>
    <w:rsid w:val="00B45A52"/>
    <w:rsid w:val="00B46175"/>
    <w:rsid w:val="00B46A1C"/>
    <w:rsid w:val="00B53914"/>
    <w:rsid w:val="00B548B7"/>
    <w:rsid w:val="00B56046"/>
    <w:rsid w:val="00B5689B"/>
    <w:rsid w:val="00B570A8"/>
    <w:rsid w:val="00B65ADB"/>
    <w:rsid w:val="00B664C7"/>
    <w:rsid w:val="00B739F6"/>
    <w:rsid w:val="00B748F3"/>
    <w:rsid w:val="00B81A6C"/>
    <w:rsid w:val="00B83F0D"/>
    <w:rsid w:val="00B83F0F"/>
    <w:rsid w:val="00B84372"/>
    <w:rsid w:val="00B85DE5"/>
    <w:rsid w:val="00B90F73"/>
    <w:rsid w:val="00B92BB6"/>
    <w:rsid w:val="00B93B59"/>
    <w:rsid w:val="00B9406A"/>
    <w:rsid w:val="00BA10BE"/>
    <w:rsid w:val="00BA2280"/>
    <w:rsid w:val="00BA2A08"/>
    <w:rsid w:val="00BA56D2"/>
    <w:rsid w:val="00BA5B78"/>
    <w:rsid w:val="00BA76E0"/>
    <w:rsid w:val="00BB2A25"/>
    <w:rsid w:val="00BB51E9"/>
    <w:rsid w:val="00BB61D0"/>
    <w:rsid w:val="00BC0FDC"/>
    <w:rsid w:val="00BC3053"/>
    <w:rsid w:val="00BC4D2E"/>
    <w:rsid w:val="00BD2177"/>
    <w:rsid w:val="00BD48AC"/>
    <w:rsid w:val="00BD4D93"/>
    <w:rsid w:val="00BD5F1A"/>
    <w:rsid w:val="00BE012B"/>
    <w:rsid w:val="00BE1234"/>
    <w:rsid w:val="00BE207C"/>
    <w:rsid w:val="00BE27B0"/>
    <w:rsid w:val="00BE2FA6"/>
    <w:rsid w:val="00BE333F"/>
    <w:rsid w:val="00BE6B0B"/>
    <w:rsid w:val="00BE7406"/>
    <w:rsid w:val="00BE7603"/>
    <w:rsid w:val="00BF2677"/>
    <w:rsid w:val="00BF3279"/>
    <w:rsid w:val="00BF74C7"/>
    <w:rsid w:val="00C015F1"/>
    <w:rsid w:val="00C01F33"/>
    <w:rsid w:val="00C02CC6"/>
    <w:rsid w:val="00C040F7"/>
    <w:rsid w:val="00C044AB"/>
    <w:rsid w:val="00C050F9"/>
    <w:rsid w:val="00C05706"/>
    <w:rsid w:val="00C06449"/>
    <w:rsid w:val="00C07377"/>
    <w:rsid w:val="00C10478"/>
    <w:rsid w:val="00C116B8"/>
    <w:rsid w:val="00C12107"/>
    <w:rsid w:val="00C13EDE"/>
    <w:rsid w:val="00C14D4B"/>
    <w:rsid w:val="00C154BB"/>
    <w:rsid w:val="00C16A1B"/>
    <w:rsid w:val="00C231B7"/>
    <w:rsid w:val="00C279B5"/>
    <w:rsid w:val="00C27C45"/>
    <w:rsid w:val="00C36BE8"/>
    <w:rsid w:val="00C3719D"/>
    <w:rsid w:val="00C37CB2"/>
    <w:rsid w:val="00C41260"/>
    <w:rsid w:val="00C4550B"/>
    <w:rsid w:val="00C473A5"/>
    <w:rsid w:val="00C54995"/>
    <w:rsid w:val="00C54D41"/>
    <w:rsid w:val="00C552E5"/>
    <w:rsid w:val="00C60783"/>
    <w:rsid w:val="00C64672"/>
    <w:rsid w:val="00C70697"/>
    <w:rsid w:val="00C72093"/>
    <w:rsid w:val="00C72EF4"/>
    <w:rsid w:val="00C744FE"/>
    <w:rsid w:val="00C75D2F"/>
    <w:rsid w:val="00C767BE"/>
    <w:rsid w:val="00C76E3C"/>
    <w:rsid w:val="00C7718B"/>
    <w:rsid w:val="00C81568"/>
    <w:rsid w:val="00C841CF"/>
    <w:rsid w:val="00C87F5F"/>
    <w:rsid w:val="00C9027A"/>
    <w:rsid w:val="00C9029F"/>
    <w:rsid w:val="00C9068E"/>
    <w:rsid w:val="00C93814"/>
    <w:rsid w:val="00C93C4B"/>
    <w:rsid w:val="00C944AB"/>
    <w:rsid w:val="00C94895"/>
    <w:rsid w:val="00C95024"/>
    <w:rsid w:val="00C95B40"/>
    <w:rsid w:val="00CA051B"/>
    <w:rsid w:val="00CA1ED8"/>
    <w:rsid w:val="00CA2E1B"/>
    <w:rsid w:val="00CB161F"/>
    <w:rsid w:val="00CB1F63"/>
    <w:rsid w:val="00CB2CA9"/>
    <w:rsid w:val="00CB5EE4"/>
    <w:rsid w:val="00CB7170"/>
    <w:rsid w:val="00CC040E"/>
    <w:rsid w:val="00CC111F"/>
    <w:rsid w:val="00CC2011"/>
    <w:rsid w:val="00CC2AFA"/>
    <w:rsid w:val="00CC3EA0"/>
    <w:rsid w:val="00CC7B45"/>
    <w:rsid w:val="00CD00FF"/>
    <w:rsid w:val="00CD011D"/>
    <w:rsid w:val="00CD1188"/>
    <w:rsid w:val="00CD2BF1"/>
    <w:rsid w:val="00CD2ED1"/>
    <w:rsid w:val="00CD337B"/>
    <w:rsid w:val="00CD35E6"/>
    <w:rsid w:val="00CD55EC"/>
    <w:rsid w:val="00CE0424"/>
    <w:rsid w:val="00CE1985"/>
    <w:rsid w:val="00CE2F5A"/>
    <w:rsid w:val="00CE355A"/>
    <w:rsid w:val="00CE7561"/>
    <w:rsid w:val="00CE77DC"/>
    <w:rsid w:val="00CE792D"/>
    <w:rsid w:val="00CF1354"/>
    <w:rsid w:val="00CF3B1F"/>
    <w:rsid w:val="00CF3BF6"/>
    <w:rsid w:val="00CF4352"/>
    <w:rsid w:val="00CF625B"/>
    <w:rsid w:val="00CF687E"/>
    <w:rsid w:val="00D0349B"/>
    <w:rsid w:val="00D04DCB"/>
    <w:rsid w:val="00D05756"/>
    <w:rsid w:val="00D10249"/>
    <w:rsid w:val="00D115C3"/>
    <w:rsid w:val="00D11897"/>
    <w:rsid w:val="00D13135"/>
    <w:rsid w:val="00D13BDD"/>
    <w:rsid w:val="00D13E4E"/>
    <w:rsid w:val="00D20A23"/>
    <w:rsid w:val="00D20F04"/>
    <w:rsid w:val="00D2119B"/>
    <w:rsid w:val="00D239A7"/>
    <w:rsid w:val="00D23F47"/>
    <w:rsid w:val="00D24EB6"/>
    <w:rsid w:val="00D304F7"/>
    <w:rsid w:val="00D35BDC"/>
    <w:rsid w:val="00D36E71"/>
    <w:rsid w:val="00D37D87"/>
    <w:rsid w:val="00D40B33"/>
    <w:rsid w:val="00D4318F"/>
    <w:rsid w:val="00D438BF"/>
    <w:rsid w:val="00D440F8"/>
    <w:rsid w:val="00D474DA"/>
    <w:rsid w:val="00D515FA"/>
    <w:rsid w:val="00D546FF"/>
    <w:rsid w:val="00D55AD5"/>
    <w:rsid w:val="00D569E0"/>
    <w:rsid w:val="00D575DE"/>
    <w:rsid w:val="00D576CA"/>
    <w:rsid w:val="00D57F2F"/>
    <w:rsid w:val="00D61A0A"/>
    <w:rsid w:val="00D61AF5"/>
    <w:rsid w:val="00D637CC"/>
    <w:rsid w:val="00D652B5"/>
    <w:rsid w:val="00D66155"/>
    <w:rsid w:val="00D7015D"/>
    <w:rsid w:val="00D708B0"/>
    <w:rsid w:val="00D7393A"/>
    <w:rsid w:val="00D73D78"/>
    <w:rsid w:val="00D75EE3"/>
    <w:rsid w:val="00D77B1D"/>
    <w:rsid w:val="00D8021F"/>
    <w:rsid w:val="00D80383"/>
    <w:rsid w:val="00D81F79"/>
    <w:rsid w:val="00D823C6"/>
    <w:rsid w:val="00D8327F"/>
    <w:rsid w:val="00D85237"/>
    <w:rsid w:val="00D86CA3"/>
    <w:rsid w:val="00D871CE"/>
    <w:rsid w:val="00D87553"/>
    <w:rsid w:val="00D87D2C"/>
    <w:rsid w:val="00D913FD"/>
    <w:rsid w:val="00D9196D"/>
    <w:rsid w:val="00D92982"/>
    <w:rsid w:val="00D94EEF"/>
    <w:rsid w:val="00DA16D5"/>
    <w:rsid w:val="00DA305E"/>
    <w:rsid w:val="00DA5417"/>
    <w:rsid w:val="00DA56E8"/>
    <w:rsid w:val="00DA712D"/>
    <w:rsid w:val="00DB0A9F"/>
    <w:rsid w:val="00DB377D"/>
    <w:rsid w:val="00DC2D36"/>
    <w:rsid w:val="00DC2DCB"/>
    <w:rsid w:val="00DC4C61"/>
    <w:rsid w:val="00DC5246"/>
    <w:rsid w:val="00DC53EF"/>
    <w:rsid w:val="00DC5A89"/>
    <w:rsid w:val="00DC5D71"/>
    <w:rsid w:val="00DD24F8"/>
    <w:rsid w:val="00DD7605"/>
    <w:rsid w:val="00DE5608"/>
    <w:rsid w:val="00DE58D0"/>
    <w:rsid w:val="00DE59E6"/>
    <w:rsid w:val="00DE654F"/>
    <w:rsid w:val="00DF0B6E"/>
    <w:rsid w:val="00DF15E0"/>
    <w:rsid w:val="00DF1A85"/>
    <w:rsid w:val="00DF27B9"/>
    <w:rsid w:val="00DF37A0"/>
    <w:rsid w:val="00DF6076"/>
    <w:rsid w:val="00DF7CF2"/>
    <w:rsid w:val="00E0622D"/>
    <w:rsid w:val="00E10AC1"/>
    <w:rsid w:val="00E10B03"/>
    <w:rsid w:val="00E110E7"/>
    <w:rsid w:val="00E11B20"/>
    <w:rsid w:val="00E17245"/>
    <w:rsid w:val="00E17FA2"/>
    <w:rsid w:val="00E22330"/>
    <w:rsid w:val="00E23ED7"/>
    <w:rsid w:val="00E269CF"/>
    <w:rsid w:val="00E30B5A"/>
    <w:rsid w:val="00E3123D"/>
    <w:rsid w:val="00E31461"/>
    <w:rsid w:val="00E31D43"/>
    <w:rsid w:val="00E32608"/>
    <w:rsid w:val="00E34188"/>
    <w:rsid w:val="00E343D1"/>
    <w:rsid w:val="00E34B6E"/>
    <w:rsid w:val="00E34B92"/>
    <w:rsid w:val="00E35559"/>
    <w:rsid w:val="00E36F7E"/>
    <w:rsid w:val="00E3723A"/>
    <w:rsid w:val="00E37860"/>
    <w:rsid w:val="00E446F1"/>
    <w:rsid w:val="00E46115"/>
    <w:rsid w:val="00E46886"/>
    <w:rsid w:val="00E47AEF"/>
    <w:rsid w:val="00E5077B"/>
    <w:rsid w:val="00E509F5"/>
    <w:rsid w:val="00E50EC6"/>
    <w:rsid w:val="00E523E1"/>
    <w:rsid w:val="00E53B75"/>
    <w:rsid w:val="00E53DE5"/>
    <w:rsid w:val="00E54E3B"/>
    <w:rsid w:val="00E55AF8"/>
    <w:rsid w:val="00E57565"/>
    <w:rsid w:val="00E63838"/>
    <w:rsid w:val="00E64434"/>
    <w:rsid w:val="00E65F8D"/>
    <w:rsid w:val="00E67C51"/>
    <w:rsid w:val="00E708BE"/>
    <w:rsid w:val="00E72EFC"/>
    <w:rsid w:val="00E743C2"/>
    <w:rsid w:val="00E758EC"/>
    <w:rsid w:val="00E76688"/>
    <w:rsid w:val="00E8234C"/>
    <w:rsid w:val="00E83AA9"/>
    <w:rsid w:val="00E85928"/>
    <w:rsid w:val="00E87822"/>
    <w:rsid w:val="00E90395"/>
    <w:rsid w:val="00E90E49"/>
    <w:rsid w:val="00E917F9"/>
    <w:rsid w:val="00E9291C"/>
    <w:rsid w:val="00E93BA2"/>
    <w:rsid w:val="00E93FFE"/>
    <w:rsid w:val="00E94D34"/>
    <w:rsid w:val="00E94F8A"/>
    <w:rsid w:val="00E954E9"/>
    <w:rsid w:val="00EA145C"/>
    <w:rsid w:val="00EA2EAA"/>
    <w:rsid w:val="00EA7A41"/>
    <w:rsid w:val="00EB077B"/>
    <w:rsid w:val="00EB4731"/>
    <w:rsid w:val="00EB4EA2"/>
    <w:rsid w:val="00EB5D8C"/>
    <w:rsid w:val="00EB7D1A"/>
    <w:rsid w:val="00EC24D5"/>
    <w:rsid w:val="00EC27C6"/>
    <w:rsid w:val="00EC4207"/>
    <w:rsid w:val="00EC4447"/>
    <w:rsid w:val="00EC5653"/>
    <w:rsid w:val="00EC6A96"/>
    <w:rsid w:val="00EC71CE"/>
    <w:rsid w:val="00ED1006"/>
    <w:rsid w:val="00ED18E8"/>
    <w:rsid w:val="00ED42BC"/>
    <w:rsid w:val="00ED6E3A"/>
    <w:rsid w:val="00EE00A8"/>
    <w:rsid w:val="00EE2EB3"/>
    <w:rsid w:val="00EE3625"/>
    <w:rsid w:val="00EE579E"/>
    <w:rsid w:val="00EE6290"/>
    <w:rsid w:val="00EF18FE"/>
    <w:rsid w:val="00EF3643"/>
    <w:rsid w:val="00EF54D1"/>
    <w:rsid w:val="00EF5605"/>
    <w:rsid w:val="00EF5787"/>
    <w:rsid w:val="00EF5F18"/>
    <w:rsid w:val="00EF60D0"/>
    <w:rsid w:val="00F0528D"/>
    <w:rsid w:val="00F06637"/>
    <w:rsid w:val="00F06C67"/>
    <w:rsid w:val="00F06DFD"/>
    <w:rsid w:val="00F071D1"/>
    <w:rsid w:val="00F07533"/>
    <w:rsid w:val="00F10629"/>
    <w:rsid w:val="00F15FA5"/>
    <w:rsid w:val="00F209B7"/>
    <w:rsid w:val="00F21A2F"/>
    <w:rsid w:val="00F2201D"/>
    <w:rsid w:val="00F2268A"/>
    <w:rsid w:val="00F2376F"/>
    <w:rsid w:val="00F24258"/>
    <w:rsid w:val="00F243D8"/>
    <w:rsid w:val="00F25806"/>
    <w:rsid w:val="00F274A6"/>
    <w:rsid w:val="00F30828"/>
    <w:rsid w:val="00F31239"/>
    <w:rsid w:val="00F313D6"/>
    <w:rsid w:val="00F37835"/>
    <w:rsid w:val="00F40F0C"/>
    <w:rsid w:val="00F455F5"/>
    <w:rsid w:val="00F4766C"/>
    <w:rsid w:val="00F5060E"/>
    <w:rsid w:val="00F507D1"/>
    <w:rsid w:val="00F519CE"/>
    <w:rsid w:val="00F51ADA"/>
    <w:rsid w:val="00F54F92"/>
    <w:rsid w:val="00F56C8F"/>
    <w:rsid w:val="00F56C99"/>
    <w:rsid w:val="00F60203"/>
    <w:rsid w:val="00F607C5"/>
    <w:rsid w:val="00F60DEA"/>
    <w:rsid w:val="00F6242B"/>
    <w:rsid w:val="00F6302A"/>
    <w:rsid w:val="00F638D7"/>
    <w:rsid w:val="00F63950"/>
    <w:rsid w:val="00F64C2B"/>
    <w:rsid w:val="00F651BE"/>
    <w:rsid w:val="00F679F4"/>
    <w:rsid w:val="00F67F53"/>
    <w:rsid w:val="00F703BE"/>
    <w:rsid w:val="00F71F69"/>
    <w:rsid w:val="00F72B72"/>
    <w:rsid w:val="00F7412B"/>
    <w:rsid w:val="00F743FB"/>
    <w:rsid w:val="00F74BB9"/>
    <w:rsid w:val="00F75582"/>
    <w:rsid w:val="00F76EFA"/>
    <w:rsid w:val="00F804BE"/>
    <w:rsid w:val="00F817CE"/>
    <w:rsid w:val="00F839F3"/>
    <w:rsid w:val="00F8456C"/>
    <w:rsid w:val="00F859D8"/>
    <w:rsid w:val="00F868F5"/>
    <w:rsid w:val="00F87CA2"/>
    <w:rsid w:val="00F9056A"/>
    <w:rsid w:val="00F90F8D"/>
    <w:rsid w:val="00F92782"/>
    <w:rsid w:val="00F93AA9"/>
    <w:rsid w:val="00F96985"/>
    <w:rsid w:val="00F97838"/>
    <w:rsid w:val="00FA2BB3"/>
    <w:rsid w:val="00FA7CFE"/>
    <w:rsid w:val="00FB2C84"/>
    <w:rsid w:val="00FB4C80"/>
    <w:rsid w:val="00FB5A95"/>
    <w:rsid w:val="00FB6A6A"/>
    <w:rsid w:val="00FC2FD5"/>
    <w:rsid w:val="00FC7429"/>
    <w:rsid w:val="00FC76A6"/>
    <w:rsid w:val="00FD07F6"/>
    <w:rsid w:val="00FD133A"/>
    <w:rsid w:val="00FD1836"/>
    <w:rsid w:val="00FD1EC8"/>
    <w:rsid w:val="00FD47ED"/>
    <w:rsid w:val="00FD5637"/>
    <w:rsid w:val="00FD74DB"/>
    <w:rsid w:val="00FD7660"/>
    <w:rsid w:val="00FE0655"/>
    <w:rsid w:val="00FE2365"/>
    <w:rsid w:val="00FE2862"/>
    <w:rsid w:val="00FE37D7"/>
    <w:rsid w:val="00FE41FC"/>
    <w:rsid w:val="00FE4C7B"/>
    <w:rsid w:val="00FE61F5"/>
    <w:rsid w:val="00FE7336"/>
    <w:rsid w:val="00FE787C"/>
    <w:rsid w:val="00FF1459"/>
    <w:rsid w:val="00FF45A5"/>
    <w:rsid w:val="00FF5131"/>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AFFED9"/>
  <w15:chartTrackingRefBased/>
  <w15:docId w15:val="{48270A45-2715-4DBD-B91C-3E5226D04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B2C84"/>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FB2C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B2C84"/>
    <w:pPr>
      <w:pBdr>
        <w:top w:val="none" w:sz="0" w:space="0" w:color="auto"/>
      </w:pBdr>
      <w:spacing w:before="180"/>
      <w:outlineLvl w:val="1"/>
    </w:pPr>
    <w:rPr>
      <w:sz w:val="32"/>
    </w:rPr>
  </w:style>
  <w:style w:type="paragraph" w:styleId="Heading3">
    <w:name w:val="heading 3"/>
    <w:basedOn w:val="Heading2"/>
    <w:next w:val="Normal"/>
    <w:link w:val="Heading3Char"/>
    <w:qFormat/>
    <w:rsid w:val="00FB2C84"/>
    <w:pPr>
      <w:spacing w:before="120"/>
      <w:outlineLvl w:val="2"/>
    </w:pPr>
    <w:rPr>
      <w:sz w:val="28"/>
    </w:rPr>
  </w:style>
  <w:style w:type="paragraph" w:styleId="Heading4">
    <w:name w:val="heading 4"/>
    <w:basedOn w:val="Heading3"/>
    <w:next w:val="Normal"/>
    <w:link w:val="Heading4Char"/>
    <w:qFormat/>
    <w:rsid w:val="00FB2C84"/>
    <w:pPr>
      <w:ind w:left="1418" w:hanging="1418"/>
      <w:outlineLvl w:val="3"/>
    </w:pPr>
    <w:rPr>
      <w:sz w:val="24"/>
    </w:rPr>
  </w:style>
  <w:style w:type="paragraph" w:styleId="Heading5">
    <w:name w:val="heading 5"/>
    <w:basedOn w:val="Heading4"/>
    <w:next w:val="Normal"/>
    <w:link w:val="Heading5Char"/>
    <w:qFormat/>
    <w:rsid w:val="00FB2C84"/>
    <w:pPr>
      <w:ind w:left="1701" w:hanging="1701"/>
      <w:outlineLvl w:val="4"/>
    </w:pPr>
    <w:rPr>
      <w:sz w:val="22"/>
    </w:rPr>
  </w:style>
  <w:style w:type="paragraph" w:styleId="Heading6">
    <w:name w:val="heading 6"/>
    <w:basedOn w:val="H6"/>
    <w:next w:val="Normal"/>
    <w:link w:val="Heading6Char"/>
    <w:qFormat/>
    <w:rsid w:val="00FB2C84"/>
    <w:pPr>
      <w:outlineLvl w:val="5"/>
    </w:pPr>
  </w:style>
  <w:style w:type="paragraph" w:styleId="Heading7">
    <w:name w:val="heading 7"/>
    <w:basedOn w:val="H6"/>
    <w:next w:val="Normal"/>
    <w:link w:val="Heading7Char"/>
    <w:qFormat/>
    <w:rsid w:val="00FB2C84"/>
    <w:pPr>
      <w:outlineLvl w:val="6"/>
    </w:pPr>
  </w:style>
  <w:style w:type="paragraph" w:styleId="Heading8">
    <w:name w:val="heading 8"/>
    <w:basedOn w:val="Heading1"/>
    <w:next w:val="Normal"/>
    <w:link w:val="Heading8Char"/>
    <w:qFormat/>
    <w:rsid w:val="00FB2C84"/>
    <w:pPr>
      <w:ind w:left="0" w:firstLine="0"/>
      <w:outlineLvl w:val="7"/>
    </w:pPr>
  </w:style>
  <w:style w:type="paragraph" w:styleId="Heading9">
    <w:name w:val="heading 9"/>
    <w:basedOn w:val="Heading8"/>
    <w:next w:val="Normal"/>
    <w:link w:val="Heading9Char"/>
    <w:qFormat/>
    <w:rsid w:val="00FB2C84"/>
    <w:pPr>
      <w:outlineLvl w:val="8"/>
    </w:pPr>
  </w:style>
  <w:style w:type="character" w:default="1" w:styleId="DefaultParagraphFont">
    <w:name w:val="Default Paragraph Font"/>
    <w:uiPriority w:val="1"/>
    <w:semiHidden/>
    <w:unhideWhenUsed/>
    <w:rsid w:val="00FB2C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B2C84"/>
  </w:style>
  <w:style w:type="paragraph" w:styleId="TOC8">
    <w:name w:val="toc 8"/>
    <w:basedOn w:val="TOC1"/>
    <w:uiPriority w:val="39"/>
    <w:rsid w:val="00FB2C84"/>
    <w:pPr>
      <w:spacing w:before="180"/>
      <w:ind w:left="2693" w:hanging="2693"/>
    </w:pPr>
    <w:rPr>
      <w:b/>
    </w:rPr>
  </w:style>
  <w:style w:type="paragraph" w:styleId="TOC1">
    <w:name w:val="toc 1"/>
    <w:uiPriority w:val="39"/>
    <w:rsid w:val="00FB2C8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B2C84"/>
    <w:pPr>
      <w:keepNext/>
      <w:keepLines/>
      <w:spacing w:before="180"/>
      <w:jc w:val="center"/>
    </w:pPr>
  </w:style>
  <w:style w:type="paragraph" w:styleId="Caption">
    <w:name w:val="caption"/>
    <w:basedOn w:val="Normal"/>
    <w:next w:val="Normal"/>
    <w:qFormat/>
    <w:rsid w:val="00FB2C84"/>
    <w:pPr>
      <w:spacing w:before="120" w:after="120"/>
    </w:pPr>
    <w:rPr>
      <w:b/>
      <w:lang w:eastAsia="en-GB"/>
    </w:rPr>
  </w:style>
  <w:style w:type="paragraph" w:styleId="TOC5">
    <w:name w:val="toc 5"/>
    <w:basedOn w:val="TOC4"/>
    <w:uiPriority w:val="39"/>
    <w:rsid w:val="00FB2C84"/>
    <w:pPr>
      <w:ind w:left="1701" w:hanging="1701"/>
    </w:pPr>
  </w:style>
  <w:style w:type="paragraph" w:styleId="TOC4">
    <w:name w:val="toc 4"/>
    <w:basedOn w:val="TOC3"/>
    <w:uiPriority w:val="39"/>
    <w:rsid w:val="00FB2C84"/>
    <w:pPr>
      <w:ind w:left="1418" w:hanging="1418"/>
    </w:pPr>
  </w:style>
  <w:style w:type="paragraph" w:styleId="TOC3">
    <w:name w:val="toc 3"/>
    <w:basedOn w:val="TOC2"/>
    <w:uiPriority w:val="39"/>
    <w:rsid w:val="00FB2C84"/>
    <w:pPr>
      <w:ind w:left="1134" w:hanging="1134"/>
    </w:pPr>
  </w:style>
  <w:style w:type="paragraph" w:styleId="TOC2">
    <w:name w:val="toc 2"/>
    <w:basedOn w:val="TOC1"/>
    <w:uiPriority w:val="39"/>
    <w:rsid w:val="00FB2C84"/>
    <w:pPr>
      <w:keepNext w:val="0"/>
      <w:spacing w:before="0"/>
      <w:ind w:left="851" w:hanging="851"/>
    </w:pPr>
    <w:rPr>
      <w:sz w:val="20"/>
    </w:rPr>
  </w:style>
  <w:style w:type="paragraph" w:styleId="Index2">
    <w:name w:val="index 2"/>
    <w:basedOn w:val="Index1"/>
    <w:rsid w:val="00FB2C84"/>
    <w:pPr>
      <w:ind w:left="284"/>
    </w:pPr>
  </w:style>
  <w:style w:type="paragraph" w:styleId="Index1">
    <w:name w:val="index 1"/>
    <w:basedOn w:val="Normal"/>
    <w:rsid w:val="00FB2C84"/>
    <w:pPr>
      <w:keepLines/>
      <w:spacing w:after="0"/>
    </w:pPr>
  </w:style>
  <w:style w:type="paragraph" w:styleId="DocumentMap">
    <w:name w:val="Document Map"/>
    <w:basedOn w:val="Normal"/>
    <w:link w:val="DocumentMapChar"/>
    <w:rsid w:val="00FB2C84"/>
    <w:pPr>
      <w:shd w:val="clear" w:color="auto" w:fill="000080"/>
    </w:pPr>
    <w:rPr>
      <w:rFonts w:ascii="Tahoma" w:hAnsi="Tahoma" w:cs="Tahoma"/>
    </w:rPr>
  </w:style>
  <w:style w:type="paragraph" w:styleId="ListNumber2">
    <w:name w:val="List Number 2"/>
    <w:basedOn w:val="ListNumber"/>
    <w:rsid w:val="00FB2C84"/>
    <w:pPr>
      <w:numPr>
        <w:numId w:val="22"/>
      </w:numPr>
    </w:pPr>
  </w:style>
  <w:style w:type="paragraph" w:styleId="ListNumber">
    <w:name w:val="List Number"/>
    <w:basedOn w:val="List"/>
    <w:rsid w:val="00FB2C84"/>
    <w:pPr>
      <w:numPr>
        <w:numId w:val="21"/>
      </w:numPr>
    </w:pPr>
    <w:rPr>
      <w:lang w:eastAsia="ja-JP"/>
    </w:rPr>
  </w:style>
  <w:style w:type="paragraph" w:styleId="List">
    <w:name w:val="List"/>
    <w:basedOn w:val="BodyText"/>
    <w:rsid w:val="00FB2C84"/>
    <w:pPr>
      <w:ind w:left="568" w:hanging="284"/>
    </w:pPr>
  </w:style>
  <w:style w:type="paragraph" w:styleId="Header">
    <w:name w:val="header"/>
    <w:link w:val="HeaderChar"/>
    <w:rsid w:val="00FB2C84"/>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B2C84"/>
    <w:rPr>
      <w:b/>
      <w:position w:val="6"/>
      <w:sz w:val="16"/>
    </w:rPr>
  </w:style>
  <w:style w:type="paragraph" w:styleId="FootnoteText">
    <w:name w:val="footnote text"/>
    <w:basedOn w:val="Normal"/>
    <w:link w:val="FootnoteTextChar"/>
    <w:rsid w:val="00FB2C84"/>
    <w:pPr>
      <w:keepLines/>
      <w:spacing w:after="0"/>
      <w:ind w:left="454" w:hanging="454"/>
    </w:pPr>
    <w:rPr>
      <w:sz w:val="16"/>
    </w:rPr>
  </w:style>
  <w:style w:type="paragraph" w:customStyle="1" w:styleId="3GPPHeader">
    <w:name w:val="3GPP_Header"/>
    <w:basedOn w:val="BodyText"/>
    <w:rsid w:val="00FB2C84"/>
    <w:pPr>
      <w:tabs>
        <w:tab w:val="left" w:pos="1701"/>
        <w:tab w:val="right" w:pos="9639"/>
      </w:tabs>
      <w:spacing w:after="240"/>
    </w:pPr>
    <w:rPr>
      <w:b/>
      <w:sz w:val="24"/>
    </w:rPr>
  </w:style>
  <w:style w:type="paragraph" w:styleId="TOC9">
    <w:name w:val="toc 9"/>
    <w:basedOn w:val="TOC8"/>
    <w:uiPriority w:val="39"/>
    <w:rsid w:val="00FB2C84"/>
    <w:pPr>
      <w:ind w:left="1418" w:hanging="1418"/>
    </w:pPr>
  </w:style>
  <w:style w:type="paragraph" w:styleId="TOC6">
    <w:name w:val="toc 6"/>
    <w:basedOn w:val="TOC5"/>
    <w:next w:val="Normal"/>
    <w:uiPriority w:val="39"/>
    <w:rsid w:val="00FB2C84"/>
    <w:pPr>
      <w:ind w:left="1985" w:hanging="1985"/>
    </w:pPr>
  </w:style>
  <w:style w:type="paragraph" w:styleId="TOC7">
    <w:name w:val="toc 7"/>
    <w:basedOn w:val="TOC6"/>
    <w:next w:val="Normal"/>
    <w:uiPriority w:val="39"/>
    <w:rsid w:val="00FB2C84"/>
    <w:pPr>
      <w:ind w:left="2268" w:hanging="2268"/>
    </w:pPr>
  </w:style>
  <w:style w:type="paragraph" w:styleId="ListBullet2">
    <w:name w:val="List Bullet 2"/>
    <w:basedOn w:val="ListBullet"/>
    <w:rsid w:val="00FB2C84"/>
    <w:pPr>
      <w:numPr>
        <w:numId w:val="17"/>
      </w:numPr>
    </w:pPr>
  </w:style>
  <w:style w:type="paragraph" w:styleId="ListBullet">
    <w:name w:val="List Bullet"/>
    <w:basedOn w:val="List"/>
    <w:rsid w:val="00FB2C84"/>
    <w:pPr>
      <w:numPr>
        <w:numId w:val="16"/>
      </w:numPr>
    </w:pPr>
    <w:rPr>
      <w:lang w:eastAsia="ja-JP"/>
    </w:rPr>
  </w:style>
  <w:style w:type="paragraph" w:styleId="ListBullet3">
    <w:name w:val="List Bullet 3"/>
    <w:basedOn w:val="ListBullet2"/>
    <w:rsid w:val="00FB2C84"/>
    <w:pPr>
      <w:numPr>
        <w:numId w:val="18"/>
      </w:numPr>
    </w:pPr>
  </w:style>
  <w:style w:type="paragraph" w:customStyle="1" w:styleId="EQ">
    <w:name w:val="EQ"/>
    <w:basedOn w:val="Normal"/>
    <w:next w:val="Normal"/>
    <w:rsid w:val="00FB2C84"/>
    <w:pPr>
      <w:keepLines/>
      <w:tabs>
        <w:tab w:val="center" w:pos="4536"/>
        <w:tab w:val="right" w:pos="9072"/>
      </w:tabs>
    </w:pPr>
    <w:rPr>
      <w:noProof/>
    </w:rPr>
  </w:style>
  <w:style w:type="paragraph" w:styleId="List2">
    <w:name w:val="List 2"/>
    <w:basedOn w:val="List"/>
    <w:rsid w:val="00FB2C84"/>
    <w:pPr>
      <w:ind w:left="851"/>
    </w:pPr>
    <w:rPr>
      <w:lang w:eastAsia="ja-JP"/>
    </w:rPr>
  </w:style>
  <w:style w:type="paragraph" w:styleId="List3">
    <w:name w:val="List 3"/>
    <w:basedOn w:val="List2"/>
    <w:rsid w:val="00FB2C84"/>
    <w:pPr>
      <w:ind w:left="1135"/>
    </w:pPr>
  </w:style>
  <w:style w:type="paragraph" w:styleId="List4">
    <w:name w:val="List 4"/>
    <w:basedOn w:val="List3"/>
    <w:rsid w:val="00FB2C84"/>
    <w:pPr>
      <w:ind w:left="1418"/>
    </w:pPr>
  </w:style>
  <w:style w:type="paragraph" w:styleId="List5">
    <w:name w:val="List 5"/>
    <w:basedOn w:val="List4"/>
    <w:rsid w:val="00FB2C84"/>
    <w:pPr>
      <w:ind w:left="1702"/>
    </w:pPr>
  </w:style>
  <w:style w:type="paragraph" w:customStyle="1" w:styleId="EditorsNote">
    <w:name w:val="Editor's Note"/>
    <w:basedOn w:val="NO"/>
    <w:link w:val="EditorsNoteChar"/>
    <w:rsid w:val="00FB2C84"/>
    <w:rPr>
      <w:color w:val="FF0000"/>
      <w:lang w:val="x-none" w:eastAsia="x-none"/>
    </w:rPr>
  </w:style>
  <w:style w:type="paragraph" w:styleId="ListBullet4">
    <w:name w:val="List Bullet 4"/>
    <w:basedOn w:val="ListBullet3"/>
    <w:rsid w:val="00FB2C84"/>
    <w:pPr>
      <w:numPr>
        <w:numId w:val="19"/>
      </w:numPr>
    </w:pPr>
  </w:style>
  <w:style w:type="paragraph" w:styleId="ListBullet5">
    <w:name w:val="List Bullet 5"/>
    <w:basedOn w:val="ListBullet4"/>
    <w:rsid w:val="00FB2C84"/>
    <w:pPr>
      <w:numPr>
        <w:numId w:val="20"/>
      </w:numPr>
    </w:pPr>
  </w:style>
  <w:style w:type="paragraph" w:styleId="Footer">
    <w:name w:val="footer"/>
    <w:basedOn w:val="Header"/>
    <w:link w:val="FooterChar"/>
    <w:rsid w:val="00FB2C84"/>
    <w:pPr>
      <w:jc w:val="center"/>
    </w:pPr>
    <w:rPr>
      <w:i/>
    </w:rPr>
  </w:style>
  <w:style w:type="paragraph" w:customStyle="1" w:styleId="Reference">
    <w:name w:val="Reference"/>
    <w:basedOn w:val="BodyText"/>
    <w:rsid w:val="00FB2C84"/>
    <w:pPr>
      <w:numPr>
        <w:numId w:val="2"/>
      </w:numPr>
    </w:pPr>
  </w:style>
  <w:style w:type="paragraph" w:styleId="BalloonText">
    <w:name w:val="Balloon Text"/>
    <w:basedOn w:val="Normal"/>
    <w:link w:val="BalloonTextChar"/>
    <w:rsid w:val="00FB2C84"/>
    <w:pPr>
      <w:spacing w:after="0"/>
    </w:pPr>
    <w:rPr>
      <w:rFonts w:ascii="Segoe UI" w:hAnsi="Segoe UI" w:cs="Segoe UI"/>
      <w:sz w:val="18"/>
      <w:szCs w:val="18"/>
    </w:rPr>
  </w:style>
  <w:style w:type="character" w:styleId="PageNumber">
    <w:name w:val="page number"/>
    <w:basedOn w:val="DefaultParagraphFont"/>
    <w:rsid w:val="00FB2C84"/>
  </w:style>
  <w:style w:type="paragraph" w:styleId="BodyText">
    <w:name w:val="Body Text"/>
    <w:basedOn w:val="Normal"/>
    <w:link w:val="BodyTextChar"/>
    <w:rsid w:val="00FB2C84"/>
    <w:pPr>
      <w:spacing w:after="120"/>
      <w:jc w:val="both"/>
    </w:pPr>
    <w:rPr>
      <w:rFonts w:ascii="Arial" w:hAnsi="Arial"/>
      <w:lang w:eastAsia="zh-CN"/>
    </w:rPr>
  </w:style>
  <w:style w:type="character" w:styleId="Hyperlink">
    <w:name w:val="Hyperlink"/>
    <w:uiPriority w:val="99"/>
    <w:rsid w:val="00FB2C84"/>
    <w:rPr>
      <w:color w:val="0000FF"/>
      <w:u w:val="single"/>
    </w:rPr>
  </w:style>
  <w:style w:type="character" w:styleId="FollowedHyperlink">
    <w:name w:val="FollowedHyperlink"/>
    <w:unhideWhenUsed/>
    <w:rsid w:val="00FB2C84"/>
    <w:rPr>
      <w:color w:val="800080"/>
      <w:u w:val="single"/>
    </w:rPr>
  </w:style>
  <w:style w:type="character" w:styleId="CommentReference">
    <w:name w:val="annotation reference"/>
    <w:uiPriority w:val="99"/>
    <w:qFormat/>
    <w:rsid w:val="00FB2C84"/>
    <w:rPr>
      <w:sz w:val="16"/>
      <w:szCs w:val="16"/>
    </w:rPr>
  </w:style>
  <w:style w:type="paragraph" w:styleId="CommentText">
    <w:name w:val="annotation text"/>
    <w:basedOn w:val="Normal"/>
    <w:link w:val="CommentTextChar"/>
    <w:uiPriority w:val="99"/>
    <w:qFormat/>
    <w:rsid w:val="00FB2C84"/>
  </w:style>
  <w:style w:type="paragraph" w:styleId="CommentSubject">
    <w:name w:val="annotation subject"/>
    <w:basedOn w:val="CommentText"/>
    <w:next w:val="CommentText"/>
    <w:link w:val="CommentSubjectChar"/>
    <w:rsid w:val="00FB2C84"/>
    <w:rPr>
      <w:b/>
      <w:bCs/>
    </w:rPr>
  </w:style>
  <w:style w:type="character" w:customStyle="1" w:styleId="Heading1Char">
    <w:name w:val="Heading 1 Char"/>
    <w:link w:val="Heading1"/>
    <w:rsid w:val="00FB2C84"/>
    <w:rPr>
      <w:rFonts w:ascii="Arial" w:hAnsi="Arial"/>
      <w:sz w:val="36"/>
      <w:lang w:eastAsia="ja-JP"/>
    </w:rPr>
  </w:style>
  <w:style w:type="paragraph" w:customStyle="1" w:styleId="B1">
    <w:name w:val="B1"/>
    <w:basedOn w:val="List"/>
    <w:link w:val="B1Char1"/>
    <w:rsid w:val="00FB2C84"/>
    <w:rPr>
      <w:rFonts w:ascii="Times New Roman" w:hAnsi="Times New Roman"/>
    </w:rPr>
  </w:style>
  <w:style w:type="paragraph" w:customStyle="1" w:styleId="B2">
    <w:name w:val="B2"/>
    <w:basedOn w:val="List2"/>
    <w:link w:val="B2Char"/>
    <w:rsid w:val="00FB2C84"/>
    <w:rPr>
      <w:rFonts w:ascii="Times New Roman" w:hAnsi="Times New Roman"/>
    </w:rPr>
  </w:style>
  <w:style w:type="paragraph" w:customStyle="1" w:styleId="B3">
    <w:name w:val="B3"/>
    <w:basedOn w:val="List3"/>
    <w:link w:val="B3Char2"/>
    <w:rsid w:val="00FB2C84"/>
    <w:rPr>
      <w:rFonts w:ascii="Times New Roman" w:hAnsi="Times New Roman"/>
    </w:rPr>
  </w:style>
  <w:style w:type="paragraph" w:customStyle="1" w:styleId="B4">
    <w:name w:val="B4"/>
    <w:basedOn w:val="List4"/>
    <w:link w:val="B4Char"/>
    <w:rsid w:val="00FB2C84"/>
    <w:rPr>
      <w:rFonts w:ascii="Times New Roman" w:hAnsi="Times New Roman"/>
    </w:rPr>
  </w:style>
  <w:style w:type="paragraph" w:customStyle="1" w:styleId="Proposal">
    <w:name w:val="Proposal"/>
    <w:basedOn w:val="BodyText"/>
    <w:rsid w:val="00FB2C84"/>
    <w:pPr>
      <w:numPr>
        <w:numId w:val="3"/>
      </w:numPr>
      <w:tabs>
        <w:tab w:val="clear" w:pos="1304"/>
        <w:tab w:val="left" w:pos="1701"/>
      </w:tabs>
      <w:ind w:left="1701" w:hanging="1701"/>
    </w:pPr>
    <w:rPr>
      <w:b/>
      <w:bCs/>
    </w:rPr>
  </w:style>
  <w:style w:type="character" w:customStyle="1" w:styleId="BodyTextChar">
    <w:name w:val="Body Text Char"/>
    <w:link w:val="BodyText"/>
    <w:rsid w:val="00FB2C84"/>
    <w:rPr>
      <w:rFonts w:ascii="Arial" w:hAnsi="Arial"/>
      <w:lang w:eastAsia="zh-CN"/>
    </w:rPr>
  </w:style>
  <w:style w:type="paragraph" w:customStyle="1" w:styleId="B5">
    <w:name w:val="B5"/>
    <w:basedOn w:val="List5"/>
    <w:link w:val="B5Char"/>
    <w:rsid w:val="00FB2C84"/>
    <w:rPr>
      <w:rFonts w:ascii="Times New Roman" w:hAnsi="Times New Roman"/>
    </w:rPr>
  </w:style>
  <w:style w:type="paragraph" w:customStyle="1" w:styleId="EX">
    <w:name w:val="EX"/>
    <w:basedOn w:val="Normal"/>
    <w:rsid w:val="00FB2C84"/>
    <w:pPr>
      <w:keepLines/>
      <w:ind w:left="1702" w:hanging="1418"/>
    </w:pPr>
  </w:style>
  <w:style w:type="paragraph" w:customStyle="1" w:styleId="EW">
    <w:name w:val="EW"/>
    <w:basedOn w:val="EX"/>
    <w:rsid w:val="00FB2C84"/>
    <w:pPr>
      <w:spacing w:after="0"/>
    </w:pPr>
  </w:style>
  <w:style w:type="paragraph" w:customStyle="1" w:styleId="TAL">
    <w:name w:val="TAL"/>
    <w:basedOn w:val="Normal"/>
    <w:link w:val="TALCar"/>
    <w:rsid w:val="00FB2C84"/>
    <w:pPr>
      <w:keepNext/>
      <w:keepLines/>
      <w:spacing w:after="0"/>
    </w:pPr>
    <w:rPr>
      <w:rFonts w:ascii="Arial" w:hAnsi="Arial"/>
      <w:sz w:val="18"/>
      <w:lang w:val="x-none" w:eastAsia="x-none"/>
    </w:rPr>
  </w:style>
  <w:style w:type="paragraph" w:customStyle="1" w:styleId="TAC">
    <w:name w:val="TAC"/>
    <w:basedOn w:val="TAL"/>
    <w:rsid w:val="00FB2C84"/>
    <w:pPr>
      <w:jc w:val="center"/>
    </w:pPr>
  </w:style>
  <w:style w:type="paragraph" w:customStyle="1" w:styleId="TAH">
    <w:name w:val="TAH"/>
    <w:basedOn w:val="TAC"/>
    <w:link w:val="TAHCar"/>
    <w:rsid w:val="00FB2C84"/>
    <w:rPr>
      <w:b/>
    </w:rPr>
  </w:style>
  <w:style w:type="paragraph" w:customStyle="1" w:styleId="TAN">
    <w:name w:val="TAN"/>
    <w:basedOn w:val="TAL"/>
    <w:rsid w:val="00FB2C84"/>
    <w:pPr>
      <w:ind w:left="851" w:hanging="851"/>
    </w:pPr>
  </w:style>
  <w:style w:type="paragraph" w:customStyle="1" w:styleId="TAR">
    <w:name w:val="TAR"/>
    <w:basedOn w:val="TAL"/>
    <w:rsid w:val="00FB2C84"/>
    <w:pPr>
      <w:jc w:val="right"/>
    </w:pPr>
  </w:style>
  <w:style w:type="paragraph" w:customStyle="1" w:styleId="TH">
    <w:name w:val="TH"/>
    <w:basedOn w:val="Normal"/>
    <w:link w:val="THChar"/>
    <w:rsid w:val="00FB2C84"/>
    <w:pPr>
      <w:keepNext/>
      <w:keepLines/>
      <w:spacing w:before="60"/>
      <w:jc w:val="center"/>
    </w:pPr>
    <w:rPr>
      <w:rFonts w:ascii="Arial" w:hAnsi="Arial"/>
      <w:b/>
      <w:lang w:val="x-none" w:eastAsia="x-none"/>
    </w:rPr>
  </w:style>
  <w:style w:type="paragraph" w:customStyle="1" w:styleId="TF">
    <w:name w:val="TF"/>
    <w:basedOn w:val="TH"/>
    <w:link w:val="TFChar"/>
    <w:rsid w:val="00FB2C84"/>
    <w:pPr>
      <w:keepNext w:val="0"/>
      <w:spacing w:before="0" w:after="240"/>
    </w:pPr>
  </w:style>
  <w:style w:type="paragraph" w:customStyle="1" w:styleId="TT">
    <w:name w:val="TT"/>
    <w:basedOn w:val="Heading1"/>
    <w:next w:val="Normal"/>
    <w:rsid w:val="00FB2C84"/>
    <w:pPr>
      <w:outlineLvl w:val="9"/>
    </w:pPr>
  </w:style>
  <w:style w:type="paragraph" w:customStyle="1" w:styleId="ZA">
    <w:name w:val="ZA"/>
    <w:rsid w:val="00FB2C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B2C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B2C8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B2C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B2C84"/>
  </w:style>
  <w:style w:type="paragraph" w:customStyle="1" w:styleId="ZH">
    <w:name w:val="ZH"/>
    <w:rsid w:val="00FB2C8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B2C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B2C84"/>
    <w:pPr>
      <w:framePr w:hRule="auto" w:wrap="notBeside" w:y="852"/>
    </w:pPr>
    <w:rPr>
      <w:i w:val="0"/>
      <w:sz w:val="40"/>
    </w:rPr>
  </w:style>
  <w:style w:type="paragraph" w:customStyle="1" w:styleId="ZU">
    <w:name w:val="ZU"/>
    <w:rsid w:val="00FB2C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B2C84"/>
    <w:pPr>
      <w:framePr w:wrap="notBeside" w:y="16161"/>
    </w:pPr>
  </w:style>
  <w:style w:type="paragraph" w:customStyle="1" w:styleId="FP">
    <w:name w:val="FP"/>
    <w:basedOn w:val="Normal"/>
    <w:rsid w:val="00FB2C84"/>
    <w:pPr>
      <w:spacing w:after="0"/>
    </w:pPr>
  </w:style>
  <w:style w:type="paragraph" w:customStyle="1" w:styleId="Observation">
    <w:name w:val="Observation"/>
    <w:basedOn w:val="Proposal"/>
    <w:qFormat/>
    <w:rsid w:val="00FB2C84"/>
    <w:pPr>
      <w:numPr>
        <w:numId w:val="13"/>
      </w:numPr>
      <w:ind w:left="1701" w:hanging="1701"/>
    </w:pPr>
    <w:rPr>
      <w:lang w:eastAsia="ja-JP"/>
    </w:rPr>
  </w:style>
  <w:style w:type="paragraph" w:styleId="TableofFigures">
    <w:name w:val="table of figures"/>
    <w:basedOn w:val="BodyText"/>
    <w:next w:val="Normal"/>
    <w:uiPriority w:val="99"/>
    <w:rsid w:val="00FB2C84"/>
    <w:pPr>
      <w:ind w:left="1701" w:hanging="1701"/>
      <w:jc w:val="left"/>
    </w:pPr>
    <w:rPr>
      <w:b/>
    </w:rPr>
  </w:style>
  <w:style w:type="character" w:customStyle="1" w:styleId="B1Char1">
    <w:name w:val="B1 Char1"/>
    <w:link w:val="B1"/>
    <w:qFormat/>
    <w:rsid w:val="00FB2C84"/>
    <w:rPr>
      <w:rFonts w:ascii="Times New Roman" w:hAnsi="Times New Roman"/>
      <w:lang w:eastAsia="zh-CN"/>
    </w:rPr>
  </w:style>
  <w:style w:type="character" w:customStyle="1" w:styleId="B2Char">
    <w:name w:val="B2 Char"/>
    <w:link w:val="B2"/>
    <w:qFormat/>
    <w:rsid w:val="00FB2C84"/>
    <w:rPr>
      <w:rFonts w:ascii="Times New Roman" w:hAnsi="Times New Roman"/>
      <w:lang w:eastAsia="ja-JP"/>
    </w:rPr>
  </w:style>
  <w:style w:type="character" w:customStyle="1" w:styleId="B3Char2">
    <w:name w:val="B3 Char2"/>
    <w:link w:val="B3"/>
    <w:qFormat/>
    <w:rsid w:val="00FB2C84"/>
    <w:rPr>
      <w:rFonts w:ascii="Times New Roman" w:hAnsi="Times New Roman"/>
      <w:lang w:eastAsia="ja-JP"/>
    </w:rPr>
  </w:style>
  <w:style w:type="character" w:customStyle="1" w:styleId="B4Char">
    <w:name w:val="B4 Char"/>
    <w:link w:val="B4"/>
    <w:rsid w:val="00FB2C84"/>
    <w:rPr>
      <w:rFonts w:ascii="Times New Roman" w:hAnsi="Times New Roman"/>
      <w:lang w:eastAsia="ja-JP"/>
    </w:rPr>
  </w:style>
  <w:style w:type="character" w:customStyle="1" w:styleId="B5Char">
    <w:name w:val="B5 Char"/>
    <w:link w:val="B5"/>
    <w:rsid w:val="00FB2C84"/>
    <w:rPr>
      <w:rFonts w:ascii="Times New Roman" w:hAnsi="Times New Roman"/>
      <w:lang w:eastAsia="ja-JP"/>
    </w:rPr>
  </w:style>
  <w:style w:type="paragraph" w:customStyle="1" w:styleId="B6">
    <w:name w:val="B6"/>
    <w:basedOn w:val="B5"/>
    <w:link w:val="B6Char"/>
    <w:rsid w:val="00FB2C84"/>
    <w:pPr>
      <w:ind w:left="1985"/>
    </w:pPr>
  </w:style>
  <w:style w:type="character" w:customStyle="1" w:styleId="B6Char">
    <w:name w:val="B6 Char"/>
    <w:link w:val="B6"/>
    <w:rsid w:val="00FB2C84"/>
    <w:rPr>
      <w:rFonts w:ascii="Times New Roman" w:hAnsi="Times New Roman"/>
      <w:lang w:eastAsia="ja-JP"/>
    </w:rPr>
  </w:style>
  <w:style w:type="paragraph" w:customStyle="1" w:styleId="B7">
    <w:name w:val="B7"/>
    <w:basedOn w:val="B6"/>
    <w:link w:val="B7Char"/>
    <w:rsid w:val="00FB2C84"/>
    <w:pPr>
      <w:ind w:left="2269"/>
    </w:pPr>
  </w:style>
  <w:style w:type="character" w:customStyle="1" w:styleId="B7Char">
    <w:name w:val="B7 Char"/>
    <w:basedOn w:val="B6Char"/>
    <w:link w:val="B7"/>
    <w:rsid w:val="00FB2C84"/>
    <w:rPr>
      <w:rFonts w:ascii="Times New Roman" w:hAnsi="Times New Roman"/>
      <w:lang w:eastAsia="ja-JP"/>
    </w:rPr>
  </w:style>
  <w:style w:type="paragraph" w:customStyle="1" w:styleId="B8">
    <w:name w:val="B8"/>
    <w:basedOn w:val="B7"/>
    <w:qFormat/>
    <w:rsid w:val="00FB2C84"/>
    <w:pPr>
      <w:ind w:left="2552"/>
    </w:pPr>
  </w:style>
  <w:style w:type="character" w:customStyle="1" w:styleId="BalloonTextChar">
    <w:name w:val="Balloon Text Char"/>
    <w:link w:val="BalloonText"/>
    <w:rsid w:val="00FB2C84"/>
    <w:rPr>
      <w:rFonts w:ascii="Segoe UI" w:hAnsi="Segoe UI" w:cs="Segoe UI"/>
      <w:sz w:val="18"/>
      <w:szCs w:val="18"/>
      <w:lang w:eastAsia="ja-JP"/>
    </w:rPr>
  </w:style>
  <w:style w:type="character" w:customStyle="1" w:styleId="CommentTextChar">
    <w:name w:val="Comment Text Char"/>
    <w:link w:val="CommentText"/>
    <w:uiPriority w:val="99"/>
    <w:qFormat/>
    <w:rsid w:val="00FB2C84"/>
    <w:rPr>
      <w:rFonts w:ascii="Times New Roman" w:hAnsi="Times New Roman"/>
      <w:lang w:eastAsia="ja-JP"/>
    </w:rPr>
  </w:style>
  <w:style w:type="character" w:customStyle="1" w:styleId="CommentSubjectChar">
    <w:name w:val="Comment Subject Char"/>
    <w:link w:val="CommentSubject"/>
    <w:rsid w:val="00FB2C84"/>
    <w:rPr>
      <w:rFonts w:ascii="Times New Roman" w:hAnsi="Times New Roman"/>
      <w:b/>
      <w:bCs/>
      <w:lang w:eastAsia="ja-JP"/>
    </w:rPr>
  </w:style>
  <w:style w:type="paragraph" w:customStyle="1" w:styleId="CRCoverPage">
    <w:name w:val="CR Cover Page"/>
    <w:link w:val="CRCoverPageZchn"/>
    <w:rsid w:val="00FB2C84"/>
    <w:pPr>
      <w:spacing w:after="120"/>
    </w:pPr>
    <w:rPr>
      <w:rFonts w:ascii="Arial" w:hAnsi="Arial"/>
      <w:lang w:eastAsia="ko-KR"/>
    </w:rPr>
  </w:style>
  <w:style w:type="character" w:customStyle="1" w:styleId="CRCoverPageZchn">
    <w:name w:val="CR Cover Page Zchn"/>
    <w:link w:val="CRCoverPage"/>
    <w:rsid w:val="00FB2C84"/>
    <w:rPr>
      <w:rFonts w:ascii="Arial" w:hAnsi="Arial"/>
      <w:lang w:eastAsia="ko-KR"/>
    </w:rPr>
  </w:style>
  <w:style w:type="paragraph" w:customStyle="1" w:styleId="Doc-text2">
    <w:name w:val="Doc-text2"/>
    <w:basedOn w:val="Normal"/>
    <w:link w:val="Doc-text2Char"/>
    <w:qFormat/>
    <w:rsid w:val="00FB2C84"/>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FB2C84"/>
    <w:rPr>
      <w:rFonts w:ascii="Arial" w:eastAsia="MS Mincho" w:hAnsi="Arial"/>
      <w:szCs w:val="24"/>
      <w:lang w:val="x-none" w:eastAsia="x-none"/>
    </w:rPr>
  </w:style>
  <w:style w:type="character" w:customStyle="1" w:styleId="DocumentMapChar">
    <w:name w:val="Document Map Char"/>
    <w:link w:val="DocumentMap"/>
    <w:rsid w:val="00FB2C84"/>
    <w:rPr>
      <w:rFonts w:ascii="Tahoma" w:hAnsi="Tahoma" w:cs="Tahoma"/>
      <w:shd w:val="clear" w:color="auto" w:fill="000080"/>
      <w:lang w:eastAsia="ja-JP"/>
    </w:rPr>
  </w:style>
  <w:style w:type="paragraph" w:customStyle="1" w:styleId="NO">
    <w:name w:val="NO"/>
    <w:basedOn w:val="Normal"/>
    <w:link w:val="NOChar"/>
    <w:rsid w:val="00FB2C84"/>
    <w:pPr>
      <w:keepLines/>
      <w:ind w:left="1135" w:hanging="851"/>
    </w:pPr>
  </w:style>
  <w:style w:type="character" w:customStyle="1" w:styleId="NOChar">
    <w:name w:val="NO Char"/>
    <w:link w:val="NO"/>
    <w:qFormat/>
    <w:rsid w:val="00FB2C84"/>
    <w:rPr>
      <w:rFonts w:ascii="Times New Roman" w:hAnsi="Times New Roman"/>
      <w:lang w:eastAsia="ja-JP"/>
    </w:rPr>
  </w:style>
  <w:style w:type="character" w:customStyle="1" w:styleId="EditorsNoteChar">
    <w:name w:val="Editor's Note Char"/>
    <w:link w:val="EditorsNote"/>
    <w:rsid w:val="00FB2C84"/>
    <w:rPr>
      <w:rFonts w:ascii="Times New Roman" w:hAnsi="Times New Roman"/>
      <w:color w:val="FF0000"/>
      <w:lang w:val="x-none" w:eastAsia="x-none"/>
    </w:rPr>
  </w:style>
  <w:style w:type="paragraph" w:customStyle="1" w:styleId="EmailDiscussion">
    <w:name w:val="EmailDiscussion"/>
    <w:basedOn w:val="Normal"/>
    <w:next w:val="Normal"/>
    <w:rsid w:val="00FB2C84"/>
    <w:pPr>
      <w:numPr>
        <w:numId w:val="14"/>
      </w:numPr>
      <w:spacing w:before="40" w:after="0"/>
    </w:pPr>
    <w:rPr>
      <w:rFonts w:ascii="Arial" w:eastAsia="MS Mincho" w:hAnsi="Arial"/>
      <w:b/>
      <w:szCs w:val="24"/>
      <w:lang w:eastAsia="en-GB"/>
    </w:rPr>
  </w:style>
  <w:style w:type="character" w:styleId="Emphasis">
    <w:name w:val="Emphasis"/>
    <w:qFormat/>
    <w:rsid w:val="00FB2C84"/>
    <w:rPr>
      <w:i/>
      <w:iCs/>
    </w:rPr>
  </w:style>
  <w:style w:type="paragraph" w:customStyle="1" w:styleId="FigureTitle">
    <w:name w:val="Figure_Title"/>
    <w:basedOn w:val="Normal"/>
    <w:next w:val="Normal"/>
    <w:rsid w:val="00FB2C84"/>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FB2C84"/>
    <w:rPr>
      <w:rFonts w:ascii="Arial" w:hAnsi="Arial"/>
      <w:b/>
      <w:noProof/>
      <w:sz w:val="18"/>
      <w:lang w:eastAsia="ja-JP"/>
    </w:rPr>
  </w:style>
  <w:style w:type="character" w:customStyle="1" w:styleId="FooterChar">
    <w:name w:val="Footer Char"/>
    <w:link w:val="Footer"/>
    <w:rsid w:val="00FB2C84"/>
    <w:rPr>
      <w:rFonts w:ascii="Arial" w:hAnsi="Arial"/>
      <w:b/>
      <w:i/>
      <w:noProof/>
      <w:sz w:val="18"/>
      <w:lang w:eastAsia="ja-JP"/>
    </w:rPr>
  </w:style>
  <w:style w:type="character" w:customStyle="1" w:styleId="FootnoteTextChar">
    <w:name w:val="Footnote Text Char"/>
    <w:link w:val="FootnoteText"/>
    <w:rsid w:val="00FB2C84"/>
    <w:rPr>
      <w:rFonts w:ascii="Times New Roman" w:hAnsi="Times New Roman"/>
      <w:sz w:val="16"/>
      <w:lang w:eastAsia="ja-JP"/>
    </w:rPr>
  </w:style>
  <w:style w:type="paragraph" w:customStyle="1" w:styleId="Guidance">
    <w:name w:val="Guidance"/>
    <w:basedOn w:val="Normal"/>
    <w:rsid w:val="00FB2C84"/>
    <w:rPr>
      <w:i/>
      <w:color w:val="0000FF"/>
    </w:rPr>
  </w:style>
  <w:style w:type="character" w:customStyle="1" w:styleId="Heading2Char">
    <w:name w:val="Heading 2 Char"/>
    <w:link w:val="Heading2"/>
    <w:rsid w:val="00FB2C84"/>
    <w:rPr>
      <w:rFonts w:ascii="Arial" w:hAnsi="Arial"/>
      <w:sz w:val="32"/>
      <w:lang w:eastAsia="ja-JP"/>
    </w:rPr>
  </w:style>
  <w:style w:type="character" w:customStyle="1" w:styleId="Heading3Char">
    <w:name w:val="Heading 3 Char"/>
    <w:link w:val="Heading3"/>
    <w:rsid w:val="00FB2C84"/>
    <w:rPr>
      <w:rFonts w:ascii="Arial" w:hAnsi="Arial"/>
      <w:sz w:val="28"/>
      <w:lang w:eastAsia="ja-JP"/>
    </w:rPr>
  </w:style>
  <w:style w:type="character" w:customStyle="1" w:styleId="Heading4Char">
    <w:name w:val="Heading 4 Char"/>
    <w:link w:val="Heading4"/>
    <w:rsid w:val="00FB2C84"/>
    <w:rPr>
      <w:rFonts w:ascii="Arial" w:hAnsi="Arial"/>
      <w:sz w:val="24"/>
      <w:lang w:eastAsia="ja-JP"/>
    </w:rPr>
  </w:style>
  <w:style w:type="character" w:customStyle="1" w:styleId="Heading5Char">
    <w:name w:val="Heading 5 Char"/>
    <w:link w:val="Heading5"/>
    <w:rsid w:val="00FB2C84"/>
    <w:rPr>
      <w:rFonts w:ascii="Arial" w:hAnsi="Arial"/>
      <w:sz w:val="22"/>
      <w:lang w:eastAsia="ja-JP"/>
    </w:rPr>
  </w:style>
  <w:style w:type="paragraph" w:customStyle="1" w:styleId="H6">
    <w:name w:val="H6"/>
    <w:basedOn w:val="Heading5"/>
    <w:next w:val="Normal"/>
    <w:rsid w:val="00FB2C84"/>
    <w:pPr>
      <w:ind w:left="1985" w:hanging="1985"/>
      <w:outlineLvl w:val="9"/>
    </w:pPr>
    <w:rPr>
      <w:sz w:val="20"/>
    </w:rPr>
  </w:style>
  <w:style w:type="character" w:customStyle="1" w:styleId="Heading6Char">
    <w:name w:val="Heading 6 Char"/>
    <w:link w:val="Heading6"/>
    <w:rsid w:val="00FB2C84"/>
    <w:rPr>
      <w:rFonts w:ascii="Arial" w:hAnsi="Arial"/>
      <w:lang w:eastAsia="ja-JP"/>
    </w:rPr>
  </w:style>
  <w:style w:type="character" w:customStyle="1" w:styleId="Heading7Char">
    <w:name w:val="Heading 7 Char"/>
    <w:link w:val="Heading7"/>
    <w:rsid w:val="00FB2C84"/>
    <w:rPr>
      <w:rFonts w:ascii="Arial" w:hAnsi="Arial"/>
      <w:lang w:eastAsia="ja-JP"/>
    </w:rPr>
  </w:style>
  <w:style w:type="character" w:customStyle="1" w:styleId="Heading8Char">
    <w:name w:val="Heading 8 Char"/>
    <w:link w:val="Heading8"/>
    <w:rsid w:val="00FB2C84"/>
    <w:rPr>
      <w:rFonts w:ascii="Arial" w:hAnsi="Arial"/>
      <w:sz w:val="36"/>
      <w:lang w:eastAsia="ja-JP"/>
    </w:rPr>
  </w:style>
  <w:style w:type="character" w:customStyle="1" w:styleId="Heading9Char">
    <w:name w:val="Heading 9 Char"/>
    <w:link w:val="Heading9"/>
    <w:rsid w:val="00FB2C84"/>
    <w:rPr>
      <w:rFonts w:ascii="Arial" w:hAnsi="Arial"/>
      <w:sz w:val="36"/>
      <w:lang w:eastAsia="ja-JP"/>
    </w:rPr>
  </w:style>
  <w:style w:type="character" w:styleId="HTMLCode">
    <w:name w:val="HTML Code"/>
    <w:uiPriority w:val="99"/>
    <w:unhideWhenUsed/>
    <w:rsid w:val="00FB2C84"/>
    <w:rPr>
      <w:rFonts w:ascii="Courier New" w:eastAsia="Times New Roman" w:hAnsi="Courier New" w:cs="Courier New"/>
      <w:sz w:val="20"/>
      <w:szCs w:val="20"/>
    </w:rPr>
  </w:style>
  <w:style w:type="paragraph" w:styleId="IndexHeading">
    <w:name w:val="index heading"/>
    <w:basedOn w:val="Normal"/>
    <w:next w:val="Normal"/>
    <w:rsid w:val="00FB2C84"/>
    <w:pPr>
      <w:pBdr>
        <w:top w:val="single" w:sz="12" w:space="0" w:color="auto"/>
      </w:pBdr>
      <w:spacing w:before="360" w:after="240"/>
    </w:pPr>
    <w:rPr>
      <w:b/>
      <w:i/>
      <w:sz w:val="26"/>
      <w:lang w:eastAsia="en-GB"/>
    </w:rPr>
  </w:style>
  <w:style w:type="paragraph" w:customStyle="1" w:styleId="LD">
    <w:name w:val="LD"/>
    <w:rsid w:val="00FB2C8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B2C84"/>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FB2C84"/>
    <w:rPr>
      <w:rFonts w:ascii="Calibri" w:eastAsia="Calibri" w:hAnsi="Calibri"/>
      <w:sz w:val="22"/>
      <w:szCs w:val="22"/>
      <w:lang w:val="x-none" w:eastAsia="en-US"/>
    </w:rPr>
  </w:style>
  <w:style w:type="paragraph" w:customStyle="1" w:styleId="NF">
    <w:name w:val="NF"/>
    <w:basedOn w:val="NO"/>
    <w:rsid w:val="00FB2C84"/>
    <w:pPr>
      <w:keepNext/>
      <w:spacing w:after="0"/>
    </w:pPr>
    <w:rPr>
      <w:rFonts w:ascii="Arial" w:hAnsi="Arial"/>
      <w:sz w:val="18"/>
    </w:rPr>
  </w:style>
  <w:style w:type="paragraph" w:customStyle="1" w:styleId="NW">
    <w:name w:val="NW"/>
    <w:basedOn w:val="NO"/>
    <w:rsid w:val="00FB2C84"/>
    <w:pPr>
      <w:spacing w:after="0"/>
    </w:pPr>
  </w:style>
  <w:style w:type="paragraph" w:customStyle="1" w:styleId="PL">
    <w:name w:val="PL"/>
    <w:link w:val="PLChar"/>
    <w:qFormat/>
    <w:rsid w:val="00FB2C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B2C84"/>
    <w:rPr>
      <w:rFonts w:ascii="Courier New" w:eastAsia="Batang" w:hAnsi="Courier New"/>
      <w:noProof/>
      <w:sz w:val="16"/>
      <w:shd w:val="clear" w:color="auto" w:fill="E6E6E6"/>
      <w:lang w:eastAsia="sv-SE"/>
    </w:rPr>
  </w:style>
  <w:style w:type="paragraph" w:styleId="PlainText">
    <w:name w:val="Plain Text"/>
    <w:basedOn w:val="Normal"/>
    <w:link w:val="PlainTextChar"/>
    <w:rsid w:val="00FB2C84"/>
    <w:rPr>
      <w:rFonts w:ascii="Courier New" w:hAnsi="Courier New"/>
      <w:lang w:val="nb-NO"/>
    </w:rPr>
  </w:style>
  <w:style w:type="character" w:customStyle="1" w:styleId="PlainTextChar">
    <w:name w:val="Plain Text Char"/>
    <w:link w:val="PlainText"/>
    <w:rsid w:val="00FB2C84"/>
    <w:rPr>
      <w:rFonts w:ascii="Courier New" w:hAnsi="Courier New"/>
      <w:lang w:val="nb-NO" w:eastAsia="ja-JP"/>
    </w:rPr>
  </w:style>
  <w:style w:type="character" w:styleId="Strong">
    <w:name w:val="Strong"/>
    <w:uiPriority w:val="22"/>
    <w:qFormat/>
    <w:rsid w:val="00FB2C84"/>
    <w:rPr>
      <w:b/>
      <w:bCs/>
    </w:rPr>
  </w:style>
  <w:style w:type="table" w:styleId="TableGrid">
    <w:name w:val="Table Grid"/>
    <w:basedOn w:val="TableNormal"/>
    <w:uiPriority w:val="39"/>
    <w:rsid w:val="00FB2C8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B2C84"/>
    <w:rPr>
      <w:rFonts w:ascii="Arial" w:hAnsi="Arial"/>
      <w:sz w:val="18"/>
      <w:lang w:val="x-none" w:eastAsia="x-none"/>
    </w:rPr>
  </w:style>
  <w:style w:type="character" w:customStyle="1" w:styleId="TAHCar">
    <w:name w:val="TAH Car"/>
    <w:link w:val="TAH"/>
    <w:locked/>
    <w:rsid w:val="00FB2C84"/>
    <w:rPr>
      <w:rFonts w:ascii="Arial" w:hAnsi="Arial"/>
      <w:b/>
      <w:sz w:val="18"/>
      <w:lang w:val="x-none" w:eastAsia="x-none"/>
    </w:rPr>
  </w:style>
  <w:style w:type="character" w:customStyle="1" w:styleId="THChar">
    <w:name w:val="TH Char"/>
    <w:link w:val="TH"/>
    <w:rsid w:val="00FB2C84"/>
    <w:rPr>
      <w:rFonts w:ascii="Arial" w:hAnsi="Arial"/>
      <w:b/>
      <w:lang w:val="x-none" w:eastAsia="x-none"/>
    </w:rPr>
  </w:style>
  <w:style w:type="paragraph" w:customStyle="1" w:styleId="TAJ">
    <w:name w:val="TAJ"/>
    <w:basedOn w:val="TH"/>
    <w:rsid w:val="00FB2C84"/>
  </w:style>
  <w:style w:type="paragraph" w:customStyle="1" w:styleId="TALCharChar">
    <w:name w:val="TAL Char Char"/>
    <w:basedOn w:val="Normal"/>
    <w:link w:val="TALCharCharChar"/>
    <w:rsid w:val="00FB2C8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FB2C84"/>
    <w:rPr>
      <w:rFonts w:ascii="Arial" w:eastAsia="Malgun Gothic" w:hAnsi="Arial"/>
      <w:sz w:val="18"/>
      <w:lang w:val="x-none" w:eastAsia="x-none"/>
    </w:rPr>
  </w:style>
  <w:style w:type="character" w:customStyle="1" w:styleId="TFChar">
    <w:name w:val="TF Char"/>
    <w:link w:val="TF"/>
    <w:rsid w:val="00FB2C84"/>
    <w:rPr>
      <w:rFonts w:ascii="Arial" w:hAnsi="Arial"/>
      <w:b/>
      <w:lang w:val="x-none" w:eastAsia="x-none"/>
    </w:rPr>
  </w:style>
  <w:style w:type="paragraph" w:styleId="ListContinue">
    <w:name w:val="List Continue"/>
    <w:basedOn w:val="Normal"/>
    <w:rsid w:val="00FB2C84"/>
    <w:pPr>
      <w:spacing w:after="120"/>
      <w:ind w:left="283"/>
      <w:contextualSpacing/>
    </w:pPr>
    <w:rPr>
      <w:rFonts w:ascii="Arial" w:hAnsi="Arial"/>
    </w:rPr>
  </w:style>
  <w:style w:type="paragraph" w:styleId="ListContinue2">
    <w:name w:val="List Continue 2"/>
    <w:basedOn w:val="Normal"/>
    <w:rsid w:val="00FB2C84"/>
    <w:pPr>
      <w:spacing w:after="120"/>
      <w:ind w:left="566"/>
      <w:contextualSpacing/>
    </w:pPr>
    <w:rPr>
      <w:rFonts w:ascii="Arial" w:hAnsi="Arial"/>
    </w:rPr>
  </w:style>
  <w:style w:type="paragraph" w:styleId="ListNumber3">
    <w:name w:val="List Number 3"/>
    <w:basedOn w:val="ListNumber2"/>
    <w:rsid w:val="00FB2C84"/>
    <w:pPr>
      <w:numPr>
        <w:numId w:val="10"/>
      </w:numPr>
      <w:contextualSpacing/>
    </w:pPr>
  </w:style>
  <w:style w:type="character" w:styleId="UnresolvedMention">
    <w:name w:val="Unresolved Mention"/>
    <w:basedOn w:val="DefaultParagraphFont"/>
    <w:uiPriority w:val="99"/>
    <w:semiHidden/>
    <w:unhideWhenUsed/>
    <w:rsid w:val="00FB2C84"/>
    <w:rPr>
      <w:color w:val="808080"/>
      <w:shd w:val="clear" w:color="auto" w:fill="E6E6E6"/>
    </w:rPr>
  </w:style>
  <w:style w:type="paragraph" w:customStyle="1" w:styleId="Doc-title">
    <w:name w:val="Doc-title"/>
    <w:basedOn w:val="Normal"/>
    <w:next w:val="Doc-text2"/>
    <w:link w:val="Doc-titleChar"/>
    <w:qFormat/>
    <w:rsid w:val="00267DB0"/>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267DB0"/>
    <w:rPr>
      <w:rFonts w:ascii="Arial" w:eastAsia="MS Mincho" w:hAnsi="Arial"/>
      <w:noProof/>
      <w:szCs w:val="24"/>
    </w:rPr>
  </w:style>
  <w:style w:type="paragraph" w:customStyle="1" w:styleId="Agreement">
    <w:name w:val="Agreement"/>
    <w:basedOn w:val="Normal"/>
    <w:next w:val="Doc-text2"/>
    <w:qFormat/>
    <w:rsid w:val="00267DB0"/>
    <w:pPr>
      <w:numPr>
        <w:numId w:val="25"/>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3120456">
      <w:bodyDiv w:val="1"/>
      <w:marLeft w:val="0"/>
      <w:marRight w:val="0"/>
      <w:marTop w:val="0"/>
      <w:marBottom w:val="0"/>
      <w:divBdr>
        <w:top w:val="none" w:sz="0" w:space="0" w:color="auto"/>
        <w:left w:val="none" w:sz="0" w:space="0" w:color="auto"/>
        <w:bottom w:val="none" w:sz="0" w:space="0" w:color="auto"/>
        <w:right w:val="none" w:sz="0" w:space="0" w:color="auto"/>
      </w:divBdr>
      <w:divsChild>
        <w:div w:id="1499074538">
          <w:marLeft w:val="0"/>
          <w:marRight w:val="0"/>
          <w:marTop w:val="0"/>
          <w:marBottom w:val="0"/>
          <w:divBdr>
            <w:top w:val="none" w:sz="0" w:space="0" w:color="auto"/>
            <w:left w:val="none" w:sz="0" w:space="0" w:color="auto"/>
            <w:bottom w:val="none" w:sz="0" w:space="0" w:color="auto"/>
            <w:right w:val="none" w:sz="0" w:space="0" w:color="auto"/>
          </w:divBdr>
        </w:div>
      </w:divsChild>
    </w:div>
    <w:div w:id="739909332">
      <w:bodyDiv w:val="1"/>
      <w:marLeft w:val="0"/>
      <w:marRight w:val="0"/>
      <w:marTop w:val="0"/>
      <w:marBottom w:val="0"/>
      <w:divBdr>
        <w:top w:val="none" w:sz="0" w:space="0" w:color="auto"/>
        <w:left w:val="none" w:sz="0" w:space="0" w:color="auto"/>
        <w:bottom w:val="none" w:sz="0" w:space="0" w:color="auto"/>
        <w:right w:val="none" w:sz="0" w:space="0" w:color="auto"/>
      </w:divBdr>
      <w:divsChild>
        <w:div w:id="1204442696">
          <w:marLeft w:val="0"/>
          <w:marRight w:val="0"/>
          <w:marTop w:val="0"/>
          <w:marBottom w:val="0"/>
          <w:divBdr>
            <w:top w:val="none" w:sz="0" w:space="0" w:color="auto"/>
            <w:left w:val="none" w:sz="0" w:space="0" w:color="auto"/>
            <w:bottom w:val="none" w:sz="0" w:space="0" w:color="auto"/>
            <w:right w:val="none" w:sz="0" w:space="0" w:color="auto"/>
          </w:divBdr>
          <w:divsChild>
            <w:div w:id="605967027">
              <w:marLeft w:val="0"/>
              <w:marRight w:val="0"/>
              <w:marTop w:val="0"/>
              <w:marBottom w:val="0"/>
              <w:divBdr>
                <w:top w:val="none" w:sz="0" w:space="0" w:color="auto"/>
                <w:left w:val="none" w:sz="0" w:space="0" w:color="auto"/>
                <w:bottom w:val="none" w:sz="0" w:space="0" w:color="auto"/>
                <w:right w:val="none" w:sz="0" w:space="0" w:color="auto"/>
              </w:divBdr>
              <w:divsChild>
                <w:div w:id="877200892">
                  <w:marLeft w:val="0"/>
                  <w:marRight w:val="0"/>
                  <w:marTop w:val="0"/>
                  <w:marBottom w:val="0"/>
                  <w:divBdr>
                    <w:top w:val="none" w:sz="0" w:space="0" w:color="auto"/>
                    <w:left w:val="none" w:sz="0" w:space="0" w:color="auto"/>
                    <w:bottom w:val="none" w:sz="0" w:space="0" w:color="auto"/>
                    <w:right w:val="none" w:sz="0" w:space="0" w:color="auto"/>
                  </w:divBdr>
                  <w:divsChild>
                    <w:div w:id="464585199">
                      <w:marLeft w:val="0"/>
                      <w:marRight w:val="0"/>
                      <w:marTop w:val="0"/>
                      <w:marBottom w:val="0"/>
                      <w:divBdr>
                        <w:top w:val="none" w:sz="0" w:space="0" w:color="auto"/>
                        <w:left w:val="none" w:sz="0" w:space="0" w:color="auto"/>
                        <w:bottom w:val="none" w:sz="0" w:space="0" w:color="auto"/>
                        <w:right w:val="none" w:sz="0" w:space="0" w:color="auto"/>
                      </w:divBdr>
                      <w:divsChild>
                        <w:div w:id="717709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2/RAN2%20meetings/RAN2_107_Prague/Ericsson%20contributions/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3CC82-7A18-4710-A99D-312FAB5218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9D793C98-D448-4E90-A883-EECA780ED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R2-19xxxx%20Contribution%20Template</Template>
  <TotalTime>1652</TotalTime>
  <Pages>6</Pages>
  <Words>2761</Words>
  <Characters>15740</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18465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556</cp:revision>
  <cp:lastPrinted>2008-01-31T07:09:00Z</cp:lastPrinted>
  <dcterms:created xsi:type="dcterms:W3CDTF">2019-06-14T09:37:00Z</dcterms:created>
  <dcterms:modified xsi:type="dcterms:W3CDTF">2020-04-09T17:35:00Z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