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F8F7" w14:textId="73F884AF"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#109bis-e</w:t>
      </w:r>
      <w:r>
        <w:rPr>
          <w:rFonts w:ascii="Arial" w:eastAsia="MS Mincho" w:hAnsi="Arial"/>
          <w:b/>
          <w:sz w:val="24"/>
          <w:szCs w:val="24"/>
          <w:lang w:val="en-GB" w:eastAsia="x-none"/>
        </w:rPr>
        <w:tab/>
        <w:t>R2-200</w:t>
      </w:r>
      <w:r w:rsidR="009E374E">
        <w:rPr>
          <w:rFonts w:ascii="Arial" w:eastAsia="MS Mincho" w:hAnsi="Arial"/>
          <w:b/>
          <w:sz w:val="24"/>
          <w:szCs w:val="24"/>
          <w:lang w:val="en-GB" w:eastAsia="x-none"/>
        </w:rPr>
        <w:t>3224</w:t>
      </w:r>
      <w:bookmarkStart w:id="0" w:name="_GoBack"/>
      <w:bookmarkEnd w:id="0"/>
    </w:p>
    <w:p w14:paraId="1AF4E8E9" w14:textId="4A676397"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Pr>
          <w:rFonts w:ascii="Arial" w:eastAsia="MS Mincho" w:hAnsi="Arial"/>
          <w:b/>
          <w:sz w:val="24"/>
          <w:szCs w:val="24"/>
          <w:lang w:val="en-GB" w:eastAsia="x-none"/>
        </w:rPr>
        <w:t>April</w:t>
      </w:r>
      <w:r w:rsidRPr="0076288E">
        <w:rPr>
          <w:rFonts w:ascii="Arial" w:eastAsia="MS Mincho" w:hAnsi="Arial"/>
          <w:b/>
          <w:sz w:val="24"/>
          <w:szCs w:val="24"/>
          <w:lang w:val="en-GB" w:eastAsia="x-none"/>
        </w:rPr>
        <w:t xml:space="preserve"> 2</w:t>
      </w:r>
      <w:r>
        <w:rPr>
          <w:rFonts w:ascii="Arial" w:eastAsia="MS Mincho" w:hAnsi="Arial"/>
          <w:b/>
          <w:sz w:val="24"/>
          <w:szCs w:val="24"/>
          <w:lang w:val="en-GB" w:eastAsia="x-none"/>
        </w:rPr>
        <w:t>0</w:t>
      </w:r>
      <w:r w:rsidRPr="0076288E">
        <w:rPr>
          <w:rFonts w:ascii="Arial" w:eastAsia="MS Mincho" w:hAnsi="Arial"/>
          <w:b/>
          <w:sz w:val="24"/>
          <w:szCs w:val="24"/>
          <w:lang w:val="en-GB" w:eastAsia="x-none"/>
        </w:rPr>
        <w:t xml:space="preserve"> – </w:t>
      </w:r>
      <w:r>
        <w:rPr>
          <w:rFonts w:ascii="Arial" w:eastAsia="MS Mincho" w:hAnsi="Arial"/>
          <w:b/>
          <w:sz w:val="24"/>
          <w:szCs w:val="24"/>
          <w:lang w:val="en-GB" w:eastAsia="x-none"/>
        </w:rPr>
        <w:t>30</w:t>
      </w:r>
      <w:r w:rsidRPr="0076288E">
        <w:rPr>
          <w:rFonts w:ascii="Arial" w:eastAsia="MS Mincho" w:hAnsi="Arial"/>
          <w:b/>
          <w:sz w:val="24"/>
          <w:szCs w:val="24"/>
          <w:lang w:val="en-GB" w:eastAsia="x-none"/>
        </w:rPr>
        <w:t>, 202</w:t>
      </w:r>
      <w:r>
        <w:rPr>
          <w:rFonts w:ascii="Arial" w:eastAsia="MS Mincho" w:hAnsi="Arial"/>
          <w:b/>
          <w:sz w:val="24"/>
          <w:szCs w:val="24"/>
          <w:lang w:val="en-GB" w:eastAsia="x-none"/>
        </w:rPr>
        <w:t xml:space="preserve">0                            </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50F77AD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Pr>
          <w:rFonts w:ascii="Arial" w:hAnsi="Arial" w:cs="Arial"/>
          <w:b/>
          <w:bCs/>
          <w:sz w:val="24"/>
          <w:szCs w:val="20"/>
        </w:rPr>
        <w:t>6</w:t>
      </w:r>
      <w:r w:rsidRPr="004B1878">
        <w:rPr>
          <w:rFonts w:ascii="Arial" w:hAnsi="Arial" w:cs="Arial"/>
          <w:b/>
          <w:bCs/>
          <w:sz w:val="24"/>
          <w:szCs w:val="20"/>
        </w:rPr>
        <w:t>.</w:t>
      </w:r>
      <w:r w:rsidR="00871B04">
        <w:rPr>
          <w:rFonts w:ascii="Arial" w:hAnsi="Arial" w:cs="Arial"/>
          <w:b/>
          <w:bCs/>
          <w:sz w:val="24"/>
          <w:szCs w:val="20"/>
        </w:rPr>
        <w:t>4</w:t>
      </w:r>
      <w:r w:rsidRPr="004B1878">
        <w:rPr>
          <w:rFonts w:ascii="Arial" w:hAnsi="Arial" w:cs="Arial"/>
          <w:b/>
          <w:bCs/>
          <w:sz w:val="24"/>
          <w:szCs w:val="20"/>
        </w:rPr>
        <w:t>.</w:t>
      </w:r>
      <w:r w:rsidR="00871B04">
        <w:rPr>
          <w:rFonts w:ascii="Arial" w:hAnsi="Arial" w:cs="Arial"/>
          <w:b/>
          <w:bCs/>
          <w:sz w:val="24"/>
          <w:szCs w:val="20"/>
        </w:rPr>
        <w:t>3</w:t>
      </w:r>
      <w:r>
        <w:rPr>
          <w:rFonts w:ascii="Arial" w:hAnsi="Arial" w:cs="Arial"/>
          <w:b/>
          <w:bCs/>
          <w:sz w:val="24"/>
          <w:szCs w:val="20"/>
        </w:rPr>
        <w:t>.</w:t>
      </w:r>
      <w:r w:rsidR="00871B04">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03A74FD3"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7A2D56">
        <w:rPr>
          <w:rFonts w:ascii="Arial" w:hAnsi="Arial" w:cs="Arial"/>
          <w:b/>
          <w:bCs/>
          <w:sz w:val="24"/>
          <w:szCs w:val="20"/>
        </w:rPr>
        <w:t xml:space="preserve">Groupcast HARQ </w:t>
      </w:r>
      <w:r w:rsidR="007744F5">
        <w:rPr>
          <w:rFonts w:ascii="Arial" w:hAnsi="Arial" w:cs="Arial"/>
          <w:b/>
          <w:bCs/>
          <w:sz w:val="24"/>
          <w:szCs w:val="20"/>
        </w:rPr>
        <w:t>f</w:t>
      </w:r>
      <w:r w:rsidR="007A2D56">
        <w:rPr>
          <w:rFonts w:ascii="Arial" w:hAnsi="Arial" w:cs="Arial"/>
          <w:b/>
          <w:bCs/>
          <w:sz w:val="24"/>
          <w:szCs w:val="20"/>
        </w:rPr>
        <w:t xml:space="preserve">eedback </w:t>
      </w:r>
      <w:r w:rsidR="007744F5">
        <w:rPr>
          <w:rFonts w:ascii="Arial" w:hAnsi="Arial" w:cs="Arial"/>
          <w:b/>
          <w:bCs/>
          <w:sz w:val="24"/>
          <w:szCs w:val="20"/>
        </w:rPr>
        <w:t>f</w:t>
      </w:r>
      <w:r w:rsidR="00BF2644">
        <w:rPr>
          <w:rFonts w:ascii="Arial" w:hAnsi="Arial" w:cs="Arial"/>
          <w:b/>
          <w:bCs/>
          <w:sz w:val="24"/>
          <w:szCs w:val="20"/>
        </w:rPr>
        <w:t>rom</w:t>
      </w:r>
      <w:r w:rsidR="007744F5">
        <w:rPr>
          <w:rFonts w:ascii="Arial" w:hAnsi="Arial" w:cs="Arial"/>
          <w:b/>
          <w:bCs/>
          <w:sz w:val="24"/>
          <w:szCs w:val="20"/>
        </w:rPr>
        <w:t xml:space="preserve"> RX </w:t>
      </w:r>
      <w:r w:rsidR="00CB67DC">
        <w:rPr>
          <w:rFonts w:ascii="Arial" w:hAnsi="Arial" w:cs="Arial"/>
          <w:b/>
          <w:bCs/>
          <w:sz w:val="24"/>
          <w:szCs w:val="20"/>
        </w:rPr>
        <w:t xml:space="preserve">UE </w:t>
      </w:r>
      <w:r w:rsidR="007744F5">
        <w:rPr>
          <w:rFonts w:ascii="Arial" w:hAnsi="Arial" w:cs="Arial"/>
          <w:b/>
          <w:bCs/>
          <w:sz w:val="24"/>
          <w:szCs w:val="20"/>
        </w:rPr>
        <w:t>without location information</w:t>
      </w:r>
    </w:p>
    <w:p w14:paraId="663459FA" w14:textId="77777777" w:rsidR="009B4370" w:rsidRPr="00F12FF7" w:rsidRDefault="009B4370" w:rsidP="009B4370">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4EF43426" w:rsidR="004C434C" w:rsidRDefault="00AD333D" w:rsidP="00EE4568">
      <w:pPr>
        <w:rPr>
          <w:lang w:eastAsia="zh-CN"/>
        </w:rPr>
      </w:pPr>
      <w:r>
        <w:rPr>
          <w:lang w:eastAsia="zh-CN"/>
        </w:rPr>
        <w:t xml:space="preserve">After RAN1#100-e, RAN1 sent RAN2 an LS with the decisions taken at RAN1#100-e (R1-201426). One of </w:t>
      </w:r>
      <w:r w:rsidR="00CC30CC">
        <w:rPr>
          <w:lang w:eastAsia="zh-CN"/>
        </w:rPr>
        <w:t xml:space="preserve">these </w:t>
      </w:r>
      <w:r>
        <w:rPr>
          <w:lang w:eastAsia="zh-CN"/>
        </w:rPr>
        <w:t>decision</w:t>
      </w:r>
      <w:r w:rsidR="00CC30CC">
        <w:rPr>
          <w:lang w:eastAsia="zh-CN"/>
        </w:rPr>
        <w:t>s</w:t>
      </w:r>
      <w:r>
        <w:rPr>
          <w:lang w:eastAsia="zh-CN"/>
        </w:rPr>
        <w:t xml:space="preserve"> is as follows:</w:t>
      </w:r>
    </w:p>
    <w:p w14:paraId="4BED790C" w14:textId="77777777" w:rsidR="00AD333D" w:rsidRPr="00AD333D" w:rsidRDefault="00AD333D" w:rsidP="00AD333D">
      <w:pPr>
        <w:rPr>
          <w:i/>
          <w:iCs/>
          <w:sz w:val="28"/>
          <w:szCs w:val="20"/>
        </w:rPr>
      </w:pPr>
      <w:r w:rsidRPr="00AD333D">
        <w:rPr>
          <w:i/>
          <w:iCs/>
          <w:highlight w:val="green"/>
        </w:rPr>
        <w:t>Agreements:</w:t>
      </w:r>
    </w:p>
    <w:p w14:paraId="7049AFE0" w14:textId="77777777" w:rsidR="00AD333D" w:rsidRPr="00AD333D" w:rsidRDefault="00AD333D" w:rsidP="00AD333D">
      <w:pPr>
        <w:numPr>
          <w:ilvl w:val="0"/>
          <w:numId w:val="28"/>
        </w:numPr>
        <w:autoSpaceDE/>
        <w:autoSpaceDN/>
        <w:adjustRightInd/>
        <w:snapToGrid/>
        <w:spacing w:before="120" w:after="0" w:line="264" w:lineRule="auto"/>
        <w:jc w:val="left"/>
        <w:rPr>
          <w:rFonts w:eastAsia="Malgun Gothic"/>
          <w:i/>
          <w:iCs/>
          <w:color w:val="212121"/>
        </w:rPr>
      </w:pPr>
      <w:r w:rsidRPr="00AD333D">
        <w:rPr>
          <w:rFonts w:eastAsia="Malgun Gothic"/>
          <w:i/>
          <w:iCs/>
          <w:color w:val="212121"/>
        </w:rPr>
        <w:t xml:space="preserve">RAN1 assumes that RAN2 will handle selection of appropriate groupcast HARQ feedback option. From RAN1 perspective, a TX UE can use distance HARQ feedback only when the TX UE’s location is available. </w:t>
      </w:r>
    </w:p>
    <w:p w14:paraId="55ED2181" w14:textId="77777777" w:rsidR="00AD333D" w:rsidRPr="00AD333D" w:rsidRDefault="00AD333D" w:rsidP="00AD333D">
      <w:pPr>
        <w:rPr>
          <w:i/>
          <w:iCs/>
          <w:sz w:val="28"/>
          <w:szCs w:val="20"/>
        </w:rPr>
      </w:pPr>
      <w:r w:rsidRPr="00AD333D">
        <w:rPr>
          <w:i/>
          <w:iCs/>
          <w:highlight w:val="green"/>
        </w:rPr>
        <w:t>Agreements:</w:t>
      </w:r>
    </w:p>
    <w:p w14:paraId="052B38E5" w14:textId="77777777" w:rsidR="00AD333D" w:rsidRPr="00AD333D" w:rsidRDefault="00AD333D" w:rsidP="00AD333D">
      <w:pPr>
        <w:pStyle w:val="ListParagraph"/>
        <w:numPr>
          <w:ilvl w:val="0"/>
          <w:numId w:val="28"/>
        </w:numPr>
        <w:spacing w:after="0" w:line="264" w:lineRule="auto"/>
        <w:contextualSpacing w:val="0"/>
        <w:jc w:val="left"/>
        <w:rPr>
          <w:rFonts w:eastAsia="宋体"/>
          <w:i/>
          <w:iCs/>
        </w:rPr>
      </w:pPr>
      <w:r w:rsidRPr="00AD333D">
        <w:rPr>
          <w:rFonts w:eastAsia="宋体"/>
          <w:i/>
          <w:iCs/>
          <w:color w:val="2F2F2F"/>
        </w:rPr>
        <w:t xml:space="preserve">RAN1 assumes that RAN2 will handle the case the RX UE’s location is not available. </w:t>
      </w:r>
    </w:p>
    <w:p w14:paraId="34C56B09" w14:textId="465B89E9" w:rsidR="00AD333D" w:rsidRDefault="00AD333D" w:rsidP="00EE4568">
      <w:pPr>
        <w:rPr>
          <w:lang w:eastAsia="zh-CN"/>
        </w:rPr>
      </w:pPr>
      <w:r>
        <w:rPr>
          <w:lang w:eastAsia="zh-CN"/>
        </w:rPr>
        <w:t xml:space="preserve">In this contribution, we discuss the case where option 1 </w:t>
      </w:r>
      <w:r w:rsidR="00CC30CC">
        <w:rPr>
          <w:lang w:eastAsia="zh-CN"/>
        </w:rPr>
        <w:t xml:space="preserve">HARQ feedback is </w:t>
      </w:r>
      <w:r>
        <w:rPr>
          <w:lang w:eastAsia="zh-CN"/>
        </w:rPr>
        <w:t>used and the RX location is not available.</w:t>
      </w:r>
    </w:p>
    <w:p w14:paraId="676F8917" w14:textId="1A4299A6" w:rsidR="00CE6FD9" w:rsidRPr="007F5EC6" w:rsidRDefault="00CE6FD9" w:rsidP="00495A39"/>
    <w:p w14:paraId="35954F20" w14:textId="19478F07" w:rsidR="00816E9B" w:rsidRDefault="00EE4568" w:rsidP="00493C77">
      <w:pPr>
        <w:pStyle w:val="Heading1"/>
      </w:pPr>
      <w:r>
        <w:t>Discussion</w:t>
      </w:r>
    </w:p>
    <w:p w14:paraId="6946B3FE" w14:textId="7FF33EDE" w:rsidR="00AD333D" w:rsidRDefault="00905713" w:rsidP="00AD333D">
      <w:r>
        <w:t xml:space="preserve">When option 1 with </w:t>
      </w:r>
      <w:proofErr w:type="gramStart"/>
      <w:r>
        <w:t>distance-based</w:t>
      </w:r>
      <w:proofErr w:type="gramEnd"/>
      <w:r>
        <w:t xml:space="preserve"> </w:t>
      </w:r>
      <w:r w:rsidR="00471A90">
        <w:t xml:space="preserve">HARQ </w:t>
      </w:r>
      <w:r>
        <w:t>feedback is used, the behavior is as follows:</w:t>
      </w:r>
    </w:p>
    <w:p w14:paraId="7AD34922" w14:textId="3187C3C1" w:rsidR="00905713" w:rsidRDefault="00905713" w:rsidP="00905713">
      <w:pPr>
        <w:pStyle w:val="ListParagraph"/>
        <w:numPr>
          <w:ilvl w:val="0"/>
          <w:numId w:val="28"/>
        </w:numPr>
      </w:pPr>
      <w:r>
        <w:t xml:space="preserve">If the TB is correctly received and the receiving UE is at less than a threshold distance from the transmitting UE, </w:t>
      </w:r>
      <w:r w:rsidR="00471A90">
        <w:t>a NAK is not</w:t>
      </w:r>
      <w:r>
        <w:t xml:space="preserve"> sent</w:t>
      </w:r>
      <w:r w:rsidR="00094CA2">
        <w:t>;</w:t>
      </w:r>
    </w:p>
    <w:p w14:paraId="76E9510C" w14:textId="406D89FF" w:rsidR="00905713" w:rsidRDefault="00905713" w:rsidP="00905713">
      <w:pPr>
        <w:pStyle w:val="ListParagraph"/>
        <w:numPr>
          <w:ilvl w:val="0"/>
          <w:numId w:val="28"/>
        </w:numPr>
      </w:pPr>
      <w:r>
        <w:t>If the TB is not correctly received and the receiving UE is at less than a threshold distance from the transmitting UE, a NAK is sent</w:t>
      </w:r>
      <w:r w:rsidR="00094CA2">
        <w:t>;</w:t>
      </w:r>
    </w:p>
    <w:p w14:paraId="4B87D442" w14:textId="4553CF08" w:rsidR="00905713" w:rsidRDefault="00905713" w:rsidP="00905713">
      <w:pPr>
        <w:pStyle w:val="ListParagraph"/>
        <w:numPr>
          <w:ilvl w:val="0"/>
          <w:numId w:val="28"/>
        </w:numPr>
      </w:pPr>
      <w:r>
        <w:t>If</w:t>
      </w:r>
      <w:r w:rsidRPr="00905713">
        <w:t xml:space="preserve"> </w:t>
      </w:r>
      <w:r>
        <w:t xml:space="preserve">the receiving UE is at more than a threshold distance from the transmitting UE, </w:t>
      </w:r>
      <w:r w:rsidR="00471A90">
        <w:t>nothing</w:t>
      </w:r>
      <w:r>
        <w:t xml:space="preserve"> is sent regardless of </w:t>
      </w:r>
      <w:r w:rsidR="00471A90">
        <w:t xml:space="preserve">whether </w:t>
      </w:r>
      <w:r>
        <w:t>the TB was successfully or unsuccessfully received</w:t>
      </w:r>
      <w:r w:rsidR="00094CA2">
        <w:t>.</w:t>
      </w:r>
    </w:p>
    <w:p w14:paraId="46266DF8" w14:textId="6051B302" w:rsidR="00905713" w:rsidRDefault="00905713" w:rsidP="00905713">
      <w:r>
        <w:t>When the receiving UE does not have its location information, it cannot evaluate</w:t>
      </w:r>
      <w:r w:rsidR="000B002A">
        <w:t xml:space="preserve"> the distance from the transmitter, thus it cannot </w:t>
      </w:r>
      <w:r w:rsidR="00CC30CC">
        <w:t xml:space="preserve">follow the above behavior to </w:t>
      </w:r>
      <w:r w:rsidR="000B002A">
        <w:t xml:space="preserve">assess whether it should send </w:t>
      </w:r>
      <w:r w:rsidR="00471A90">
        <w:t>a NAK</w:t>
      </w:r>
      <w:r w:rsidR="000B002A">
        <w:t xml:space="preserve"> or not. There are </w:t>
      </w:r>
      <w:r w:rsidR="00342CF0">
        <w:t xml:space="preserve">four </w:t>
      </w:r>
      <w:r w:rsidR="000B002A">
        <w:t>possibilities:</w:t>
      </w:r>
    </w:p>
    <w:p w14:paraId="37486F18" w14:textId="006BD99F" w:rsidR="000B002A" w:rsidRDefault="000B002A" w:rsidP="000B002A">
      <w:pPr>
        <w:pStyle w:val="ListParagraph"/>
        <w:numPr>
          <w:ilvl w:val="0"/>
          <w:numId w:val="29"/>
        </w:numPr>
      </w:pPr>
      <w:r w:rsidRPr="004C638A">
        <w:rPr>
          <w:u w:val="single"/>
        </w:rPr>
        <w:t>The receiving UE could send nothing</w:t>
      </w:r>
      <w:r>
        <w:t>: this is problematic since the UE might miss important messages: if the transmitting UE is an RSU at an intersection used for e.g., sensor sharing, and if the receiving UE is within close distance of the RSU, the receiving UE should send a NAK to indicate it has missed a potentially vital packet</w:t>
      </w:r>
      <w:r w:rsidR="00C22C56">
        <w:t>.</w:t>
      </w:r>
    </w:p>
    <w:p w14:paraId="2DEDEF40" w14:textId="6FAA9510" w:rsidR="00CC30CC" w:rsidRDefault="000B002A" w:rsidP="00CC30CC">
      <w:pPr>
        <w:pStyle w:val="ListParagraph"/>
        <w:numPr>
          <w:ilvl w:val="0"/>
          <w:numId w:val="29"/>
        </w:numPr>
      </w:pPr>
      <w:r w:rsidRPr="004C638A">
        <w:rPr>
          <w:u w:val="single"/>
        </w:rPr>
        <w:t>The receiving UE could send an automatic NAK</w:t>
      </w:r>
      <w:r w:rsidR="00C22C56">
        <w:t>:</w:t>
      </w:r>
      <w:r>
        <w:t xml:space="preserve"> </w:t>
      </w:r>
      <w:r w:rsidR="00C22C56">
        <w:t>t</w:t>
      </w:r>
      <w:r>
        <w:t xml:space="preserve">his would solve the problem of the first bullet. However, this leads to other problems: if the UE is </w:t>
      </w:r>
      <w:r w:rsidR="000E0826">
        <w:t xml:space="preserve">inside </w:t>
      </w:r>
      <w:r>
        <w:t>of the range, it will send NAKs that it should not, flood the system with unnecessary messages, and more importantly, effectively render groupcast option 1 unusable</w:t>
      </w:r>
      <w:r w:rsidR="00471A90">
        <w:t xml:space="preserve"> for </w:t>
      </w:r>
      <w:proofErr w:type="gramStart"/>
      <w:r w:rsidR="00471A90">
        <w:t>all of</w:t>
      </w:r>
      <w:proofErr w:type="gramEnd"/>
      <w:r w:rsidR="00471A90">
        <w:t xml:space="preserve"> the UE</w:t>
      </w:r>
      <w:r w:rsidR="00342CF0">
        <w:t>s</w:t>
      </w:r>
      <w:r>
        <w:t xml:space="preserve">. </w:t>
      </w:r>
    </w:p>
    <w:p w14:paraId="307C8C90" w14:textId="6A570C6E" w:rsidR="00342CF0" w:rsidRDefault="00342CF0" w:rsidP="00CC30CC">
      <w:pPr>
        <w:pStyle w:val="ListParagraph"/>
        <w:numPr>
          <w:ilvl w:val="0"/>
          <w:numId w:val="29"/>
        </w:numPr>
      </w:pPr>
      <w:r w:rsidRPr="004C638A">
        <w:t>The receiving UE could behave as if the distance information was available</w:t>
      </w:r>
      <w:r w:rsidR="007C511F">
        <w:t xml:space="preserve"> when in-range</w:t>
      </w:r>
      <w:r>
        <w:rPr>
          <w:u w:val="single"/>
        </w:rPr>
        <w:t>, sending a NAK only if the packet is decoded incorrectly</w:t>
      </w:r>
      <w:r w:rsidRPr="004C638A">
        <w:t>.</w:t>
      </w:r>
      <w:r>
        <w:t xml:space="preserve"> This has the disadvantage that if the UE is outside </w:t>
      </w:r>
      <w:r>
        <w:lastRenderedPageBreak/>
        <w:t xml:space="preserve">the range, thus unlikely to successfully receive the TB, it will flood the system with NAKs that do not need to be sent. Just as for the second possibility, it will effectively render option 1 unusable for </w:t>
      </w:r>
      <w:proofErr w:type="gramStart"/>
      <w:r>
        <w:t>all of</w:t>
      </w:r>
      <w:proofErr w:type="gramEnd"/>
      <w:r>
        <w:t xml:space="preserve"> the UEs.</w:t>
      </w:r>
    </w:p>
    <w:p w14:paraId="6B896ED2" w14:textId="6E03EA29" w:rsidR="00342CF0" w:rsidRDefault="00342CF0" w:rsidP="00CC30CC">
      <w:pPr>
        <w:pStyle w:val="ListParagraph"/>
        <w:numPr>
          <w:ilvl w:val="0"/>
          <w:numId w:val="29"/>
        </w:numPr>
      </w:pPr>
      <w:r w:rsidRPr="004C638A">
        <w:rPr>
          <w:u w:val="single"/>
        </w:rPr>
        <w:t>The behavior is left up to the UE implementation</w:t>
      </w:r>
      <w:r>
        <w:t>. This is by far the worst possible option. The behavior needs to be known at the source. For instance, receiving many NAKs from a UE may indicate bad radio conditions (thus necessitating the transmitting UE to use more conservative transmissions), or that a UE is outside of the range. In addition, no receiving any HARQ feedback from a UE may mean that the UE is correctly receiving all the TBs, or that the UE is out of range. In any case, the HARQ feedback will essentially be unusable, and the transmitting UE will have to conservatively transmit. This would eliminate all the benefits of HARQ feedback option 1</w:t>
      </w:r>
      <w:r w:rsidR="00465EAD">
        <w:t xml:space="preserve"> and make option 1 difficult, if not impossible to deploy in practice.</w:t>
      </w:r>
    </w:p>
    <w:p w14:paraId="4F1ED099" w14:textId="77777777" w:rsidR="00CC30CC" w:rsidRDefault="00CC30CC" w:rsidP="00CC30CC">
      <w:pPr>
        <w:pStyle w:val="ListParagraph"/>
        <w:numPr>
          <w:ilvl w:val="0"/>
          <w:numId w:val="0"/>
        </w:numPr>
        <w:ind w:left="720"/>
      </w:pPr>
    </w:p>
    <w:p w14:paraId="04A81766" w14:textId="40B259CA" w:rsidR="00F12DA0" w:rsidRDefault="002D6AAD" w:rsidP="00F12DA0">
      <w:r>
        <w:t xml:space="preserve">RAN1 also discussed, without conclusion, an exception case where it is worth considering sending NAK even when distance is not available. </w:t>
      </w:r>
      <w:r w:rsidR="00F12DA0">
        <w:t>When the TB is for the highest priority traffic, the consequences of missing such a message could be dramatic. Thus, the receiving UE may still send an NAK, even if its location information is not available.</w:t>
      </w:r>
    </w:p>
    <w:p w14:paraId="40FDA0DB" w14:textId="5FBF9B4C" w:rsidR="00F12DA0" w:rsidRPr="00F12DA0" w:rsidRDefault="00F12DA0" w:rsidP="00E05871">
      <w:pPr>
        <w:spacing w:after="360"/>
        <w:rPr>
          <w:b/>
          <w:bCs/>
          <w:i/>
          <w:iCs/>
        </w:rPr>
      </w:pPr>
      <w:bookmarkStart w:id="3" w:name="Proposal"/>
      <w:r w:rsidRPr="00F12DA0">
        <w:rPr>
          <w:b/>
          <w:bCs/>
          <w:i/>
          <w:iCs/>
        </w:rPr>
        <w:t xml:space="preserve">Proposal: </w:t>
      </w:r>
      <w:r w:rsidR="006B7827">
        <w:rPr>
          <w:b/>
          <w:bCs/>
          <w:i/>
          <w:iCs/>
        </w:rPr>
        <w:t>when</w:t>
      </w:r>
      <w:r w:rsidR="003B0DEF" w:rsidRPr="00F12DA0">
        <w:rPr>
          <w:b/>
          <w:bCs/>
          <w:i/>
          <w:iCs/>
        </w:rPr>
        <w:t xml:space="preserve"> a </w:t>
      </w:r>
      <w:r w:rsidR="003B0DEF">
        <w:rPr>
          <w:b/>
          <w:bCs/>
          <w:i/>
          <w:iCs/>
        </w:rPr>
        <w:t xml:space="preserve">receiving </w:t>
      </w:r>
      <w:r w:rsidR="003B0DEF" w:rsidRPr="00F12DA0">
        <w:rPr>
          <w:b/>
          <w:bCs/>
          <w:i/>
          <w:iCs/>
        </w:rPr>
        <w:t xml:space="preserve">UE </w:t>
      </w:r>
      <w:r w:rsidR="003B0DEF">
        <w:rPr>
          <w:b/>
          <w:bCs/>
          <w:i/>
          <w:iCs/>
        </w:rPr>
        <w:t>in distance based HARQ operation</w:t>
      </w:r>
      <w:r w:rsidR="003B0DEF" w:rsidRPr="00F12DA0">
        <w:rPr>
          <w:b/>
          <w:bCs/>
          <w:i/>
          <w:iCs/>
        </w:rPr>
        <w:t xml:space="preserve"> does not have location information</w:t>
      </w:r>
      <w:r w:rsidR="003B0DEF">
        <w:rPr>
          <w:b/>
          <w:bCs/>
          <w:i/>
          <w:iCs/>
        </w:rPr>
        <w:t xml:space="preserve">, </w:t>
      </w:r>
      <w:r w:rsidRPr="00F12DA0">
        <w:rPr>
          <w:b/>
          <w:bCs/>
          <w:i/>
          <w:iCs/>
        </w:rPr>
        <w:t>the UE send</w:t>
      </w:r>
      <w:r w:rsidR="00846914">
        <w:rPr>
          <w:b/>
          <w:bCs/>
          <w:i/>
          <w:iCs/>
        </w:rPr>
        <w:t>s</w:t>
      </w:r>
      <w:r w:rsidRPr="00F12DA0">
        <w:rPr>
          <w:b/>
          <w:bCs/>
          <w:i/>
          <w:iCs/>
        </w:rPr>
        <w:t xml:space="preserve"> a NACK</w:t>
      </w:r>
      <w:r w:rsidR="006B7827">
        <w:rPr>
          <w:b/>
          <w:bCs/>
          <w:i/>
          <w:iCs/>
        </w:rPr>
        <w:t xml:space="preserve"> only if</w:t>
      </w:r>
      <w:r w:rsidR="006B7827" w:rsidRPr="00F12DA0">
        <w:rPr>
          <w:b/>
          <w:bCs/>
          <w:i/>
          <w:iCs/>
        </w:rPr>
        <w:t xml:space="preserve"> </w:t>
      </w:r>
      <w:r w:rsidR="006B7827">
        <w:rPr>
          <w:b/>
          <w:bCs/>
          <w:i/>
          <w:iCs/>
        </w:rPr>
        <w:t>a</w:t>
      </w:r>
      <w:r w:rsidR="006B7827" w:rsidRPr="00F12DA0">
        <w:rPr>
          <w:b/>
          <w:bCs/>
          <w:i/>
          <w:iCs/>
        </w:rPr>
        <w:t xml:space="preserve"> packet </w:t>
      </w:r>
      <w:r w:rsidR="006B7827">
        <w:rPr>
          <w:b/>
          <w:bCs/>
          <w:i/>
          <w:iCs/>
        </w:rPr>
        <w:t xml:space="preserve">of high priority </w:t>
      </w:r>
      <w:r w:rsidR="006B7827" w:rsidRPr="00F12DA0">
        <w:rPr>
          <w:b/>
          <w:bCs/>
          <w:i/>
          <w:iCs/>
        </w:rPr>
        <w:t>was not correctly received</w:t>
      </w:r>
      <w:r w:rsidR="006B7827">
        <w:rPr>
          <w:b/>
          <w:bCs/>
          <w:i/>
          <w:iCs/>
        </w:rPr>
        <w:t>.</w:t>
      </w:r>
    </w:p>
    <w:bookmarkEnd w:id="3"/>
    <w:p w14:paraId="60AB3D1E" w14:textId="77777777" w:rsidR="00E05871" w:rsidRPr="00493C77" w:rsidRDefault="00E05871" w:rsidP="00E05871">
      <w:pPr>
        <w:pStyle w:val="Heading1"/>
      </w:pPr>
      <w:r w:rsidRPr="00493C77">
        <w:t>Conclusions</w:t>
      </w:r>
    </w:p>
    <w:p w14:paraId="2454A302" w14:textId="1ED592FA" w:rsidR="00E05871" w:rsidRPr="00EB7F5B" w:rsidRDefault="00E05871" w:rsidP="00E05871">
      <w:pPr>
        <w:rPr>
          <w:sz w:val="20"/>
          <w:szCs w:val="20"/>
        </w:rPr>
      </w:pPr>
      <w:r w:rsidRPr="005172B2">
        <w:rPr>
          <w:sz w:val="20"/>
          <w:szCs w:val="20"/>
        </w:rPr>
        <w:t>This contribution discusses</w:t>
      </w:r>
      <w:r w:rsidRPr="00E05871">
        <w:rPr>
          <w:sz w:val="20"/>
          <w:szCs w:val="20"/>
        </w:rPr>
        <w:t xml:space="preserve"> the case where option 1 HARQ feedback is used and the RX location is not available</w:t>
      </w:r>
      <w:r w:rsidRPr="00EB7F5B">
        <w:rPr>
          <w:sz w:val="20"/>
          <w:szCs w:val="20"/>
        </w:rPr>
        <w:t>, which leads to the proposal as follows:</w:t>
      </w:r>
    </w:p>
    <w:p w14:paraId="0D56EA0E" w14:textId="77777777" w:rsidR="005F53F8" w:rsidRPr="00F12DA0" w:rsidRDefault="00846914" w:rsidP="00E05871">
      <w:pPr>
        <w:spacing w:after="360"/>
        <w:rPr>
          <w:b/>
          <w:bCs/>
          <w:i/>
          <w:iCs/>
        </w:rPr>
      </w:pPr>
      <w:r>
        <w:fldChar w:fldCharType="begin"/>
      </w:r>
      <w:r>
        <w:instrText xml:space="preserve"> REF Proposal \h </w:instrText>
      </w:r>
      <w:r>
        <w:fldChar w:fldCharType="separate"/>
      </w:r>
      <w:r w:rsidR="005F53F8" w:rsidRPr="00F12DA0">
        <w:rPr>
          <w:b/>
          <w:bCs/>
          <w:i/>
          <w:iCs/>
        </w:rPr>
        <w:t xml:space="preserve">Proposal: </w:t>
      </w:r>
      <w:r w:rsidR="005F53F8">
        <w:rPr>
          <w:b/>
          <w:bCs/>
          <w:i/>
          <w:iCs/>
        </w:rPr>
        <w:t>when</w:t>
      </w:r>
      <w:r w:rsidR="005F53F8" w:rsidRPr="00F12DA0">
        <w:rPr>
          <w:b/>
          <w:bCs/>
          <w:i/>
          <w:iCs/>
        </w:rPr>
        <w:t xml:space="preserve"> a </w:t>
      </w:r>
      <w:r w:rsidR="005F53F8">
        <w:rPr>
          <w:b/>
          <w:bCs/>
          <w:i/>
          <w:iCs/>
        </w:rPr>
        <w:t xml:space="preserve">receiving </w:t>
      </w:r>
      <w:r w:rsidR="005F53F8" w:rsidRPr="00F12DA0">
        <w:rPr>
          <w:b/>
          <w:bCs/>
          <w:i/>
          <w:iCs/>
        </w:rPr>
        <w:t xml:space="preserve">UE </w:t>
      </w:r>
      <w:r w:rsidR="005F53F8">
        <w:rPr>
          <w:b/>
          <w:bCs/>
          <w:i/>
          <w:iCs/>
        </w:rPr>
        <w:t>in distance based HARQ operation</w:t>
      </w:r>
      <w:r w:rsidR="005F53F8" w:rsidRPr="00F12DA0">
        <w:rPr>
          <w:b/>
          <w:bCs/>
          <w:i/>
          <w:iCs/>
        </w:rPr>
        <w:t xml:space="preserve"> does not have location information</w:t>
      </w:r>
      <w:r w:rsidR="005F53F8">
        <w:rPr>
          <w:b/>
          <w:bCs/>
          <w:i/>
          <w:iCs/>
        </w:rPr>
        <w:t xml:space="preserve">, </w:t>
      </w:r>
      <w:r w:rsidR="005F53F8" w:rsidRPr="00F12DA0">
        <w:rPr>
          <w:b/>
          <w:bCs/>
          <w:i/>
          <w:iCs/>
        </w:rPr>
        <w:t>the UE send</w:t>
      </w:r>
      <w:r w:rsidR="005F53F8">
        <w:rPr>
          <w:b/>
          <w:bCs/>
          <w:i/>
          <w:iCs/>
        </w:rPr>
        <w:t>s</w:t>
      </w:r>
      <w:r w:rsidR="005F53F8" w:rsidRPr="00F12DA0">
        <w:rPr>
          <w:b/>
          <w:bCs/>
          <w:i/>
          <w:iCs/>
        </w:rPr>
        <w:t xml:space="preserve"> a NACK</w:t>
      </w:r>
      <w:r w:rsidR="005F53F8">
        <w:rPr>
          <w:b/>
          <w:bCs/>
          <w:i/>
          <w:iCs/>
        </w:rPr>
        <w:t xml:space="preserve"> only if</w:t>
      </w:r>
      <w:r w:rsidR="005F53F8" w:rsidRPr="00F12DA0">
        <w:rPr>
          <w:b/>
          <w:bCs/>
          <w:i/>
          <w:iCs/>
        </w:rPr>
        <w:t xml:space="preserve"> </w:t>
      </w:r>
      <w:r w:rsidR="005F53F8">
        <w:rPr>
          <w:b/>
          <w:bCs/>
          <w:i/>
          <w:iCs/>
        </w:rPr>
        <w:t>a</w:t>
      </w:r>
      <w:r w:rsidR="005F53F8" w:rsidRPr="00F12DA0">
        <w:rPr>
          <w:b/>
          <w:bCs/>
          <w:i/>
          <w:iCs/>
        </w:rPr>
        <w:t xml:space="preserve"> packet </w:t>
      </w:r>
      <w:r w:rsidR="005F53F8">
        <w:rPr>
          <w:b/>
          <w:bCs/>
          <w:i/>
          <w:iCs/>
        </w:rPr>
        <w:t xml:space="preserve">of high priority </w:t>
      </w:r>
      <w:r w:rsidR="005F53F8" w:rsidRPr="00F12DA0">
        <w:rPr>
          <w:b/>
          <w:bCs/>
          <w:i/>
          <w:iCs/>
        </w:rPr>
        <w:t>was not correctly received</w:t>
      </w:r>
      <w:r w:rsidR="005F53F8">
        <w:rPr>
          <w:b/>
          <w:bCs/>
          <w:i/>
          <w:iCs/>
        </w:rPr>
        <w:t>.</w:t>
      </w:r>
    </w:p>
    <w:p w14:paraId="367CF0F0" w14:textId="1B50B375" w:rsidR="00F62478" w:rsidRDefault="00846914" w:rsidP="00AD72DA">
      <w:r>
        <w:fldChar w:fldCharType="end"/>
      </w:r>
    </w:p>
    <w:sectPr w:rsidR="00F62478"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33759" w14:textId="77777777" w:rsidR="00E62C58" w:rsidRDefault="00E62C58">
      <w:r>
        <w:separator/>
      </w:r>
    </w:p>
  </w:endnote>
  <w:endnote w:type="continuationSeparator" w:id="0">
    <w:p w14:paraId="29B52D0A" w14:textId="77777777" w:rsidR="00E62C58" w:rsidRDefault="00E6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1C54" w14:textId="77777777" w:rsidR="00E62C58" w:rsidRDefault="00E62C58">
      <w:r>
        <w:separator/>
      </w:r>
    </w:p>
  </w:footnote>
  <w:footnote w:type="continuationSeparator" w:id="0">
    <w:p w14:paraId="749292C3" w14:textId="77777777" w:rsidR="00E62C58" w:rsidRDefault="00E62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0"/>
  </w:num>
  <w:num w:numId="4">
    <w:abstractNumId w:val="15"/>
  </w:num>
  <w:num w:numId="5">
    <w:abstractNumId w:val="6"/>
  </w:num>
  <w:num w:numId="6">
    <w:abstractNumId w:val="3"/>
  </w:num>
  <w:num w:numId="7">
    <w:abstractNumId w:val="14"/>
  </w:num>
  <w:num w:numId="8">
    <w:abstractNumId w:val="20"/>
  </w:num>
  <w:num w:numId="9">
    <w:abstractNumId w:val="4"/>
  </w:num>
  <w:num w:numId="10">
    <w:abstractNumId w:val="2"/>
  </w:num>
  <w:num w:numId="11">
    <w:abstractNumId w:val="11"/>
  </w:num>
  <w:num w:numId="12">
    <w:abstractNumId w:val="17"/>
  </w:num>
  <w:num w:numId="13">
    <w:abstractNumId w:val="1"/>
  </w:num>
  <w:num w:numId="14">
    <w:abstractNumId w:val="8"/>
  </w:num>
  <w:num w:numId="15">
    <w:abstractNumId w:val="28"/>
  </w:num>
  <w:num w:numId="16">
    <w:abstractNumId w:val="19"/>
  </w:num>
  <w:num w:numId="17">
    <w:abstractNumId w:val="19"/>
  </w:num>
  <w:num w:numId="18">
    <w:abstractNumId w:val="24"/>
  </w:num>
  <w:num w:numId="19">
    <w:abstractNumId w:val="0"/>
  </w:num>
  <w:num w:numId="20">
    <w:abstractNumId w:val="12"/>
  </w:num>
  <w:num w:numId="21">
    <w:abstractNumId w:val="25"/>
  </w:num>
  <w:num w:numId="22">
    <w:abstractNumId w:val="5"/>
  </w:num>
  <w:num w:numId="23">
    <w:abstractNumId w:val="22"/>
  </w:num>
  <w:num w:numId="24">
    <w:abstractNumId w:val="7"/>
  </w:num>
  <w:num w:numId="25">
    <w:abstractNumId w:val="21"/>
  </w:num>
  <w:num w:numId="26">
    <w:abstractNumId w:val="27"/>
  </w:num>
  <w:num w:numId="27">
    <w:abstractNumId w:val="23"/>
  </w:num>
  <w:num w:numId="28">
    <w:abstractNumId w:val="16"/>
  </w:num>
  <w:num w:numId="29">
    <w:abstractNumId w:val="26"/>
  </w:num>
  <w:num w:numId="30">
    <w:abstractNumId w:val="18"/>
  </w:num>
  <w:num w:numId="3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CA2"/>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3CE"/>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5EAD"/>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3B27"/>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4F5"/>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14"/>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1B04"/>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1F63"/>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2C58"/>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2DA0"/>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D9C11-0DFB-4E70-9B18-922A7D82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18</cp:revision>
  <cp:lastPrinted>2007-06-18T22:08:00Z</cp:lastPrinted>
  <dcterms:created xsi:type="dcterms:W3CDTF">2020-04-08T16:13:00Z</dcterms:created>
  <dcterms:modified xsi:type="dcterms:W3CDTF">2020-04-09T14:28:00Z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