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4B02" w:rsidRDefault="00A60AB0">
      <w:pPr>
        <w:pStyle w:val="CRCoverPage"/>
        <w:tabs>
          <w:tab w:val="right" w:pos="9639"/>
        </w:tabs>
        <w:spacing w:after="0"/>
        <w:rPr>
          <w:rFonts w:eastAsia="宋体"/>
          <w:b/>
          <w:i/>
          <w:sz w:val="28"/>
          <w:lang w:val="en-US" w:eastAsia="zh-CN"/>
        </w:rPr>
      </w:pPr>
      <w:r>
        <w:rPr>
          <w:b/>
          <w:sz w:val="24"/>
        </w:rPr>
        <w:t>3GPP TSG-RAN WG2 Meeting #109</w:t>
      </w:r>
      <w:r>
        <w:rPr>
          <w:rFonts w:eastAsia="宋体" w:hint="eastAsia"/>
          <w:b/>
          <w:sz w:val="24"/>
          <w:lang w:val="en-US" w:eastAsia="zh-CN"/>
        </w:rPr>
        <w:t>bis-e</w:t>
      </w:r>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2002745</w:t>
      </w:r>
    </w:p>
    <w:p w:rsidR="003A4B02" w:rsidRDefault="00A60AB0">
      <w:pPr>
        <w:pStyle w:val="CRCoverPage"/>
        <w:outlineLvl w:val="0"/>
        <w:rPr>
          <w:b/>
          <w:sz w:val="24"/>
          <w:szCs w:val="24"/>
          <w:lang w:val="en-US" w:eastAsia="zh-CN"/>
        </w:rPr>
      </w:pPr>
      <w:r>
        <w:rPr>
          <w:b/>
          <w:sz w:val="24"/>
          <w:szCs w:val="24"/>
          <w:lang w:eastAsia="zh-CN"/>
        </w:rPr>
        <w:t>E</w:t>
      </w:r>
      <w:r>
        <w:rPr>
          <w:rFonts w:hint="eastAsia"/>
          <w:b/>
          <w:sz w:val="24"/>
          <w:szCs w:val="24"/>
          <w:lang w:val="en-US" w:eastAsia="zh-CN"/>
        </w:rPr>
        <w:t>lectronic</w:t>
      </w:r>
      <w:r>
        <w:rPr>
          <w:b/>
          <w:sz w:val="24"/>
          <w:szCs w:val="24"/>
          <w:lang w:eastAsia="zh-CN"/>
        </w:rPr>
        <w:t>, 2</w:t>
      </w:r>
      <w:r>
        <w:rPr>
          <w:rFonts w:hint="eastAsia"/>
          <w:b/>
          <w:sz w:val="24"/>
          <w:szCs w:val="24"/>
          <w:lang w:val="en-US" w:eastAsia="zh-CN"/>
        </w:rPr>
        <w:t>0</w:t>
      </w:r>
      <w:r>
        <w:rPr>
          <w:b/>
          <w:sz w:val="24"/>
          <w:szCs w:val="24"/>
          <w:vertAlign w:val="superscript"/>
          <w:lang w:eastAsia="zh-CN"/>
        </w:rPr>
        <w:t>th</w:t>
      </w:r>
      <w:r>
        <w:rPr>
          <w:b/>
          <w:sz w:val="24"/>
          <w:szCs w:val="24"/>
          <w:lang w:eastAsia="zh-CN"/>
        </w:rPr>
        <w:t xml:space="preserve"> </w:t>
      </w:r>
      <w:r>
        <w:rPr>
          <w:rFonts w:hint="eastAsia"/>
          <w:b/>
          <w:sz w:val="24"/>
          <w:szCs w:val="24"/>
          <w:lang w:val="en-US" w:eastAsia="zh-CN"/>
        </w:rPr>
        <w:t>Apr</w:t>
      </w:r>
      <w:r>
        <w:rPr>
          <w:b/>
          <w:sz w:val="24"/>
          <w:szCs w:val="24"/>
          <w:lang w:eastAsia="zh-CN"/>
        </w:rPr>
        <w:t xml:space="preserve"> – </w:t>
      </w:r>
      <w:r>
        <w:rPr>
          <w:rFonts w:hint="eastAsia"/>
          <w:b/>
          <w:sz w:val="24"/>
          <w:szCs w:val="24"/>
          <w:lang w:val="en-US" w:eastAsia="zh-CN"/>
        </w:rPr>
        <w:t>30</w:t>
      </w:r>
      <w:r>
        <w:rPr>
          <w:b/>
          <w:sz w:val="24"/>
          <w:szCs w:val="24"/>
          <w:vertAlign w:val="superscript"/>
          <w:lang w:eastAsia="zh-CN"/>
        </w:rPr>
        <w:t>th</w:t>
      </w:r>
      <w:r>
        <w:rPr>
          <w:b/>
          <w:sz w:val="24"/>
          <w:szCs w:val="24"/>
          <w:lang w:eastAsia="zh-CN"/>
        </w:rPr>
        <w:t xml:space="preserve"> </w:t>
      </w:r>
      <w:r>
        <w:rPr>
          <w:rFonts w:hint="eastAsia"/>
          <w:b/>
          <w:sz w:val="24"/>
          <w:szCs w:val="24"/>
          <w:lang w:val="en-US" w:eastAsia="zh-CN"/>
        </w:rPr>
        <w:t>Apr</w:t>
      </w:r>
      <w:r>
        <w:rPr>
          <w:b/>
          <w:sz w:val="24"/>
          <w:szCs w:val="24"/>
          <w:lang w:eastAsia="zh-CN"/>
        </w:rPr>
        <w:t xml:space="preserve"> 20</w:t>
      </w:r>
      <w:r>
        <w:rPr>
          <w:rFonts w:hint="eastAsia"/>
          <w:b/>
          <w:sz w:val="24"/>
          <w:szCs w:val="24"/>
          <w:lang w:val="en-US" w:eastAsia="zh-CN"/>
        </w:rPr>
        <w:t>20</w:t>
      </w:r>
    </w:p>
    <w:p w:rsidR="003A4B02" w:rsidRDefault="00A60AB0">
      <w:pPr>
        <w:overflowPunct w:val="0"/>
        <w:autoSpaceDE w:val="0"/>
        <w:autoSpaceDN w:val="0"/>
        <w:adjustRightInd w:val="0"/>
        <w:snapToGrid w:val="0"/>
        <w:spacing w:beforeLines="50" w:before="156"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3A4B02" w:rsidRDefault="00A60AB0">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3A4B02" w:rsidRDefault="00A60AB0">
      <w:pPr>
        <w:overflowPunct w:val="0"/>
        <w:autoSpaceDE w:val="0"/>
        <w:autoSpaceDN w:val="0"/>
        <w:adjustRightInd w:val="0"/>
        <w:snapToGrid w:val="0"/>
        <w:spacing w:beforeLines="50" w:before="156"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consideration on the PCI range</w:t>
      </w:r>
    </w:p>
    <w:p w:rsidR="003A4B02" w:rsidRDefault="00A60AB0">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6.18.2</w:t>
      </w:r>
    </w:p>
    <w:p w:rsidR="003A4B02" w:rsidRDefault="00A60AB0">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3A4B02" w:rsidRDefault="00A60AB0">
      <w:pPr>
        <w:pStyle w:val="Heading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A4B02" w:rsidRDefault="00A60AB0">
      <w:pPr>
        <w:spacing w:beforeLines="50" w:before="156"/>
      </w:pPr>
      <w:r>
        <w:rPr>
          <w:rFonts w:hint="eastAsia"/>
        </w:rPr>
        <w:t>In the email discus</w:t>
      </w:r>
      <w:r w:rsidR="00612153">
        <w:rPr>
          <w:rFonts w:hint="eastAsia"/>
        </w:rPr>
        <w:t>sion</w:t>
      </w:r>
      <w:r w:rsidR="00612153">
        <w:t xml:space="preserve"> </w:t>
      </w:r>
      <w:r w:rsidR="00612153">
        <w:rPr>
          <w:rFonts w:hint="eastAsia"/>
        </w:rPr>
        <w:t>[</w:t>
      </w:r>
      <w:r w:rsidR="00612153">
        <w:t>1</w:t>
      </w:r>
      <w:r w:rsidR="00612153">
        <w:rPr>
          <w:rFonts w:hint="eastAsia"/>
        </w:rPr>
        <w:t>]</w:t>
      </w:r>
      <w:r w:rsidR="00612153">
        <w:t>,</w:t>
      </w:r>
      <w:r>
        <w:rPr>
          <w:rFonts w:hint="eastAsia"/>
        </w:rPr>
        <w:t xml:space="preserve"> the PCI range related issues were discussed in question 9. However, the views from companies are so divergent, in this contribution, we give our further analysis to accelerate the discussion.</w:t>
      </w:r>
    </w:p>
    <w:p w:rsidR="003A4B02" w:rsidRDefault="00A60AB0">
      <w:pPr>
        <w:pStyle w:val="Heading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3A4B02" w:rsidRDefault="00A60AB0">
      <w:pPr>
        <w:pStyle w:val="Heading2"/>
        <w:keepNext w:val="0"/>
        <w:keepLines w:val="0"/>
        <w:spacing w:beforeLines="50" w:before="156"/>
        <w:ind w:left="0" w:firstLine="0"/>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1</w:t>
      </w:r>
      <w:r>
        <w:rPr>
          <w:rFonts w:hint="eastAsia"/>
          <w:b w:val="0"/>
          <w:bCs w:val="0"/>
          <w:sz w:val="28"/>
          <w:szCs w:val="28"/>
          <w:lang w:val="en-US"/>
        </w:rPr>
        <w:t xml:space="preserve"> </w:t>
      </w:r>
      <w:r>
        <w:rPr>
          <w:rFonts w:eastAsia="宋体" w:hint="eastAsia"/>
          <w:b w:val="0"/>
          <w:bCs w:val="0"/>
          <w:sz w:val="28"/>
          <w:szCs w:val="28"/>
          <w:lang w:val="en-US"/>
        </w:rPr>
        <w:t>White list or PCI range</w:t>
      </w:r>
    </w:p>
    <w:p w:rsidR="003A4B02" w:rsidRDefault="00A60AB0">
      <w:r>
        <w:rPr>
          <w:rFonts w:hint="eastAsia"/>
        </w:rPr>
        <w:t>According to the email discussion, the following 4 options were provided on the signal</w:t>
      </w:r>
      <w:r w:rsidR="00612153">
        <w:rPr>
          <w:rFonts w:hint="eastAsia"/>
        </w:rPr>
        <w:t>ing of PCI range for CAGs,</w:t>
      </w:r>
      <w:r w:rsidR="00612153" w:rsidRPr="00612153">
        <w:t xml:space="preserve"> </w:t>
      </w:r>
      <w:r w:rsidR="00612153">
        <w:t xml:space="preserve">in which </w:t>
      </w:r>
      <w:r w:rsidR="00612153">
        <w:rPr>
          <w:rFonts w:hint="eastAsia"/>
        </w:rPr>
        <w:t>the option 2 and option 4 were preferred by most companies</w:t>
      </w:r>
      <w:r w:rsidR="00612153">
        <w:t xml:space="preserve">, thus we will </w:t>
      </w:r>
      <w:r w:rsidR="00612153">
        <w:rPr>
          <w:rFonts w:hint="eastAsia"/>
        </w:rPr>
        <w:t xml:space="preserve">focus on </w:t>
      </w:r>
      <w:r w:rsidR="00612153">
        <w:t>these 2 options in this paper</w:t>
      </w:r>
      <w:r w:rsidR="00612153">
        <w:rPr>
          <w:rFonts w:hint="eastAsia"/>
        </w:rPr>
        <w:t>.</w:t>
      </w:r>
    </w:p>
    <w:tbl>
      <w:tblPr>
        <w:tblStyle w:val="TableGrid"/>
        <w:tblW w:w="7888" w:type="dxa"/>
        <w:tblInd w:w="911" w:type="dxa"/>
        <w:tblLayout w:type="fixed"/>
        <w:tblLook w:val="04A0" w:firstRow="1" w:lastRow="0" w:firstColumn="1" w:lastColumn="0" w:noHBand="0" w:noVBand="1"/>
      </w:tblPr>
      <w:tblGrid>
        <w:gridCol w:w="7888"/>
      </w:tblGrid>
      <w:tr w:rsidR="003A4B02">
        <w:tc>
          <w:tcPr>
            <w:tcW w:w="7888" w:type="dxa"/>
          </w:tcPr>
          <w:p w:rsidR="003A4B02" w:rsidRDefault="00A60AB0">
            <w:pPr>
              <w:pStyle w:val="ListParagraph"/>
              <w:numPr>
                <w:ilvl w:val="0"/>
                <w:numId w:val="5"/>
              </w:numPr>
              <w:ind w:left="-256" w:firstLine="420"/>
              <w:rPr>
                <w:bCs/>
              </w:rPr>
            </w:pPr>
            <w:r>
              <w:rPr>
                <w:bCs/>
              </w:rPr>
              <w:t>Signal PCI range(s) for all CAGs. Number of ranges FFS.</w:t>
            </w:r>
          </w:p>
          <w:p w:rsidR="003A4B02" w:rsidRDefault="00A60AB0">
            <w:pPr>
              <w:pStyle w:val="ListParagraph"/>
              <w:numPr>
                <w:ilvl w:val="0"/>
                <w:numId w:val="5"/>
              </w:numPr>
              <w:ind w:left="-256" w:firstLine="420"/>
              <w:rPr>
                <w:bCs/>
              </w:rPr>
            </w:pPr>
            <w:r>
              <w:rPr>
                <w:bCs/>
              </w:rPr>
              <w:t>Signal PCI range(s) per PLMN per frequency. Number of ranges FFS.</w:t>
            </w:r>
          </w:p>
          <w:p w:rsidR="003A4B02" w:rsidRDefault="00A60AB0">
            <w:pPr>
              <w:pStyle w:val="ListParagraph"/>
              <w:numPr>
                <w:ilvl w:val="0"/>
                <w:numId w:val="5"/>
              </w:numPr>
              <w:ind w:left="-256" w:firstLine="420"/>
              <w:rPr>
                <w:bCs/>
              </w:rPr>
            </w:pPr>
            <w:r>
              <w:rPr>
                <w:bCs/>
              </w:rPr>
              <w:t>Signal PCI range(s) per CAG ID per frequency. Number of ranges FFS.</w:t>
            </w:r>
          </w:p>
          <w:p w:rsidR="003A4B02" w:rsidRDefault="00A60AB0">
            <w:pPr>
              <w:pStyle w:val="ListParagraph"/>
              <w:numPr>
                <w:ilvl w:val="0"/>
                <w:numId w:val="5"/>
              </w:numPr>
              <w:ind w:left="-256" w:firstLine="420"/>
            </w:pPr>
            <w:r>
              <w:rPr>
                <w:bCs/>
              </w:rPr>
              <w:t>CAG PCI range is introduced as a list of blacklisted/whitelisted cells (no changes required to ASN.1 and NR-U C</w:t>
            </w:r>
            <w:r>
              <w:rPr>
                <w:rFonts w:hint="eastAsia"/>
                <w:bCs/>
              </w:rPr>
              <w:t>C</w:t>
            </w:r>
            <w:r>
              <w:rPr>
                <w:bCs/>
              </w:rPr>
              <w:t>Rs are the baseline).</w:t>
            </w:r>
          </w:p>
        </w:tc>
      </w:tr>
    </w:tbl>
    <w:p w:rsidR="00612153" w:rsidRDefault="00612153">
      <w:r>
        <w:t>Obviously, th</w:t>
      </w:r>
      <w:r w:rsidR="00A60AB0">
        <w:rPr>
          <w:rFonts w:hint="eastAsia"/>
        </w:rPr>
        <w:t xml:space="preserve">e first difference of these two options is on the granularity of the PCI range. In the option 2, the PCI range is reserved per PLMN, </w:t>
      </w:r>
      <w:r w:rsidR="00AE043E">
        <w:t xml:space="preserve">while </w:t>
      </w:r>
      <w:r>
        <w:t>in</w:t>
      </w:r>
      <w:r w:rsidR="00A60AB0">
        <w:rPr>
          <w:rFonts w:hint="eastAsia"/>
        </w:rPr>
        <w:t xml:space="preserve"> the option 4 the PCI range is </w:t>
      </w:r>
      <w:r>
        <w:t xml:space="preserve">signaled in the </w:t>
      </w:r>
      <w:r w:rsidRPr="00AE043E">
        <w:rPr>
          <w:b/>
          <w:i/>
        </w:rPr>
        <w:t>white</w:t>
      </w:r>
      <w:r w:rsidR="00AE043E" w:rsidRPr="00AE043E">
        <w:rPr>
          <w:b/>
          <w:i/>
        </w:rPr>
        <w:t>cell</w:t>
      </w:r>
      <w:r w:rsidRPr="00AE043E">
        <w:rPr>
          <w:b/>
          <w:i/>
        </w:rPr>
        <w:t>list</w:t>
      </w:r>
      <w:r w:rsidR="00AE043E">
        <w:t xml:space="preserve"> as below.</w:t>
      </w:r>
    </w:p>
    <w:p w:rsidR="00612153" w:rsidRDefault="00612153" w:rsidP="00AE043E">
      <w:pPr>
        <w:keepNext/>
        <w:keepLines/>
        <w:overflowPunct w:val="0"/>
        <w:autoSpaceDE w:val="0"/>
        <w:autoSpaceDN w:val="0"/>
        <w:adjustRightInd w:val="0"/>
        <w:spacing w:before="60"/>
        <w:jc w:val="center"/>
        <w:rPr>
          <w:rFonts w:ascii="Arial" w:eastAsia="Times New Roman" w:hAnsi="Arial" w:cs="Arial"/>
          <w:b/>
          <w:bCs/>
          <w:i/>
          <w:iCs/>
          <w:lang w:eastAsia="en-US"/>
        </w:rPr>
      </w:pPr>
      <w:r>
        <w:rPr>
          <w:rFonts w:ascii="Arial" w:eastAsia="Times New Roman" w:hAnsi="Arial" w:cs="Arial"/>
          <w:b/>
          <w:bCs/>
          <w:i/>
          <w:iCs/>
          <w:lang w:eastAsia="en-US"/>
        </w:rPr>
        <w:t xml:space="preserve">SIB3 </w:t>
      </w:r>
      <w:r>
        <w:rPr>
          <w:rFonts w:ascii="Arial" w:eastAsia="Times New Roman" w:hAnsi="Arial" w:cs="Arial"/>
          <w:b/>
          <w:bCs/>
          <w:iCs/>
          <w:lang w:eastAsia="en-US"/>
        </w:rPr>
        <w:t>information element</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TAG-SIB3-START</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5376"/>
          <w:tab w:val="left" w:pos="6144"/>
          <w:tab w:val="left" w:pos="6602"/>
          <w:tab w:val="left" w:pos="6912"/>
          <w:tab w:val="left" w:pos="7680"/>
          <w:tab w:val="left" w:pos="8448"/>
          <w:tab w:val="left" w:pos="9216"/>
        </w:tabs>
        <w:overflowPunct w:val="0"/>
        <w:autoSpaceDE w:val="0"/>
        <w:autoSpaceDN w:val="0"/>
        <w:adjustRightInd w:val="0"/>
        <w:spacing w:after="0" w:line="160" w:lineRule="exact"/>
        <w:rPr>
          <w:rFonts w:ascii="Courier New" w:eastAsia="宋体" w:hAnsi="Courier New" w:cs="Courier New"/>
          <w:sz w:val="16"/>
        </w:rPr>
      </w:pPr>
      <w:r>
        <w:rPr>
          <w:rFonts w:ascii="Courier New" w:eastAsia="Times New Roman" w:hAnsi="Courier New" w:cs="Courier New"/>
          <w:sz w:val="16"/>
          <w:lang w:eastAsia="en-GB"/>
        </w:rPr>
        <w:t xml:space="preserve">SIB3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宋体" w:hAnsi="Courier New" w:cs="Courier New" w:hint="eastAsia"/>
          <w:sz w:val="16"/>
        </w:rPr>
        <w:tab/>
      </w:r>
      <w:r>
        <w:rPr>
          <w:rFonts w:ascii="Courier New" w:eastAsia="宋体" w:hAnsi="Courier New" w:cs="Courier New" w:hint="eastAsia"/>
          <w:sz w:val="16"/>
        </w:rPr>
        <w:tab/>
      </w:r>
      <w:r>
        <w:rPr>
          <w:rFonts w:ascii="Courier New" w:eastAsia="宋体" w:hAnsi="Courier New" w:cs="Courier New" w:hint="eastAsia"/>
          <w:sz w:val="16"/>
        </w:rPr>
        <w:tab/>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intraFreqNeighCellList              IntraFreqNeighCellList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intraFreqBlackCellList              IntraFreqBlackCellList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lateNonCriticalExtension            </w:t>
      </w:r>
      <w:r>
        <w:rPr>
          <w:rFonts w:ascii="Courier New" w:eastAsia="Times New Roman" w:hAnsi="Courier New" w:cs="Courier New"/>
          <w:color w:val="993366"/>
          <w:sz w:val="16"/>
          <w:lang w:eastAsia="en-GB"/>
        </w:rPr>
        <w:t>OCTET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612153" w:rsidRDefault="00612153" w:rsidP="00612153">
      <w:pPr>
        <w:pStyle w:val="PL"/>
        <w:shd w:val="clear" w:color="auto" w:fill="E6E6E6"/>
        <w:spacing w:line="160" w:lineRule="exact"/>
        <w:jc w:val="both"/>
        <w:rPr>
          <w:rFonts w:eastAsia="Times New Roman" w:cs="Courier New"/>
          <w:lang w:eastAsia="en-GB"/>
        </w:rPr>
      </w:pPr>
      <w:r>
        <w:t xml:space="preserve">    [[  </w:t>
      </w:r>
      <w:r>
        <w:rPr>
          <w:rFonts w:eastAsia="Times New Roman" w:cs="Courier New"/>
          <w:highlight w:val="yellow"/>
          <w:lang w:eastAsia="en-GB"/>
        </w:rPr>
        <w:t xml:space="preserve">intraFreqWhiteCellList-r16          IntraFreqWhiteCellList-r16      </w:t>
      </w:r>
      <w:r>
        <w:rPr>
          <w:rFonts w:eastAsia="Times New Roman" w:cs="Courier New"/>
          <w:color w:val="993366"/>
          <w:highlight w:val="yellow"/>
          <w:lang w:eastAsia="en-GB"/>
        </w:rPr>
        <w:t>OPTIONAL</w:t>
      </w:r>
      <w:r>
        <w:rPr>
          <w:rFonts w:eastAsia="Times New Roman" w:cs="Courier New"/>
          <w:highlight w:val="yellow"/>
          <w:lang w:eastAsia="en-GB"/>
        </w:rPr>
        <w:t xml:space="preserve">   </w:t>
      </w:r>
      <w:r>
        <w:rPr>
          <w:rFonts w:eastAsia="Times New Roman" w:cs="Courier New"/>
          <w:color w:val="808080"/>
          <w:highlight w:val="yellow"/>
          <w:lang w:eastAsia="en-GB"/>
        </w:rPr>
        <w:t>-- Need R</w:t>
      </w:r>
      <w:r>
        <w:t xml:space="preserve">    ]]</w:t>
      </w:r>
      <w:r>
        <w:rPr>
          <w:rFonts w:eastAsia="Times New Roman" w:cs="Courier New"/>
          <w:lang w:eastAsia="en-GB"/>
        </w:rPr>
        <w:t>}</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IntraFreqNeighCellList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(1..maxCellIntra))</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IntraFreqNeighCellInfo</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IntraFreqNeighCellInfo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physCellId                          PhysCellId,</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    q-OffsetCell                        Q-OffsetRange,</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q-RxLevMinOffsetCell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q-RxLevMinOffsetCellSUL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q-QualMinOffsetCell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lang w:eastAsia="en-GB"/>
        </w:rPr>
      </w:pPr>
      <w:r>
        <w:rPr>
          <w:rFonts w:ascii="Courier New" w:eastAsia="Times New Roman" w:hAnsi="Courier New" w:cs="Courier New"/>
          <w:sz w:val="16"/>
          <w:lang w:eastAsia="en-GB"/>
        </w:rPr>
        <w:t xml:space="preserve">IntraFreqBlackCellList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(1..maxCellBlack))</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PCI-Range</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sz w:val="16"/>
          <w:highlight w:val="yellow"/>
          <w:lang w:eastAsia="en-GB"/>
        </w:rPr>
      </w:pPr>
      <w:r>
        <w:rPr>
          <w:rFonts w:ascii="Courier New" w:eastAsia="Times New Roman" w:hAnsi="Courier New" w:cs="Courier New"/>
          <w:sz w:val="16"/>
          <w:highlight w:val="yellow"/>
          <w:lang w:eastAsia="en-GB"/>
        </w:rPr>
        <w:t xml:space="preserve">IntraFreqWhiteCellList-r16 ::=      </w:t>
      </w:r>
      <w:r>
        <w:rPr>
          <w:rFonts w:ascii="Courier New" w:eastAsia="Times New Roman" w:hAnsi="Courier New" w:cs="Courier New"/>
          <w:color w:val="993366"/>
          <w:sz w:val="16"/>
          <w:highlight w:val="yellow"/>
          <w:lang w:eastAsia="en-GB"/>
        </w:rPr>
        <w:t>SEQUENCE</w:t>
      </w:r>
      <w:r>
        <w:rPr>
          <w:rFonts w:ascii="Courier New" w:eastAsia="Times New Roman" w:hAnsi="Courier New" w:cs="Courier New"/>
          <w:sz w:val="16"/>
          <w:highlight w:val="yellow"/>
          <w:lang w:eastAsia="en-GB"/>
        </w:rPr>
        <w:t xml:space="preserve"> (</w:t>
      </w:r>
      <w:r>
        <w:rPr>
          <w:rFonts w:ascii="Courier New" w:eastAsia="Times New Roman" w:hAnsi="Courier New" w:cs="Courier New"/>
          <w:color w:val="993366"/>
          <w:sz w:val="16"/>
          <w:highlight w:val="yellow"/>
          <w:lang w:eastAsia="en-GB"/>
        </w:rPr>
        <w:t>SIZE</w:t>
      </w:r>
      <w:r>
        <w:rPr>
          <w:rFonts w:ascii="Courier New" w:eastAsia="Times New Roman" w:hAnsi="Courier New" w:cs="Courier New"/>
          <w:sz w:val="16"/>
          <w:highlight w:val="yellow"/>
          <w:lang w:eastAsia="en-GB"/>
        </w:rPr>
        <w:t xml:space="preserve"> (1..maxCellWhite))</w:t>
      </w:r>
      <w:r>
        <w:rPr>
          <w:rFonts w:ascii="Courier New" w:eastAsia="Times New Roman" w:hAnsi="Courier New" w:cs="Courier New"/>
          <w:color w:val="993366"/>
          <w:sz w:val="16"/>
          <w:highlight w:val="yellow"/>
          <w:lang w:eastAsia="en-GB"/>
        </w:rPr>
        <w:t xml:space="preserve"> OF</w:t>
      </w:r>
      <w:r>
        <w:rPr>
          <w:rFonts w:ascii="Courier New" w:eastAsia="Times New Roman" w:hAnsi="Courier New" w:cs="Courier New"/>
          <w:sz w:val="16"/>
          <w:highlight w:val="yellow"/>
          <w:lang w:eastAsia="en-GB"/>
        </w:rPr>
        <w:t xml:space="preserve"> PCI-Range</w:t>
      </w:r>
    </w:p>
    <w:p w:rsidR="00612153" w:rsidRDefault="00612153" w:rsidP="00612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TAG-SIB3-STOP</w:t>
      </w:r>
    </w:p>
    <w:p w:rsidR="00612153" w:rsidRDefault="00612153" w:rsidP="00612153">
      <w:r>
        <w:rPr>
          <w:rFonts w:ascii="Courier New" w:eastAsia="Times New Roman" w:hAnsi="Courier New" w:cs="Courier New"/>
          <w:color w:val="808080"/>
          <w:sz w:val="16"/>
          <w:lang w:eastAsia="en-GB"/>
        </w:rPr>
        <w:t>-- ASN1STOP</w:t>
      </w:r>
    </w:p>
    <w:p w:rsidR="003A4B02" w:rsidRDefault="003D3C61">
      <w:r>
        <w:rPr>
          <w:rFonts w:hint="eastAsia"/>
        </w:rPr>
        <w:t>From</w:t>
      </w:r>
      <w:r w:rsidR="00AE043E">
        <w:rPr>
          <w:rFonts w:hint="eastAsia"/>
        </w:rPr>
        <w:t xml:space="preserve"> the above ASN.1</w:t>
      </w:r>
      <w:r>
        <w:t xml:space="preserve"> </w:t>
      </w:r>
      <w:r w:rsidR="00AE043E">
        <w:rPr>
          <w:rFonts w:hint="eastAsia"/>
        </w:rPr>
        <w:t xml:space="preserve">coding, we </w:t>
      </w:r>
      <w:r w:rsidR="00AE043E">
        <w:t>can</w:t>
      </w:r>
      <w:r w:rsidR="00AE043E">
        <w:rPr>
          <w:rFonts w:hint="eastAsia"/>
        </w:rPr>
        <w:t xml:space="preserve"> </w:t>
      </w:r>
      <w:r w:rsidR="00AE043E">
        <w:t xml:space="preserve">see that the </w:t>
      </w:r>
      <w:r w:rsidR="00AE043E" w:rsidRPr="00AE043E">
        <w:rPr>
          <w:b/>
          <w:i/>
        </w:rPr>
        <w:t>whitecelllist</w:t>
      </w:r>
      <w:r w:rsidR="00AE043E">
        <w:rPr>
          <w:b/>
          <w:i/>
        </w:rPr>
        <w:t xml:space="preserve"> </w:t>
      </w:r>
      <w:r w:rsidR="00AE043E" w:rsidRPr="00AE043E">
        <w:t>is reserved for all of the involved network ID</w:t>
      </w:r>
      <w:r w:rsidR="00AE043E">
        <w:t xml:space="preserve">s. In other words, the option 4 need to align the PCI range across the involved PLMNs. But, there may be some issues for the network sharing scenario, </w:t>
      </w:r>
      <w:r w:rsidR="00A60AB0">
        <w:rPr>
          <w:rFonts w:hint="eastAsia"/>
        </w:rPr>
        <w:t>For example, cell A with PCI= 1 is shared by PLMN1+CAG1 for the CAG service and PLMN2 for the normal service, then for the PLMN1+CAG1, the reserved PCI range shall include PCI =1 while for the PLMN2 the PCI =1 shall be excluded from its reserved PCI range. T</w:t>
      </w:r>
      <w:r w:rsidR="00A60AB0">
        <w:t xml:space="preserve">hus it’s </w:t>
      </w:r>
      <w:r w:rsidR="00A60AB0">
        <w:rPr>
          <w:rFonts w:hint="eastAsia"/>
        </w:rPr>
        <w:t xml:space="preserve">difficult </w:t>
      </w:r>
      <w:r w:rsidR="00A60AB0">
        <w:t>to align PCI range across the involved PLMNs. To solve this problem, we have to assign the PCI range for each PLMN respectively.</w:t>
      </w:r>
    </w:p>
    <w:p w:rsidR="003A4B02" w:rsidRDefault="00A60AB0">
      <w:pPr>
        <w:rPr>
          <w:b/>
          <w:bCs/>
        </w:rPr>
      </w:pPr>
      <w:r>
        <w:rPr>
          <w:rFonts w:hint="eastAsia"/>
          <w:b/>
          <w:bCs/>
        </w:rPr>
        <w:t>Proposal 1: The PCI range shall be defined per PLMN</w:t>
      </w:r>
      <w:r w:rsidR="00E12572">
        <w:rPr>
          <w:b/>
          <w:bCs/>
        </w:rPr>
        <w:t xml:space="preserve"> per frequency</w:t>
      </w:r>
      <w:r>
        <w:rPr>
          <w:rFonts w:hint="eastAsia"/>
          <w:b/>
          <w:bCs/>
        </w:rPr>
        <w:t>.</w:t>
      </w:r>
    </w:p>
    <w:p w:rsidR="003A4B02" w:rsidRDefault="00A60AB0">
      <w:r>
        <w:rPr>
          <w:rFonts w:hint="eastAsia"/>
        </w:rPr>
        <w:t>The second difference is about valid time and effective area. In the</w:t>
      </w:r>
      <w:r>
        <w:rPr>
          <w:rFonts w:eastAsia="宋体" w:hint="eastAsia"/>
        </w:rPr>
        <w:t xml:space="preserve"> option 4, similar to the other system information, </w:t>
      </w:r>
      <w:r>
        <w:rPr>
          <w:rFonts w:hint="eastAsia"/>
        </w:rPr>
        <w:t xml:space="preserve">the whitelist can be used under the current cell for about 3 hours. In the option 2, </w:t>
      </w:r>
      <w:r w:rsidR="00122393">
        <w:t>the PCI range was signaled.</w:t>
      </w:r>
      <w:r>
        <w:rPr>
          <w:rFonts w:hint="eastAsia"/>
        </w:rPr>
        <w:t xml:space="preserve"> In the legacy CSG PCI range </w:t>
      </w:r>
      <w:r>
        <w:t>scheme</w:t>
      </w:r>
      <w:r>
        <w:rPr>
          <w:rFonts w:hint="eastAsia"/>
        </w:rPr>
        <w:t xml:space="preserve"> the </w:t>
      </w:r>
      <w:r>
        <w:t>PCI ranges</w:t>
      </w:r>
      <w:r>
        <w:rPr>
          <w:rFonts w:hint="eastAsia"/>
        </w:rPr>
        <w:t xml:space="preserve"> are reserved for all of the CSG cells with the same PLMN even these cells are belongs to the different CSG IDs, thus in the CSG the PCI range can be used among the whole frequency within the same PLMN for 24 hours. For the CAG, as proposed above, the PCI range is also defined per PLMN, thus the similar definition to the CSG can be adopted. </w:t>
      </w:r>
    </w:p>
    <w:p w:rsidR="00122393" w:rsidRDefault="00122393" w:rsidP="00122393">
      <w:pPr>
        <w:rPr>
          <w:b/>
          <w:bCs/>
        </w:rPr>
      </w:pPr>
      <w:r>
        <w:rPr>
          <w:rFonts w:hint="eastAsia"/>
          <w:b/>
          <w:bCs/>
        </w:rPr>
        <w:t>Proposal 2: The PCI range is valid among the whole frequency within the same PLMN for 24 hours</w:t>
      </w:r>
    </w:p>
    <w:p w:rsidR="003A4B02" w:rsidRDefault="00A60AB0">
      <w:r>
        <w:rPr>
          <w:rFonts w:hint="eastAsia"/>
        </w:rPr>
        <w:t>For the CSG, it</w:t>
      </w:r>
      <w:r>
        <w:t>’</w:t>
      </w:r>
      <w:r>
        <w:rPr>
          <w:rFonts w:hint="eastAsia"/>
        </w:rPr>
        <w:t xml:space="preserve">s mandatory for the CSG cell to broadcast the PCI range, however in the NR, it has been agreed that </w:t>
      </w:r>
      <w:r>
        <w:t>the PCI list of CAG</w:t>
      </w:r>
      <w:r w:rsidR="00122393">
        <w:t xml:space="preserve"> cells can optionally be signal</w:t>
      </w:r>
      <w:r>
        <w:t>ed to UEs</w:t>
      </w:r>
      <w:r>
        <w:rPr>
          <w:rFonts w:hint="eastAsia"/>
        </w:rPr>
        <w:t>.</w:t>
      </w:r>
      <w:r w:rsidR="00122393">
        <w:t xml:space="preserve"> </w:t>
      </w:r>
      <w:r>
        <w:rPr>
          <w:rFonts w:hint="eastAsia"/>
        </w:rPr>
        <w:t xml:space="preserve">Then we need to further clarify that the UE can use the stored PCI range for a certain PLMN when camped on a CAG cell with the same PLMN but without broadcasting any PCI range Info. </w:t>
      </w:r>
    </w:p>
    <w:p w:rsidR="003A4B02" w:rsidRDefault="00A60AB0">
      <w:pPr>
        <w:rPr>
          <w:b/>
          <w:bCs/>
        </w:rPr>
      </w:pPr>
      <w:r>
        <w:rPr>
          <w:rFonts w:hint="eastAsia"/>
          <w:b/>
          <w:bCs/>
        </w:rPr>
        <w:t>Proposal 2.1: Ran2 to confirm that the UE can use the stored PCI range for a certain PLMN when camped on a CAG cell with the same PLMN but without broadcasting any PCI range Info.</w:t>
      </w:r>
    </w:p>
    <w:p w:rsidR="003A4B02" w:rsidRDefault="00A60AB0">
      <w:r>
        <w:rPr>
          <w:rFonts w:hint="eastAsia"/>
        </w:rPr>
        <w:t>Furthermore, in the CSG, the PCI range was only sent on the intra-fr</w:t>
      </w:r>
      <w:r w:rsidR="00122393">
        <w:t>e</w:t>
      </w:r>
      <w:r>
        <w:rPr>
          <w:rFonts w:hint="eastAsia"/>
        </w:rPr>
        <w:t xml:space="preserve">quency. But for </w:t>
      </w:r>
      <w:r w:rsidR="00122393">
        <w:t xml:space="preserve">the </w:t>
      </w:r>
      <w:r>
        <w:rPr>
          <w:rFonts w:hint="eastAsia"/>
        </w:rPr>
        <w:t xml:space="preserve">CAG, as described in option 2, </w:t>
      </w:r>
      <w:r w:rsidR="00122393">
        <w:rPr>
          <w:bCs/>
        </w:rPr>
        <w:t>s</w:t>
      </w:r>
      <w:r>
        <w:rPr>
          <w:bCs/>
        </w:rPr>
        <w:t>ignal PCI range(s) per PLMN per frequency</w:t>
      </w:r>
      <w:r>
        <w:rPr>
          <w:rFonts w:hint="eastAsia"/>
          <w:bCs/>
        </w:rPr>
        <w:t>, does it mean that the PCI range shall also be signaled for each inter-frequency in SIB4.This issue shall be further clarified before Asn.1 Review.</w:t>
      </w:r>
    </w:p>
    <w:p w:rsidR="003A4B02" w:rsidRDefault="00A60AB0">
      <w:pPr>
        <w:rPr>
          <w:b/>
          <w:bCs/>
        </w:rPr>
      </w:pPr>
      <w:r>
        <w:rPr>
          <w:rFonts w:hint="eastAsia"/>
          <w:b/>
          <w:bCs/>
        </w:rPr>
        <w:t>Proposal 3: Ran2 to clarify whether to signal the PCI range of the inter frequencies in SIB4.</w:t>
      </w:r>
    </w:p>
    <w:p w:rsidR="003A4B02" w:rsidRDefault="00A60AB0">
      <w:pPr>
        <w:pStyle w:val="Heading2"/>
        <w:keepNext w:val="0"/>
        <w:keepLines w:val="0"/>
        <w:ind w:left="0" w:firstLine="0"/>
        <w:rPr>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 Neighbor cell list for the network sharing</w:t>
      </w:r>
    </w:p>
    <w:p w:rsidR="003A4B02" w:rsidRDefault="00A60AB0">
      <w:pPr>
        <w:rPr>
          <w:rFonts w:eastAsia="宋体"/>
          <w:i/>
          <w:iCs/>
        </w:rPr>
      </w:pPr>
      <w:r>
        <w:rPr>
          <w:rFonts w:hint="eastAsia"/>
        </w:rPr>
        <w:t>In the email discussion, the issues on the neighbor cell list was proposed but some companies think it has been covered in the PCI range issue. Different from the PCI range that provides the PCI range of all of the CAG cells on the same PLMN, the neighbor cell list can configure some special Qoffset for the corresponding PCI.</w:t>
      </w:r>
      <w:r w:rsidR="00122393">
        <w:t xml:space="preserve"> </w:t>
      </w:r>
      <w:r>
        <w:rPr>
          <w:rFonts w:hint="eastAsia"/>
        </w:rPr>
        <w:t xml:space="preserve">One usage of the cell specific Qoffset in LTE is to prioritize some cells, such as CSG cells. Similarly, if the network need to prioritize some NPN cells, the Qoffset can also be configured. Then the problem is for the cell is shared by both the public network and the non-publich network, how to set cell specific Qoffset. If we include the neighbor NPN cells with the cell specific Qoffset into the legacy neighbor cell list, the legacy UE may get the higher rank for some NPN cells and read </w:t>
      </w:r>
      <w:r>
        <w:rPr>
          <w:rFonts w:hint="eastAsia"/>
        </w:rPr>
        <w:lastRenderedPageBreak/>
        <w:t xml:space="preserve">the corresponding SIB1 unnecessarily. To reduce the impact to the legacy UE, </w:t>
      </w:r>
      <w:r>
        <w:rPr>
          <w:rFonts w:eastAsia="宋体" w:hint="eastAsia"/>
        </w:rPr>
        <w:t xml:space="preserve">a new </w:t>
      </w:r>
      <w:r w:rsidR="00122393">
        <w:rPr>
          <w:rFonts w:hint="eastAsia"/>
        </w:rPr>
        <w:t>n</w:t>
      </w:r>
      <w:r>
        <w:rPr>
          <w:rFonts w:hint="eastAsia"/>
        </w:rPr>
        <w:t>eigh</w:t>
      </w:r>
      <w:r w:rsidR="00122393">
        <w:t xml:space="preserve">bor </w:t>
      </w:r>
      <w:r>
        <w:rPr>
          <w:rFonts w:hint="eastAsia"/>
        </w:rPr>
        <w:t>cell list for the NPN shall be added, then the normal UE and the NPN UE can refer to the Neighbor cell list</w:t>
      </w:r>
      <w:r>
        <w:t>s</w:t>
      </w:r>
      <w:r>
        <w:rPr>
          <w:rFonts w:hint="eastAsia"/>
        </w:rPr>
        <w:t xml:space="preserve"> accordingly. </w:t>
      </w:r>
    </w:p>
    <w:p w:rsidR="003A4B02" w:rsidRDefault="00A60AB0">
      <w:r>
        <w:rPr>
          <w:rFonts w:hint="eastAsia"/>
          <w:b/>
          <w:bCs/>
        </w:rPr>
        <w:t>Proposal 4: For the Public network and non-public network sharing scenario, a new Neighbor cell list shall be added for the NPN, th</w:t>
      </w:r>
      <w:bookmarkStart w:id="2" w:name="_GoBack"/>
      <w:bookmarkEnd w:id="2"/>
      <w:r>
        <w:rPr>
          <w:rFonts w:hint="eastAsia"/>
          <w:b/>
          <w:bCs/>
        </w:rPr>
        <w:t>e normal UE and the NPN UE can refer to the different Neighbor cell lists accordingly.</w:t>
      </w:r>
    </w:p>
    <w:p w:rsidR="003A4B02" w:rsidRDefault="00A60AB0">
      <w:pPr>
        <w:pStyle w:val="Heading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A4B02" w:rsidRDefault="00A60AB0">
      <w:pPr>
        <w:spacing w:beforeLines="50" w:before="156"/>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3A4B02" w:rsidRDefault="00A60AB0">
      <w:pPr>
        <w:rPr>
          <w:b/>
          <w:bCs/>
        </w:rPr>
      </w:pPr>
      <w:r>
        <w:rPr>
          <w:rFonts w:hint="eastAsia"/>
          <w:b/>
          <w:bCs/>
        </w:rPr>
        <w:t>Proposal 1: The PCI range shall be defined per PLMN</w:t>
      </w:r>
      <w:r w:rsidR="000E20FC">
        <w:rPr>
          <w:b/>
          <w:bCs/>
        </w:rPr>
        <w:t xml:space="preserve"> per frequency</w:t>
      </w:r>
      <w:r>
        <w:rPr>
          <w:rFonts w:hint="eastAsia"/>
          <w:b/>
          <w:bCs/>
        </w:rPr>
        <w:t>.</w:t>
      </w:r>
    </w:p>
    <w:p w:rsidR="00122393" w:rsidRDefault="00122393" w:rsidP="00122393">
      <w:pPr>
        <w:rPr>
          <w:b/>
          <w:bCs/>
        </w:rPr>
      </w:pPr>
      <w:r>
        <w:rPr>
          <w:rFonts w:hint="eastAsia"/>
          <w:b/>
          <w:bCs/>
        </w:rPr>
        <w:t>Proposal 2: The PCI range is valid among the whole frequency within the same PLMN for 24 hours</w:t>
      </w:r>
      <w:r w:rsidR="00927C35">
        <w:rPr>
          <w:b/>
          <w:bCs/>
        </w:rPr>
        <w:t>.</w:t>
      </w:r>
    </w:p>
    <w:p w:rsidR="003A4B02" w:rsidRDefault="00A60AB0">
      <w:pPr>
        <w:rPr>
          <w:b/>
          <w:bCs/>
        </w:rPr>
      </w:pPr>
      <w:r>
        <w:rPr>
          <w:rFonts w:hint="eastAsia"/>
          <w:b/>
          <w:bCs/>
        </w:rPr>
        <w:t>Proposal 2.1: Ran2 to confirm that the UE can use the stored PCI range for a certain PLMN when camped on a CAG cell with the same PLMN but without broadcasting any PCI range Info.</w:t>
      </w:r>
    </w:p>
    <w:p w:rsidR="003A4B02" w:rsidRDefault="00A60AB0">
      <w:pPr>
        <w:rPr>
          <w:b/>
          <w:bCs/>
        </w:rPr>
      </w:pPr>
      <w:r>
        <w:rPr>
          <w:rFonts w:hint="eastAsia"/>
          <w:b/>
          <w:bCs/>
        </w:rPr>
        <w:t>Proposal 3: Ran2 to clarify whether to signal the PCI range of the inter frequencies in SIB4.</w:t>
      </w:r>
    </w:p>
    <w:p w:rsidR="003A4B02" w:rsidRDefault="00A60AB0">
      <w:pPr>
        <w:rPr>
          <w:b/>
          <w:bCs/>
        </w:rPr>
      </w:pPr>
      <w:r>
        <w:rPr>
          <w:rFonts w:hint="eastAsia"/>
          <w:b/>
          <w:bCs/>
        </w:rPr>
        <w:t>Proposal 4: For the Public network and non-public network sharing scenario, a new Neighbor cell list shall be added for the NPN, the normal UE and the NPN UE can refer to the different Neighbor cell lists accordingly.</w:t>
      </w:r>
    </w:p>
    <w:p w:rsidR="003A4B02" w:rsidRDefault="00A60AB0">
      <w:pPr>
        <w:pStyle w:val="Heading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3A4B02" w:rsidRDefault="00A60AB0">
      <w:pPr>
        <w:pStyle w:val="Reference"/>
        <w:overflowPunct w:val="0"/>
        <w:autoSpaceDE w:val="0"/>
        <w:autoSpaceDN w:val="0"/>
        <w:adjustRightInd w:val="0"/>
        <w:spacing w:after="120"/>
        <w:textAlignment w:val="baseline"/>
        <w:rPr>
          <w:rStyle w:val="Hyperlink"/>
          <w:rFonts w:cstheme="minorHAnsi"/>
          <w:color w:val="auto"/>
          <w:u w:val="none"/>
        </w:rPr>
      </w:pPr>
      <w:r>
        <w:rPr>
          <w:rStyle w:val="Hyperlink"/>
          <w:rFonts w:cstheme="minorHAnsi" w:hint="eastAsia"/>
          <w:color w:val="auto"/>
          <w:u w:val="none"/>
        </w:rPr>
        <w:t>R2-2001697</w:t>
      </w:r>
      <w:r>
        <w:rPr>
          <w:rStyle w:val="Hyperlink"/>
          <w:rFonts w:cstheme="minorHAnsi"/>
          <w:color w:val="auto"/>
          <w:u w:val="none"/>
        </w:rPr>
        <w:t xml:space="preserve"> </w:t>
      </w:r>
      <w:r>
        <w:rPr>
          <w:rStyle w:val="Hyperlink"/>
          <w:rFonts w:cstheme="minorHAnsi" w:hint="eastAsia"/>
          <w:color w:val="auto"/>
          <w:u w:val="none"/>
        </w:rPr>
        <w:t>Summary of [PRN] Cell Selection and selection  Qualcomm</w:t>
      </w:r>
    </w:p>
    <w:p w:rsidR="003A4B02" w:rsidRDefault="003A4B02"/>
    <w:sectPr w:rsidR="003A4B02">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FA2" w:rsidRDefault="009E4FA2">
      <w:pPr>
        <w:spacing w:after="0" w:line="240" w:lineRule="auto"/>
      </w:pPr>
      <w:r>
        <w:separator/>
      </w:r>
    </w:p>
  </w:endnote>
  <w:endnote w:type="continuationSeparator" w:id="0">
    <w:p w:rsidR="009E4FA2" w:rsidRDefault="009E4F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B02" w:rsidRDefault="00A60A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A4B02" w:rsidRDefault="003A4B0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B02" w:rsidRDefault="003A4B02">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FA2" w:rsidRDefault="009E4FA2">
      <w:pPr>
        <w:spacing w:after="0" w:line="240" w:lineRule="auto"/>
      </w:pPr>
      <w:r>
        <w:separator/>
      </w:r>
    </w:p>
  </w:footnote>
  <w:footnote w:type="continuationSeparator" w:id="0">
    <w:p w:rsidR="009E4FA2" w:rsidRDefault="009E4F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B02" w:rsidRDefault="003A4B02">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F50183F"/>
    <w:multiLevelType w:val="multilevel"/>
    <w:tmpl w:val="0F5018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D6D12"/>
    <w:rsid w:val="000E1125"/>
    <w:rsid w:val="000E1993"/>
    <w:rsid w:val="000E20FC"/>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1588"/>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A2"/>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417C"/>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229F"/>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5939"/>
    <w:rsid w:val="00DF4CBC"/>
    <w:rsid w:val="00DF5370"/>
    <w:rsid w:val="00E0032E"/>
    <w:rsid w:val="00E0205D"/>
    <w:rsid w:val="00E1018A"/>
    <w:rsid w:val="00E120F4"/>
    <w:rsid w:val="00E12572"/>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EEE41C4"/>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C06260"/>
    <w:rsid w:val="15DD4A1C"/>
    <w:rsid w:val="15FB0C10"/>
    <w:rsid w:val="1625567A"/>
    <w:rsid w:val="16263368"/>
    <w:rsid w:val="168521B8"/>
    <w:rsid w:val="16A43C8F"/>
    <w:rsid w:val="16A5270A"/>
    <w:rsid w:val="16BE464B"/>
    <w:rsid w:val="16D61CD9"/>
    <w:rsid w:val="16E74CBD"/>
    <w:rsid w:val="1705748E"/>
    <w:rsid w:val="170A4371"/>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DA6EB6"/>
    <w:rsid w:val="18FF0AF3"/>
    <w:rsid w:val="190E7C32"/>
    <w:rsid w:val="191B17E9"/>
    <w:rsid w:val="191F38B0"/>
    <w:rsid w:val="1951139B"/>
    <w:rsid w:val="195523E7"/>
    <w:rsid w:val="195600F1"/>
    <w:rsid w:val="19595274"/>
    <w:rsid w:val="197141ED"/>
    <w:rsid w:val="1975293B"/>
    <w:rsid w:val="19934AEB"/>
    <w:rsid w:val="199D37F0"/>
    <w:rsid w:val="19AD7663"/>
    <w:rsid w:val="19BC030D"/>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D061D52"/>
    <w:rsid w:val="2D0A7297"/>
    <w:rsid w:val="2D127501"/>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6F7987"/>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D38B1"/>
    <w:rsid w:val="317D6B35"/>
    <w:rsid w:val="319A62AF"/>
    <w:rsid w:val="31A30319"/>
    <w:rsid w:val="31B50898"/>
    <w:rsid w:val="31B62FDB"/>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7454C"/>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247675"/>
    <w:rsid w:val="4A264531"/>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91CB6"/>
    <w:rsid w:val="523F42A6"/>
    <w:rsid w:val="52436DC1"/>
    <w:rsid w:val="524B2422"/>
    <w:rsid w:val="526F7059"/>
    <w:rsid w:val="527C6745"/>
    <w:rsid w:val="528D53DC"/>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B5293E"/>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6123EF"/>
    <w:rsid w:val="5A895545"/>
    <w:rsid w:val="5AAA5AA7"/>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B597F"/>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65281"/>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C3016AA"/>
    <w:rsid w:val="6C3D541F"/>
    <w:rsid w:val="6C415AEC"/>
    <w:rsid w:val="6C477A25"/>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4B7DAF"/>
    <w:rsid w:val="708520C4"/>
    <w:rsid w:val="70853BCC"/>
    <w:rsid w:val="70A23903"/>
    <w:rsid w:val="70B4157B"/>
    <w:rsid w:val="70C154FD"/>
    <w:rsid w:val="70C6036D"/>
    <w:rsid w:val="70D3493E"/>
    <w:rsid w:val="70D76741"/>
    <w:rsid w:val="710A3270"/>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2C4642"/>
    <w:rsid w:val="74315D5C"/>
    <w:rsid w:val="743C59CD"/>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A6FA98-2885-49D9-B214-431CF1A1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Normal"/>
    <w:qFormat/>
    <w:pPr>
      <w:numPr>
        <w:numId w:val="3"/>
      </w:numPr>
    </w:pPr>
  </w:style>
  <w:style w:type="paragraph" w:customStyle="1" w:styleId="PatAppl">
    <w:name w:val="Pat Appl"/>
    <w:basedOn w:val="Normal"/>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B3175F-B6BE-4258-A62C-AA9F95511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1046</Words>
  <Characters>5965</Characters>
  <Application>Microsoft Office Word</Application>
  <DocSecurity>0</DocSecurity>
  <Lines>49</Lines>
  <Paragraphs>13</Paragraphs>
  <ScaleCrop>false</ScaleCrop>
  <Company>www.zte.com.cn</Company>
  <LinksUpToDate>false</LinksUpToDate>
  <CharactersWithSpaces>6998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 (Yuan)</cp:lastModifiedBy>
  <cp:revision>9</cp:revision>
  <cp:lastPrinted>2113-01-01T00:00:00Z</cp:lastPrinted>
  <dcterms:created xsi:type="dcterms:W3CDTF">2020-02-14T02:22:00Z</dcterms:created>
  <dcterms:modified xsi:type="dcterms:W3CDTF">2020-04-10T03:37:00Z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