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EC587" w14:textId="482D25C0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10</w:t>
      </w:r>
      <w:r w:rsidR="00507D15">
        <w:t>9</w:t>
      </w:r>
      <w:r w:rsidR="00272B65">
        <w:t>-e</w:t>
      </w:r>
      <w:r w:rsidR="009D051D">
        <w:tab/>
      </w:r>
      <w:r w:rsidR="00E65BAE" w:rsidRPr="00BD1E44">
        <w:rPr>
          <w:szCs w:val="24"/>
        </w:rPr>
        <w:t>R2-</w:t>
      </w:r>
      <w:bookmarkStart w:id="0" w:name="_GoBack"/>
      <w:bookmarkEnd w:id="0"/>
      <w:r w:rsidR="00272B65" w:rsidRPr="00272B65">
        <w:rPr>
          <w:szCs w:val="24"/>
        </w:rPr>
        <w:t>2000751</w:t>
      </w:r>
    </w:p>
    <w:p w14:paraId="31A39611" w14:textId="77777777" w:rsidR="008D026A" w:rsidRPr="008D026A" w:rsidRDefault="008D026A" w:rsidP="008D026A">
      <w:pPr>
        <w:tabs>
          <w:tab w:val="left" w:pos="1701"/>
          <w:tab w:val="right" w:pos="9639"/>
        </w:tabs>
        <w:spacing w:after="240"/>
        <w:jc w:val="both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8D026A">
        <w:rPr>
          <w:rFonts w:ascii="Arial" w:eastAsia="SimSun" w:hAnsi="Arial" w:cs="Arial"/>
          <w:b/>
          <w:noProof/>
          <w:sz w:val="24"/>
          <w:szCs w:val="24"/>
          <w:lang w:val="en-US" w:eastAsia="zh-CN"/>
        </w:rPr>
        <w:t>Online, February 24</w:t>
      </w:r>
      <w:r w:rsidRPr="008D026A">
        <w:rPr>
          <w:rFonts w:ascii="Arial" w:eastAsia="SimSun" w:hAnsi="Arial" w:cs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8D026A">
        <w:rPr>
          <w:rFonts w:ascii="Arial" w:eastAsia="SimSun" w:hAnsi="Arial" w:cs="Arial"/>
          <w:b/>
          <w:noProof/>
          <w:sz w:val="24"/>
          <w:szCs w:val="24"/>
          <w:lang w:val="en-US" w:eastAsia="zh-CN"/>
        </w:rPr>
        <w:t>– March 6</w:t>
      </w:r>
      <w:r w:rsidRPr="008D026A">
        <w:rPr>
          <w:rFonts w:ascii="Arial" w:eastAsia="SimSun" w:hAnsi="Arial" w:cs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8D026A">
        <w:rPr>
          <w:rFonts w:ascii="Arial" w:eastAsia="SimSun" w:hAnsi="Arial" w:cs="Arial"/>
          <w:b/>
          <w:noProof/>
          <w:sz w:val="24"/>
          <w:szCs w:val="24"/>
          <w:lang w:val="en-US" w:eastAsia="zh-CN"/>
        </w:rPr>
        <w:t xml:space="preserve"> 2020</w:t>
      </w:r>
    </w:p>
    <w:p w14:paraId="13249149" w14:textId="77777777" w:rsidR="00E90E49" w:rsidRPr="008D026A" w:rsidRDefault="00E90E49" w:rsidP="00357380">
      <w:pPr>
        <w:pStyle w:val="3GPPHeader"/>
        <w:rPr>
          <w:lang w:val="en-US"/>
        </w:rPr>
      </w:pPr>
    </w:p>
    <w:p w14:paraId="7CE64FCB" w14:textId="7ABDD2A4" w:rsidR="00E90E49" w:rsidRPr="00E65BAE" w:rsidRDefault="00E90E49" w:rsidP="00311702">
      <w:pPr>
        <w:pStyle w:val="3GPPHeader"/>
        <w:rPr>
          <w:sz w:val="22"/>
          <w:szCs w:val="22"/>
          <w:lang w:val="en-US"/>
        </w:rPr>
      </w:pPr>
      <w:r w:rsidRPr="00E65BAE">
        <w:rPr>
          <w:sz w:val="22"/>
          <w:szCs w:val="22"/>
          <w:lang w:val="en-US"/>
        </w:rPr>
        <w:t>Agenda Item:</w:t>
      </w:r>
      <w:r w:rsidRPr="00E65BAE">
        <w:rPr>
          <w:sz w:val="22"/>
          <w:szCs w:val="22"/>
          <w:lang w:val="en-US"/>
        </w:rPr>
        <w:tab/>
      </w:r>
      <w:r w:rsidR="00CD5118" w:rsidRPr="00723986">
        <w:rPr>
          <w:sz w:val="22"/>
          <w:szCs w:val="22"/>
          <w:lang w:val="en-US"/>
        </w:rPr>
        <w:t>6.1.5.3</w:t>
      </w:r>
    </w:p>
    <w:p w14:paraId="2A901A61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550C9FC" w14:textId="544B28D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07D15">
        <w:rPr>
          <w:sz w:val="22"/>
          <w:szCs w:val="22"/>
        </w:rPr>
        <w:t xml:space="preserve">On cell </w:t>
      </w:r>
      <w:r w:rsidR="00F1232B">
        <w:rPr>
          <w:sz w:val="22"/>
          <w:szCs w:val="22"/>
        </w:rPr>
        <w:t>R</w:t>
      </w:r>
      <w:r w:rsidR="00403069">
        <w:rPr>
          <w:sz w:val="22"/>
          <w:szCs w:val="22"/>
        </w:rPr>
        <w:t>eservations</w:t>
      </w:r>
      <w:r w:rsidR="007F3016">
        <w:rPr>
          <w:sz w:val="22"/>
          <w:szCs w:val="22"/>
        </w:rPr>
        <w:t xml:space="preserve"> in MIB and SIB1</w:t>
      </w:r>
    </w:p>
    <w:p w14:paraId="3CD265E9" w14:textId="589D02DB" w:rsidR="00E90E49" w:rsidRPr="00165DEE" w:rsidRDefault="00E90E49" w:rsidP="00165DEE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C323E3">
        <w:rPr>
          <w:sz w:val="22"/>
          <w:szCs w:val="22"/>
        </w:rPr>
        <w:t>Discussion, Decision</w:t>
      </w:r>
    </w:p>
    <w:p w14:paraId="6E9C66B8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11DA133" w14:textId="626B51E4" w:rsidR="00477768" w:rsidRPr="00CE0424" w:rsidRDefault="00A96B24" w:rsidP="00CE0424">
      <w:pPr>
        <w:pStyle w:val="BodyText"/>
      </w:pPr>
      <w:r>
        <w:t xml:space="preserve">This contribution </w:t>
      </w:r>
      <w:r w:rsidR="00375EAC">
        <w:t xml:space="preserve">discusses </w:t>
      </w:r>
      <w:r w:rsidR="00507D15">
        <w:t>the remaining issue</w:t>
      </w:r>
      <w:r w:rsidR="0013652C">
        <w:t>s related to</w:t>
      </w:r>
      <w:r w:rsidR="00507D15">
        <w:t xml:space="preserve"> </w:t>
      </w:r>
      <w:r>
        <w:t>cell reservations.</w:t>
      </w:r>
    </w:p>
    <w:p w14:paraId="68BDDAD8" w14:textId="6FDB86FE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53D6A48D" w14:textId="746E1AA8" w:rsidR="00C02F9A" w:rsidRDefault="00054488" w:rsidP="00ED1948">
      <w:pPr>
        <w:pStyle w:val="BodyText"/>
      </w:pPr>
      <w:r>
        <w:t xml:space="preserve">In RAN2#108, </w:t>
      </w:r>
      <w:r w:rsidR="006F48B6">
        <w:t xml:space="preserve">cell reservations for IAB nodes were discussed </w:t>
      </w:r>
      <w:r w:rsidR="00416E75">
        <w:t xml:space="preserve">leading to </w:t>
      </w:r>
      <w:r w:rsidR="006F48B6">
        <w:t>the following agree</w:t>
      </w:r>
      <w:r w:rsidR="00594A88">
        <w:t>ment</w:t>
      </w:r>
      <w:r w:rsidR="006F48B6">
        <w:t>:</w:t>
      </w:r>
    </w:p>
    <w:p w14:paraId="261E16FA" w14:textId="716CD401" w:rsidR="006F48B6" w:rsidRDefault="006F48B6" w:rsidP="00ED1948">
      <w:pPr>
        <w:pStyle w:val="ListParagraph"/>
        <w:numPr>
          <w:ilvl w:val="0"/>
          <w:numId w:val="23"/>
        </w:numPr>
      </w:pPr>
      <w:r>
        <w:t xml:space="preserve">Both support of IAB node(s) and the cell status for IAB node(s) is combined in a single IE, i.e. if the IE is present, the cell supports IABs and the cell is also considered as a candidate for IABs; if the IE is absent, the cell does not support IAB and/or the cell is barred for IAB. </w:t>
      </w:r>
    </w:p>
    <w:p w14:paraId="2217F850" w14:textId="0E70789B" w:rsidR="006F48B6" w:rsidRDefault="006F48B6" w:rsidP="006F48B6"/>
    <w:p w14:paraId="70419BE0" w14:textId="3A6CCE49" w:rsidR="0049277D" w:rsidRDefault="0049277D" w:rsidP="00ED1948">
      <w:pPr>
        <w:pStyle w:val="BodyText"/>
      </w:pPr>
      <w:r w:rsidRPr="00ED1948">
        <w:rPr>
          <w:rStyle w:val="BodyTextChar"/>
        </w:rPr>
        <w:t xml:space="preserve">One of the use cases to cover was </w:t>
      </w:r>
      <w:r w:rsidR="00CB2890">
        <w:rPr>
          <w:rStyle w:val="BodyTextChar"/>
        </w:rPr>
        <w:t>how to bar</w:t>
      </w:r>
      <w:r w:rsidR="0004382D">
        <w:rPr>
          <w:rStyle w:val="BodyTextChar"/>
        </w:rPr>
        <w:t xml:space="preserve"> </w:t>
      </w:r>
      <w:r w:rsidRPr="00ED1948">
        <w:rPr>
          <w:rStyle w:val="BodyTextChar"/>
        </w:rPr>
        <w:t xml:space="preserve">UEs but </w:t>
      </w:r>
      <w:r w:rsidR="00237785">
        <w:rPr>
          <w:rStyle w:val="BodyTextChar"/>
        </w:rPr>
        <w:t xml:space="preserve">allows </w:t>
      </w:r>
      <w:r w:rsidR="0014365B">
        <w:rPr>
          <w:rStyle w:val="BodyTextChar"/>
        </w:rPr>
        <w:t xml:space="preserve">the </w:t>
      </w:r>
      <w:r w:rsidRPr="00ED1948">
        <w:rPr>
          <w:rStyle w:val="BodyTextChar"/>
        </w:rPr>
        <w:t>IAB</w:t>
      </w:r>
      <w:r w:rsidR="00237785">
        <w:rPr>
          <w:rStyle w:val="BodyTextChar"/>
        </w:rPr>
        <w:t xml:space="preserve"> node(s)</w:t>
      </w:r>
      <w:r w:rsidRPr="00ED1948">
        <w:rPr>
          <w:rStyle w:val="BodyTextChar"/>
        </w:rPr>
        <w:t>. At least two ways to achieve</w:t>
      </w:r>
      <w:r>
        <w:t xml:space="preserve"> this were discussed</w:t>
      </w:r>
      <w:r w:rsidR="00ED02D2">
        <w:t xml:space="preserve"> in RAN2#108</w:t>
      </w:r>
      <w:r>
        <w:t>; however, no agreement was reached.</w:t>
      </w:r>
    </w:p>
    <w:p w14:paraId="33A9A438" w14:textId="40016385" w:rsidR="000A0D73" w:rsidRPr="000A0D73" w:rsidRDefault="006F48B6" w:rsidP="00ED1948">
      <w:pPr>
        <w:pStyle w:val="ListParagraph"/>
        <w:numPr>
          <w:ilvl w:val="0"/>
          <w:numId w:val="23"/>
        </w:numPr>
      </w:pPr>
      <w:r w:rsidRPr="001155DA">
        <w:t>The case that UEs are barred but IAB nodes are allowed to access shall be supported. FFS if this is supported by MIB: CellBarred (i.e. IAB MT ignores the MIB cellBarred when set) or SIB1: CellReservations (i.e. IAB MT ignores SIB cell reservations, or ha</w:t>
      </w:r>
      <w:r w:rsidRPr="00707EE6">
        <w:t>s an access identity that allow access)</w:t>
      </w:r>
      <w:r w:rsidR="00280B70" w:rsidRPr="00852F45">
        <w:t>.</w:t>
      </w:r>
    </w:p>
    <w:p w14:paraId="41F07C43" w14:textId="77777777" w:rsidR="000A0D73" w:rsidRDefault="000A0D73" w:rsidP="00C02F9A"/>
    <w:p w14:paraId="7A198AF8" w14:textId="224C2A12" w:rsidR="0033741C" w:rsidRDefault="00974FA7" w:rsidP="00ED1948">
      <w:pPr>
        <w:pStyle w:val="BodyText"/>
      </w:pPr>
      <w:r>
        <w:t xml:space="preserve">There may be situations in which the network wants to completely </w:t>
      </w:r>
      <w:r w:rsidR="00E93739">
        <w:t>refrain</w:t>
      </w:r>
      <w:r>
        <w:t xml:space="preserve"> </w:t>
      </w:r>
      <w:r w:rsidR="000C50A2">
        <w:t xml:space="preserve">all </w:t>
      </w:r>
      <w:r>
        <w:t>device</w:t>
      </w:r>
      <w:r w:rsidR="000C50A2">
        <w:t>s</w:t>
      </w:r>
      <w:r w:rsidR="0061726C">
        <w:t xml:space="preserve"> (UEs and IAB nodes)</w:t>
      </w:r>
      <w:r w:rsidR="000C50A2">
        <w:t xml:space="preserve"> from</w:t>
      </w:r>
      <w:r>
        <w:t xml:space="preserve"> camping in a cell. </w:t>
      </w:r>
      <w:r w:rsidR="000C50A2">
        <w:t xml:space="preserve">This </w:t>
      </w:r>
      <w:r w:rsidR="00887557">
        <w:t xml:space="preserve">can </w:t>
      </w:r>
      <w:r w:rsidR="000C50A2">
        <w:t xml:space="preserve">be easily achieved by setting the </w:t>
      </w:r>
      <w:r w:rsidR="00D3670C">
        <w:t xml:space="preserve">bit “cellBarred” in the MIB. The main advantage of doing this in MIB is that </w:t>
      </w:r>
      <w:r w:rsidR="00887557">
        <w:t>the MIB</w:t>
      </w:r>
      <w:r w:rsidR="00D3670C">
        <w:t xml:space="preserve"> is the first block which the UE gets </w:t>
      </w:r>
      <w:r w:rsidR="00AB6D12">
        <w:t xml:space="preserve">and, if the </w:t>
      </w:r>
      <w:r w:rsidR="00887557">
        <w:t xml:space="preserve">“cell barred” indication </w:t>
      </w:r>
      <w:r w:rsidR="00AB6D12">
        <w:t xml:space="preserve">is </w:t>
      </w:r>
      <w:r w:rsidR="00887557">
        <w:t>found in the MIB</w:t>
      </w:r>
      <w:r w:rsidR="00AB6D12">
        <w:t xml:space="preserve">, it does not need to wait or acquire the subsequent SIBs. Then, the UE can </w:t>
      </w:r>
      <w:r w:rsidR="00C92C7B">
        <w:t xml:space="preserve">scan directly </w:t>
      </w:r>
      <w:r w:rsidR="00A36DAA">
        <w:t xml:space="preserve">other </w:t>
      </w:r>
      <w:r w:rsidR="00C92C7B">
        <w:t>cell</w:t>
      </w:r>
      <w:r w:rsidR="00A36DAA">
        <w:t>s</w:t>
      </w:r>
      <w:r w:rsidR="00C92C7B">
        <w:t xml:space="preserve"> without wasting any additional time and battery</w:t>
      </w:r>
      <w:r w:rsidR="00484449">
        <w:t xml:space="preserve"> power</w:t>
      </w:r>
      <w:r w:rsidR="00C92C7B">
        <w:t>.</w:t>
      </w:r>
      <w:r w:rsidR="00A36DAA">
        <w:t xml:space="preserve"> </w:t>
      </w:r>
      <w:r w:rsidR="00F41FB7">
        <w:t xml:space="preserve">The MIB indication is, therefore, useful </w:t>
      </w:r>
      <w:r w:rsidR="00BD02D1">
        <w:t xml:space="preserve">when the cell is not accessible by any type of device. </w:t>
      </w:r>
      <w:r w:rsidR="00CF3985">
        <w:t xml:space="preserve">If some devices are allowed and others are not, SIB1 can be used for that purpose. This separation can be </w:t>
      </w:r>
      <w:r w:rsidR="00BB3933">
        <w:t>achieved by setting the right parameters in SIB1.</w:t>
      </w:r>
    </w:p>
    <w:p w14:paraId="3594842D" w14:textId="04A3BA7F" w:rsidR="00126701" w:rsidRDefault="00F65B9A">
      <w:pPr>
        <w:pStyle w:val="BodyText"/>
      </w:pPr>
      <w:r>
        <w:t>Restricting</w:t>
      </w:r>
      <w:r w:rsidR="00625AFA">
        <w:t xml:space="preserve"> IAB node</w:t>
      </w:r>
      <w:r w:rsidR="00E55909">
        <w:t>(</w:t>
      </w:r>
      <w:r w:rsidR="00625AFA">
        <w:t>s</w:t>
      </w:r>
      <w:r w:rsidR="00E55909">
        <w:t>)</w:t>
      </w:r>
      <w:r w:rsidR="00625AFA">
        <w:t xml:space="preserve"> </w:t>
      </w:r>
      <w:r>
        <w:t xml:space="preserve">access to </w:t>
      </w:r>
      <w:r w:rsidR="00625AFA">
        <w:t>the network</w:t>
      </w:r>
      <w:r>
        <w:t xml:space="preserve"> </w:t>
      </w:r>
      <w:r w:rsidR="00625AFA">
        <w:t xml:space="preserve">can be </w:t>
      </w:r>
      <w:r>
        <w:t xml:space="preserve">achieved by </w:t>
      </w:r>
      <w:r w:rsidR="009924BB">
        <w:t xml:space="preserve">setting the </w:t>
      </w:r>
      <w:r w:rsidR="00625AFA">
        <w:t xml:space="preserve">new </w:t>
      </w:r>
      <w:r w:rsidR="009924BB">
        <w:t xml:space="preserve">IE </w:t>
      </w:r>
      <w:r w:rsidR="00625AFA">
        <w:t>cell restriction parameter</w:t>
      </w:r>
      <w:r w:rsidR="009924BB">
        <w:t xml:space="preserve"> for IAB</w:t>
      </w:r>
      <w:r w:rsidR="006929C2">
        <w:t xml:space="preserve">, while legacy values can be used to let UEs enter the network </w:t>
      </w:r>
      <w:r w:rsidR="00625AFA">
        <w:t xml:space="preserve">(see </w:t>
      </w:r>
      <w:r w:rsidR="00DC3897">
        <w:t xml:space="preserve">the </w:t>
      </w:r>
      <w:r w:rsidR="00652658">
        <w:t xml:space="preserve">option </w:t>
      </w:r>
      <w:r w:rsidR="00625AFA">
        <w:t xml:space="preserve">(3) in Table 1). </w:t>
      </w:r>
      <w:r w:rsidR="009924BB">
        <w:t>On the other hand, op</w:t>
      </w:r>
      <w:r w:rsidR="00BF4ACB">
        <w:t xml:space="preserve">tions (1) and (2) can be used to </w:t>
      </w:r>
      <w:r>
        <w:t xml:space="preserve">allow </w:t>
      </w:r>
      <w:r w:rsidR="00A44736">
        <w:t>IAB node</w:t>
      </w:r>
      <w:r w:rsidR="002E4F7C">
        <w:t>(</w:t>
      </w:r>
      <w:r w:rsidR="00A44736">
        <w:t>s</w:t>
      </w:r>
      <w:r w:rsidR="002E4F7C">
        <w:t>)</w:t>
      </w:r>
      <w:r w:rsidR="00A44736">
        <w:t xml:space="preserve"> to enter the network but </w:t>
      </w:r>
      <w:r>
        <w:t xml:space="preserve">restrict </w:t>
      </w:r>
      <w:r w:rsidR="00A44736">
        <w:t xml:space="preserve">UEs </w:t>
      </w:r>
      <w:r>
        <w:t>access</w:t>
      </w:r>
      <w:r w:rsidR="00A44736">
        <w:t>.</w:t>
      </w:r>
      <w:r w:rsidR="000C5BF6">
        <w:t xml:space="preserve"> If IABs </w:t>
      </w:r>
      <w:r w:rsidR="009D7128">
        <w:t>follows the legacy cell restriction IEs in SIB1, it would not be possible to separate between UEs and IABs.</w:t>
      </w:r>
    </w:p>
    <w:p w14:paraId="68C37C42" w14:textId="06B83755" w:rsidR="00D07A21" w:rsidRDefault="00547659" w:rsidP="00D07A21">
      <w:pPr>
        <w:pStyle w:val="BodyText"/>
      </w:pPr>
      <w:r>
        <w:t>In our view,</w:t>
      </w:r>
      <w:r w:rsidR="00D07A21">
        <w:t xml:space="preserve"> IABs should not follow the legacy IEs</w:t>
      </w:r>
      <w:r w:rsidR="00C30618">
        <w:t xml:space="preserve"> in </w:t>
      </w:r>
      <w:r w:rsidR="00BB1975">
        <w:t>S</w:t>
      </w:r>
      <w:r w:rsidR="00C30618">
        <w:t>IB1</w:t>
      </w:r>
      <w:r w:rsidR="00BB1975">
        <w:t xml:space="preserve"> as the number of possible combinations increase</w:t>
      </w:r>
      <w:r w:rsidR="00B47007">
        <w:t>s</w:t>
      </w:r>
      <w:r w:rsidR="008C050F">
        <w:t xml:space="preserve">. Not only </w:t>
      </w:r>
      <w:r w:rsidR="00BB1975">
        <w:t>it become</w:t>
      </w:r>
      <w:r w:rsidR="008C050F">
        <w:t>s</w:t>
      </w:r>
      <w:r w:rsidR="00BB1975">
        <w:t xml:space="preserve"> more tedious to </w:t>
      </w:r>
      <w:r w:rsidR="008C050F">
        <w:t xml:space="preserve">control, </w:t>
      </w:r>
      <w:r w:rsidR="0041016A">
        <w:t xml:space="preserve">but </w:t>
      </w:r>
      <w:r w:rsidR="008C050F">
        <w:t xml:space="preserve">it is </w:t>
      </w:r>
      <w:r w:rsidR="0041016A">
        <w:t xml:space="preserve">also </w:t>
      </w:r>
      <w:r w:rsidR="008C050F">
        <w:t xml:space="preserve">doubtful that all possible use </w:t>
      </w:r>
      <w:r w:rsidR="00A00D9E">
        <w:t>combinations</w:t>
      </w:r>
      <w:r w:rsidR="008C050F">
        <w:t xml:space="preserve"> are </w:t>
      </w:r>
      <w:r w:rsidR="006730B7">
        <w:t>realistic</w:t>
      </w:r>
      <w:r w:rsidR="00A00D9E">
        <w:t>.</w:t>
      </w:r>
    </w:p>
    <w:p w14:paraId="46B354A8" w14:textId="77777777" w:rsidR="00D07A21" w:rsidRDefault="00D07A21" w:rsidP="00ED1948">
      <w:pPr>
        <w:pStyle w:val="BodyText"/>
      </w:pPr>
    </w:p>
    <w:p w14:paraId="093CE85E" w14:textId="0F06076A" w:rsidR="00126701" w:rsidRDefault="00DD5F3A" w:rsidP="00C02F9A">
      <w:r w:rsidRPr="00DD5F3A">
        <w:rPr>
          <w:noProof/>
        </w:rPr>
        <w:lastRenderedPageBreak/>
        <w:drawing>
          <wp:inline distT="0" distB="0" distL="0" distR="0" wp14:anchorId="3E1C6FD7" wp14:editId="1F55A08C">
            <wp:extent cx="6120765" cy="14351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41D487" w14:textId="3788E62C" w:rsidR="00691710" w:rsidRDefault="00691710" w:rsidP="00691710">
      <w:pPr>
        <w:pStyle w:val="BodyText"/>
      </w:pPr>
      <w:r>
        <w:t>In summary, the following situations can be addressed with the current agreed signalling:</w:t>
      </w:r>
    </w:p>
    <w:p w14:paraId="31878C43" w14:textId="40E28135" w:rsidR="00691710" w:rsidRDefault="00691710" w:rsidP="00691710">
      <w:pPr>
        <w:pStyle w:val="BodyText"/>
        <w:numPr>
          <w:ilvl w:val="0"/>
          <w:numId w:val="24"/>
        </w:numPr>
      </w:pPr>
      <w:r>
        <w:t>Cell is completely restricted for all devices</w:t>
      </w:r>
      <w:r w:rsidR="00A42260">
        <w:t xml:space="preserve"> (UEs and IAB nodes)</w:t>
      </w:r>
    </w:p>
    <w:p w14:paraId="4DC49C9B" w14:textId="792E47F8" w:rsidR="000B10AD" w:rsidRDefault="000B10AD" w:rsidP="000B10AD">
      <w:pPr>
        <w:pStyle w:val="BodyText"/>
        <w:numPr>
          <w:ilvl w:val="1"/>
          <w:numId w:val="24"/>
        </w:numPr>
      </w:pPr>
      <w:r>
        <w:t>CellBarred is set to barred in MIB</w:t>
      </w:r>
    </w:p>
    <w:p w14:paraId="7F8BE08A" w14:textId="642F5E64" w:rsidR="000B10AD" w:rsidRDefault="000B10AD" w:rsidP="000B10AD">
      <w:pPr>
        <w:pStyle w:val="BodyText"/>
        <w:numPr>
          <w:ilvl w:val="0"/>
          <w:numId w:val="24"/>
        </w:numPr>
      </w:pPr>
      <w:r>
        <w:t xml:space="preserve">Cell is restricted </w:t>
      </w:r>
      <w:r w:rsidR="00A57EC6">
        <w:t xml:space="preserve">for </w:t>
      </w:r>
      <w:r>
        <w:t>IABs but accessible to UEs</w:t>
      </w:r>
    </w:p>
    <w:p w14:paraId="36BA2D2E" w14:textId="1B3182D7" w:rsidR="000B10AD" w:rsidRDefault="000B10AD" w:rsidP="000B10AD">
      <w:pPr>
        <w:pStyle w:val="BodyText"/>
        <w:numPr>
          <w:ilvl w:val="1"/>
          <w:numId w:val="24"/>
        </w:numPr>
      </w:pPr>
      <w:r>
        <w:t xml:space="preserve">CellBarred is set to “not barred” in MIB, </w:t>
      </w:r>
      <w:r w:rsidR="00DA7F17">
        <w:t xml:space="preserve">SIB1 </w:t>
      </w:r>
      <w:r w:rsidR="00424E97">
        <w:t>“</w:t>
      </w:r>
      <w:r w:rsidR="00424E97" w:rsidRPr="00424E97">
        <w:t>iab-support</w:t>
      </w:r>
      <w:r w:rsidR="00424E97">
        <w:t>” is not present</w:t>
      </w:r>
      <w:r w:rsidR="003E7F7D">
        <w:t>.</w:t>
      </w:r>
    </w:p>
    <w:p w14:paraId="4A3F765F" w14:textId="08450A1C" w:rsidR="004848F5" w:rsidRDefault="004848F5" w:rsidP="004848F5">
      <w:pPr>
        <w:pStyle w:val="BodyText"/>
        <w:numPr>
          <w:ilvl w:val="0"/>
          <w:numId w:val="24"/>
        </w:numPr>
      </w:pPr>
      <w:r>
        <w:t xml:space="preserve">Cell is restricted </w:t>
      </w:r>
      <w:r w:rsidR="00702C71">
        <w:t>for</w:t>
      </w:r>
      <w:r>
        <w:t xml:space="preserve"> UEs but accessible to IABs.</w:t>
      </w:r>
    </w:p>
    <w:p w14:paraId="4EB224EA" w14:textId="1865F9EC" w:rsidR="004848F5" w:rsidRDefault="004848F5" w:rsidP="00ED1948">
      <w:pPr>
        <w:pStyle w:val="BodyText"/>
        <w:numPr>
          <w:ilvl w:val="1"/>
          <w:numId w:val="24"/>
        </w:numPr>
      </w:pPr>
      <w:r>
        <w:t>CellBarred is set to “not barred” in MIB, SIB1 “</w:t>
      </w:r>
      <w:r w:rsidRPr="00424E97">
        <w:t>iab-support</w:t>
      </w:r>
      <w:r>
        <w:t xml:space="preserve">” is present, </w:t>
      </w:r>
      <w:r w:rsidR="005C3515">
        <w:t>“cellReservedForOtherUse” is set to TRUE or “cellReservedForOperatorUse” is set to Reserved</w:t>
      </w:r>
      <w:r w:rsidR="003E7F7D">
        <w:t xml:space="preserve"> (as in Release 15).</w:t>
      </w:r>
    </w:p>
    <w:p w14:paraId="71EBDEB8" w14:textId="48A0FFB5" w:rsidR="00691710" w:rsidRDefault="00691710">
      <w:pPr>
        <w:pStyle w:val="BodyText"/>
      </w:pPr>
    </w:p>
    <w:p w14:paraId="637EAF2C" w14:textId="1815CAEE" w:rsidR="00104143" w:rsidRDefault="00104143">
      <w:pPr>
        <w:pStyle w:val="BodyText"/>
      </w:pPr>
      <w:r>
        <w:t xml:space="preserve">A similar discussion applies to LTE. </w:t>
      </w:r>
      <w:r w:rsidR="006003D0">
        <w:t>A</w:t>
      </w:r>
      <w:r>
        <w:t>s a matter of fact</w:t>
      </w:r>
      <w:r w:rsidR="00A4547D">
        <w:t xml:space="preserve">, </w:t>
      </w:r>
      <w:r w:rsidR="008120B5">
        <w:t xml:space="preserve">LTE </w:t>
      </w:r>
      <w:r w:rsidR="00A4547D">
        <w:t xml:space="preserve">has more parameters </w:t>
      </w:r>
      <w:r w:rsidR="0017616D">
        <w:t xml:space="preserve">to allow or restrict access to the network. </w:t>
      </w:r>
      <w:r w:rsidR="00F751C2">
        <w:t>To simplify, we think that IABs should only follow the MIB and the new iab-support IE.</w:t>
      </w:r>
    </w:p>
    <w:p w14:paraId="4F13E0B9" w14:textId="77777777" w:rsidR="00104143" w:rsidRDefault="00104143" w:rsidP="00ED1948">
      <w:pPr>
        <w:pStyle w:val="BodyText"/>
      </w:pPr>
    </w:p>
    <w:p w14:paraId="4569FE53" w14:textId="1B99DA20" w:rsidR="005F32A5" w:rsidRDefault="00E13863">
      <w:pPr>
        <w:pStyle w:val="Proposal"/>
      </w:pPr>
      <w:bookmarkStart w:id="2" w:name="_Toc32220168"/>
      <w:r>
        <w:t>For NR, I</w:t>
      </w:r>
      <w:r w:rsidR="00260DAD" w:rsidRPr="00260DAD">
        <w:t xml:space="preserve">AB node(s) should </w:t>
      </w:r>
      <w:r>
        <w:t xml:space="preserve">only </w:t>
      </w:r>
      <w:r w:rsidR="00260DAD" w:rsidRPr="00260DAD">
        <w:t xml:space="preserve">follow the cell restriction </w:t>
      </w:r>
      <w:r w:rsidR="00B0543D">
        <w:t xml:space="preserve">indication </w:t>
      </w:r>
      <w:r w:rsidR="00260DAD" w:rsidRPr="00260DAD">
        <w:t xml:space="preserve">in MIB </w:t>
      </w:r>
      <w:r>
        <w:t>and iab-Support indication in SIB1 (</w:t>
      </w:r>
      <w:r w:rsidR="00260DAD" w:rsidRPr="00260DAD">
        <w:t>but not the IEs cellReservedForOtherUse and cellReservedForOperatorUse</w:t>
      </w:r>
      <w:r w:rsidR="000A0D73">
        <w:t xml:space="preserve"> in SIB1</w:t>
      </w:r>
      <w:r>
        <w:t>)</w:t>
      </w:r>
      <w:bookmarkEnd w:id="2"/>
    </w:p>
    <w:p w14:paraId="51315EE9" w14:textId="02C1E073" w:rsidR="00E13863" w:rsidRDefault="00E13863">
      <w:pPr>
        <w:pStyle w:val="Proposal"/>
      </w:pPr>
      <w:bookmarkStart w:id="3" w:name="_Toc32220169"/>
      <w:r>
        <w:t xml:space="preserve">For LTE, IAB nodes </w:t>
      </w:r>
      <w:r w:rsidR="00240B43" w:rsidRPr="00260DAD">
        <w:t xml:space="preserve">should </w:t>
      </w:r>
      <w:r w:rsidR="00240B43">
        <w:t xml:space="preserve">only </w:t>
      </w:r>
      <w:r w:rsidR="00240B43" w:rsidRPr="00260DAD">
        <w:t xml:space="preserve">follow the cell restriction </w:t>
      </w:r>
      <w:r w:rsidR="00240B43">
        <w:t xml:space="preserve">indication </w:t>
      </w:r>
      <w:r w:rsidR="00240B43" w:rsidRPr="00260DAD">
        <w:t xml:space="preserve">in MIB </w:t>
      </w:r>
      <w:r w:rsidR="00240B43">
        <w:t xml:space="preserve">and iab-Support indication in SIB1 (but not the other </w:t>
      </w:r>
      <w:r w:rsidR="0086349D">
        <w:t>cell reservation IEs).</w:t>
      </w:r>
      <w:bookmarkEnd w:id="3"/>
    </w:p>
    <w:p w14:paraId="7FFAC03E" w14:textId="77777777" w:rsidR="00C01F33" w:rsidRPr="00CE0424" w:rsidRDefault="00EC4447" w:rsidP="00CE0424">
      <w:pPr>
        <w:pStyle w:val="Heading1"/>
      </w:pPr>
      <w:r>
        <w:t>4</w:t>
      </w:r>
      <w:r>
        <w:tab/>
      </w:r>
      <w:r w:rsidR="00C01F33" w:rsidRPr="00CE0424">
        <w:t>Conclusion</w:t>
      </w:r>
    </w:p>
    <w:p w14:paraId="1A993A14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AEFB437" w14:textId="77777777" w:rsidR="00ED1948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32220168" w:history="1">
        <w:r w:rsidR="00ED1948" w:rsidRPr="00604461">
          <w:rPr>
            <w:rStyle w:val="Hyperlink"/>
            <w:noProof/>
          </w:rPr>
          <w:t>Proposal 1</w:t>
        </w:r>
        <w:r w:rsidR="00ED194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D1948" w:rsidRPr="00604461">
          <w:rPr>
            <w:rStyle w:val="Hyperlink"/>
            <w:noProof/>
          </w:rPr>
          <w:t>For NR, IAB node(s) should only follow the cell restriction indication in MIB and iab-Support indication in SIB1 (but not the IEs cellReservedForOtherUse and cellReservedForOperatorUse in SIB1)</w:t>
        </w:r>
      </w:hyperlink>
    </w:p>
    <w:p w14:paraId="38E18E67" w14:textId="77777777" w:rsidR="00ED1948" w:rsidRDefault="00C7095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32220169" w:history="1">
        <w:r w:rsidR="00ED1948" w:rsidRPr="00604461">
          <w:rPr>
            <w:rStyle w:val="Hyperlink"/>
            <w:noProof/>
          </w:rPr>
          <w:t>Proposal 2</w:t>
        </w:r>
        <w:r w:rsidR="00ED194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D1948" w:rsidRPr="00604461">
          <w:rPr>
            <w:rStyle w:val="Hyperlink"/>
            <w:noProof/>
          </w:rPr>
          <w:t>For LTE, IAB nodes should only follow the cell restriction indication in MIB and iab-Support indication in SIB1 (but not the other cell reservation IEs).</w:t>
        </w:r>
      </w:hyperlink>
    </w:p>
    <w:p w14:paraId="1BD0B7FA" w14:textId="6F52EA34" w:rsidR="003A7EF3" w:rsidRPr="00ED7673" w:rsidRDefault="006E1C82" w:rsidP="00CE0424">
      <w:pPr>
        <w:pStyle w:val="BodyText"/>
        <w:rPr>
          <w:b/>
        </w:rPr>
      </w:pPr>
      <w:r>
        <w:rPr>
          <w:b/>
          <w:bCs/>
          <w:lang w:val="en-US"/>
        </w:rPr>
        <w:fldChar w:fldCharType="end"/>
      </w:r>
      <w:bookmarkStart w:id="4" w:name="_In-sequence_SDU_delivery"/>
      <w:bookmarkEnd w:id="4"/>
    </w:p>
    <w:sectPr w:rsidR="003A7EF3" w:rsidRPr="00ED7673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8CCA1E" w14:textId="77777777" w:rsidR="00C70952" w:rsidRDefault="00C70952">
      <w:r>
        <w:separator/>
      </w:r>
    </w:p>
  </w:endnote>
  <w:endnote w:type="continuationSeparator" w:id="0">
    <w:p w14:paraId="48B235B4" w14:textId="77777777" w:rsidR="00C70952" w:rsidRDefault="00C70952">
      <w:r>
        <w:continuationSeparator/>
      </w:r>
    </w:p>
  </w:endnote>
  <w:endnote w:type="continuationNotice" w:id="1">
    <w:p w14:paraId="0FC405F0" w14:textId="77777777" w:rsidR="00C70952" w:rsidRDefault="00C709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55A11" w14:textId="77777777" w:rsidR="00B902B3" w:rsidRDefault="00B902B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FC3F8C" w14:textId="77777777" w:rsidR="00C70952" w:rsidRDefault="00C70952">
      <w:r>
        <w:separator/>
      </w:r>
    </w:p>
  </w:footnote>
  <w:footnote w:type="continuationSeparator" w:id="0">
    <w:p w14:paraId="5F03009D" w14:textId="77777777" w:rsidR="00C70952" w:rsidRDefault="00C70952">
      <w:r>
        <w:continuationSeparator/>
      </w:r>
    </w:p>
  </w:footnote>
  <w:footnote w:type="continuationNotice" w:id="1">
    <w:p w14:paraId="2E8FFC95" w14:textId="77777777" w:rsidR="00C70952" w:rsidRDefault="00C709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74149" w14:textId="77777777" w:rsidR="00B902B3" w:rsidRDefault="00B902B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761E3C03"/>
    <w:multiLevelType w:val="hybridMultilevel"/>
    <w:tmpl w:val="24845ADE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70D71F0"/>
    <w:multiLevelType w:val="hybridMultilevel"/>
    <w:tmpl w:val="DCDC8AEA"/>
    <w:lvl w:ilvl="0" w:tplc="041D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1"/>
  </w:num>
  <w:num w:numId="21">
    <w:abstractNumId w:val="10"/>
  </w:num>
  <w:num w:numId="22">
    <w:abstractNumId w:val="20"/>
  </w:num>
  <w:num w:numId="23">
    <w:abstractNumId w:val="23"/>
  </w:num>
  <w:num w:numId="24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08BD"/>
    <w:rsid w:val="000325B8"/>
    <w:rsid w:val="00034C15"/>
    <w:rsid w:val="00036BA1"/>
    <w:rsid w:val="0004049A"/>
    <w:rsid w:val="000422E2"/>
    <w:rsid w:val="00042F22"/>
    <w:rsid w:val="0004358E"/>
    <w:rsid w:val="0004382D"/>
    <w:rsid w:val="000444EF"/>
    <w:rsid w:val="00045FBD"/>
    <w:rsid w:val="00046ECD"/>
    <w:rsid w:val="00047461"/>
    <w:rsid w:val="00052A07"/>
    <w:rsid w:val="000534E3"/>
    <w:rsid w:val="00054488"/>
    <w:rsid w:val="000547E3"/>
    <w:rsid w:val="0005606A"/>
    <w:rsid w:val="00057117"/>
    <w:rsid w:val="000616E7"/>
    <w:rsid w:val="0006487E"/>
    <w:rsid w:val="00065E1A"/>
    <w:rsid w:val="000732AA"/>
    <w:rsid w:val="00077E5F"/>
    <w:rsid w:val="0008036A"/>
    <w:rsid w:val="00080F62"/>
    <w:rsid w:val="00081AE6"/>
    <w:rsid w:val="000855EB"/>
    <w:rsid w:val="00085B52"/>
    <w:rsid w:val="000866F2"/>
    <w:rsid w:val="0009009F"/>
    <w:rsid w:val="00091557"/>
    <w:rsid w:val="000924C1"/>
    <w:rsid w:val="000924F0"/>
    <w:rsid w:val="000931FD"/>
    <w:rsid w:val="00093474"/>
    <w:rsid w:val="0009510F"/>
    <w:rsid w:val="000A0D73"/>
    <w:rsid w:val="000A1B7B"/>
    <w:rsid w:val="000A56F2"/>
    <w:rsid w:val="000B10AD"/>
    <w:rsid w:val="000B2719"/>
    <w:rsid w:val="000B3A8F"/>
    <w:rsid w:val="000B4AB9"/>
    <w:rsid w:val="000B58C3"/>
    <w:rsid w:val="000B61E9"/>
    <w:rsid w:val="000B794A"/>
    <w:rsid w:val="000C165A"/>
    <w:rsid w:val="000C1C5E"/>
    <w:rsid w:val="000C2622"/>
    <w:rsid w:val="000C2E19"/>
    <w:rsid w:val="000C3547"/>
    <w:rsid w:val="000C50A2"/>
    <w:rsid w:val="000C5BF6"/>
    <w:rsid w:val="000D0D07"/>
    <w:rsid w:val="000D12F6"/>
    <w:rsid w:val="000D4797"/>
    <w:rsid w:val="000D7A15"/>
    <w:rsid w:val="000E006D"/>
    <w:rsid w:val="000E0527"/>
    <w:rsid w:val="000E1E92"/>
    <w:rsid w:val="000E30DC"/>
    <w:rsid w:val="000E3A84"/>
    <w:rsid w:val="000F06D6"/>
    <w:rsid w:val="000F0EB1"/>
    <w:rsid w:val="000F1106"/>
    <w:rsid w:val="000F2EA5"/>
    <w:rsid w:val="000F3BE9"/>
    <w:rsid w:val="000F3F6C"/>
    <w:rsid w:val="000F6DF3"/>
    <w:rsid w:val="001005FF"/>
    <w:rsid w:val="00104143"/>
    <w:rsid w:val="00104169"/>
    <w:rsid w:val="00105371"/>
    <w:rsid w:val="001062FB"/>
    <w:rsid w:val="001063E6"/>
    <w:rsid w:val="00113CF4"/>
    <w:rsid w:val="001153EA"/>
    <w:rsid w:val="001155DA"/>
    <w:rsid w:val="00115643"/>
    <w:rsid w:val="00116765"/>
    <w:rsid w:val="001219F5"/>
    <w:rsid w:val="00121A20"/>
    <w:rsid w:val="0012359B"/>
    <w:rsid w:val="0012377F"/>
    <w:rsid w:val="001240FC"/>
    <w:rsid w:val="00124314"/>
    <w:rsid w:val="001248D9"/>
    <w:rsid w:val="00126701"/>
    <w:rsid w:val="00126758"/>
    <w:rsid w:val="001267A6"/>
    <w:rsid w:val="00126894"/>
    <w:rsid w:val="00126B4A"/>
    <w:rsid w:val="00132FD0"/>
    <w:rsid w:val="001344C0"/>
    <w:rsid w:val="001346FA"/>
    <w:rsid w:val="00135252"/>
    <w:rsid w:val="0013652C"/>
    <w:rsid w:val="00137AB5"/>
    <w:rsid w:val="00137F0B"/>
    <w:rsid w:val="0014365B"/>
    <w:rsid w:val="001454B6"/>
    <w:rsid w:val="00151E23"/>
    <w:rsid w:val="001526E0"/>
    <w:rsid w:val="00152AB4"/>
    <w:rsid w:val="001551B5"/>
    <w:rsid w:val="0016436C"/>
    <w:rsid w:val="001659C1"/>
    <w:rsid w:val="00165DEE"/>
    <w:rsid w:val="00173A8E"/>
    <w:rsid w:val="00173B16"/>
    <w:rsid w:val="0017502C"/>
    <w:rsid w:val="0017616D"/>
    <w:rsid w:val="0018143F"/>
    <w:rsid w:val="00181DE1"/>
    <w:rsid w:val="00181FF8"/>
    <w:rsid w:val="00183D9E"/>
    <w:rsid w:val="00190AC1"/>
    <w:rsid w:val="0019341A"/>
    <w:rsid w:val="00196063"/>
    <w:rsid w:val="00197DF9"/>
    <w:rsid w:val="001A1987"/>
    <w:rsid w:val="001A2564"/>
    <w:rsid w:val="001A6173"/>
    <w:rsid w:val="001A6CBA"/>
    <w:rsid w:val="001B0D97"/>
    <w:rsid w:val="001B1218"/>
    <w:rsid w:val="001B315A"/>
    <w:rsid w:val="001B5A5D"/>
    <w:rsid w:val="001C02C1"/>
    <w:rsid w:val="001C1CE5"/>
    <w:rsid w:val="001C1F5D"/>
    <w:rsid w:val="001C2934"/>
    <w:rsid w:val="001C3D2A"/>
    <w:rsid w:val="001D18B7"/>
    <w:rsid w:val="001D4ECF"/>
    <w:rsid w:val="001D51BA"/>
    <w:rsid w:val="001D53E7"/>
    <w:rsid w:val="001D6342"/>
    <w:rsid w:val="001D6D53"/>
    <w:rsid w:val="001E074B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606"/>
    <w:rsid w:val="002069B2"/>
    <w:rsid w:val="00207FA3"/>
    <w:rsid w:val="00214DA8"/>
    <w:rsid w:val="00215423"/>
    <w:rsid w:val="002158FA"/>
    <w:rsid w:val="0021785C"/>
    <w:rsid w:val="00220600"/>
    <w:rsid w:val="00221F3F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37785"/>
    <w:rsid w:val="00240B43"/>
    <w:rsid w:val="0024142B"/>
    <w:rsid w:val="00241559"/>
    <w:rsid w:val="002435B3"/>
    <w:rsid w:val="002458EB"/>
    <w:rsid w:val="002500C8"/>
    <w:rsid w:val="00257543"/>
    <w:rsid w:val="00260DAD"/>
    <w:rsid w:val="002617E7"/>
    <w:rsid w:val="00262BA4"/>
    <w:rsid w:val="00264228"/>
    <w:rsid w:val="00264334"/>
    <w:rsid w:val="0026473E"/>
    <w:rsid w:val="00266214"/>
    <w:rsid w:val="002670A8"/>
    <w:rsid w:val="00267C83"/>
    <w:rsid w:val="0027144F"/>
    <w:rsid w:val="00271813"/>
    <w:rsid w:val="00271F3A"/>
    <w:rsid w:val="00272B65"/>
    <w:rsid w:val="00273278"/>
    <w:rsid w:val="002737F4"/>
    <w:rsid w:val="002769B7"/>
    <w:rsid w:val="002805F5"/>
    <w:rsid w:val="00280751"/>
    <w:rsid w:val="00280B70"/>
    <w:rsid w:val="0028280A"/>
    <w:rsid w:val="0028553B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2C8"/>
    <w:rsid w:val="002A2869"/>
    <w:rsid w:val="002B24D6"/>
    <w:rsid w:val="002C06AD"/>
    <w:rsid w:val="002C3019"/>
    <w:rsid w:val="002C41E6"/>
    <w:rsid w:val="002C669B"/>
    <w:rsid w:val="002D071A"/>
    <w:rsid w:val="002D34B2"/>
    <w:rsid w:val="002D48B0"/>
    <w:rsid w:val="002D5B37"/>
    <w:rsid w:val="002D6EE8"/>
    <w:rsid w:val="002D7637"/>
    <w:rsid w:val="002E17F2"/>
    <w:rsid w:val="002E4F7C"/>
    <w:rsid w:val="002E5C23"/>
    <w:rsid w:val="002E7CAE"/>
    <w:rsid w:val="002F2771"/>
    <w:rsid w:val="002F37A9"/>
    <w:rsid w:val="002F679F"/>
    <w:rsid w:val="00301CE6"/>
    <w:rsid w:val="0030256B"/>
    <w:rsid w:val="00302A52"/>
    <w:rsid w:val="0030501F"/>
    <w:rsid w:val="00305C3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31D7"/>
    <w:rsid w:val="00334579"/>
    <w:rsid w:val="00335858"/>
    <w:rsid w:val="00336BDA"/>
    <w:rsid w:val="0033741C"/>
    <w:rsid w:val="00342BD7"/>
    <w:rsid w:val="003447E4"/>
    <w:rsid w:val="003451EF"/>
    <w:rsid w:val="00346DB5"/>
    <w:rsid w:val="003477B1"/>
    <w:rsid w:val="00357380"/>
    <w:rsid w:val="003602D9"/>
    <w:rsid w:val="003604CE"/>
    <w:rsid w:val="00370E47"/>
    <w:rsid w:val="003742AC"/>
    <w:rsid w:val="00375EAC"/>
    <w:rsid w:val="00377CE1"/>
    <w:rsid w:val="003817E8"/>
    <w:rsid w:val="003851CC"/>
    <w:rsid w:val="00385BF0"/>
    <w:rsid w:val="003939FF"/>
    <w:rsid w:val="003A2223"/>
    <w:rsid w:val="003A2A0F"/>
    <w:rsid w:val="003A2A40"/>
    <w:rsid w:val="003A2F2B"/>
    <w:rsid w:val="003A406B"/>
    <w:rsid w:val="003A45A1"/>
    <w:rsid w:val="003A5B0A"/>
    <w:rsid w:val="003A5E91"/>
    <w:rsid w:val="003A6BAC"/>
    <w:rsid w:val="003A70A4"/>
    <w:rsid w:val="003A7E80"/>
    <w:rsid w:val="003A7EF3"/>
    <w:rsid w:val="003B159C"/>
    <w:rsid w:val="003B369F"/>
    <w:rsid w:val="003B36A3"/>
    <w:rsid w:val="003B64BB"/>
    <w:rsid w:val="003B6E11"/>
    <w:rsid w:val="003B7FE5"/>
    <w:rsid w:val="003C11C8"/>
    <w:rsid w:val="003C2702"/>
    <w:rsid w:val="003C7806"/>
    <w:rsid w:val="003D109F"/>
    <w:rsid w:val="003D1431"/>
    <w:rsid w:val="003D2478"/>
    <w:rsid w:val="003D3369"/>
    <w:rsid w:val="003D3C45"/>
    <w:rsid w:val="003D5873"/>
    <w:rsid w:val="003D5B1F"/>
    <w:rsid w:val="003E15FA"/>
    <w:rsid w:val="003E4DE3"/>
    <w:rsid w:val="003E55E4"/>
    <w:rsid w:val="003E67B8"/>
    <w:rsid w:val="003E74E3"/>
    <w:rsid w:val="003E7F7D"/>
    <w:rsid w:val="003F05C7"/>
    <w:rsid w:val="003F2CD4"/>
    <w:rsid w:val="003F6BBE"/>
    <w:rsid w:val="004000E8"/>
    <w:rsid w:val="00402E2B"/>
    <w:rsid w:val="00403069"/>
    <w:rsid w:val="0040512B"/>
    <w:rsid w:val="00405CA5"/>
    <w:rsid w:val="00407CD3"/>
    <w:rsid w:val="00410134"/>
    <w:rsid w:val="00410136"/>
    <w:rsid w:val="0041016A"/>
    <w:rsid w:val="00410A59"/>
    <w:rsid w:val="00410B72"/>
    <w:rsid w:val="00410F18"/>
    <w:rsid w:val="0041263E"/>
    <w:rsid w:val="00413AAC"/>
    <w:rsid w:val="00413E92"/>
    <w:rsid w:val="00413F93"/>
    <w:rsid w:val="00416E75"/>
    <w:rsid w:val="00417BA5"/>
    <w:rsid w:val="00421105"/>
    <w:rsid w:val="00422AA4"/>
    <w:rsid w:val="004242F4"/>
    <w:rsid w:val="00424E97"/>
    <w:rsid w:val="00424FF4"/>
    <w:rsid w:val="00427248"/>
    <w:rsid w:val="00437223"/>
    <w:rsid w:val="00437447"/>
    <w:rsid w:val="00441A92"/>
    <w:rsid w:val="0044205E"/>
    <w:rsid w:val="004431DC"/>
    <w:rsid w:val="00444F56"/>
    <w:rsid w:val="00446488"/>
    <w:rsid w:val="004517AA"/>
    <w:rsid w:val="004524D3"/>
    <w:rsid w:val="00452CAC"/>
    <w:rsid w:val="00457565"/>
    <w:rsid w:val="00457B71"/>
    <w:rsid w:val="004669E2"/>
    <w:rsid w:val="00470C31"/>
    <w:rsid w:val="00471DE0"/>
    <w:rsid w:val="004734D0"/>
    <w:rsid w:val="0047556B"/>
    <w:rsid w:val="00476A8B"/>
    <w:rsid w:val="00477768"/>
    <w:rsid w:val="004840F8"/>
    <w:rsid w:val="00484449"/>
    <w:rsid w:val="004848F5"/>
    <w:rsid w:val="0049277D"/>
    <w:rsid w:val="00492BC5"/>
    <w:rsid w:val="004964F1"/>
    <w:rsid w:val="004A16BC"/>
    <w:rsid w:val="004A2B94"/>
    <w:rsid w:val="004B4EFF"/>
    <w:rsid w:val="004B6F6A"/>
    <w:rsid w:val="004B7C0C"/>
    <w:rsid w:val="004C3898"/>
    <w:rsid w:val="004C7F29"/>
    <w:rsid w:val="004D36B1"/>
    <w:rsid w:val="004D7EBD"/>
    <w:rsid w:val="004E2680"/>
    <w:rsid w:val="004E28F9"/>
    <w:rsid w:val="004E462E"/>
    <w:rsid w:val="004E56DC"/>
    <w:rsid w:val="004E76F4"/>
    <w:rsid w:val="004E7DE4"/>
    <w:rsid w:val="004F0B4E"/>
    <w:rsid w:val="004F0B6C"/>
    <w:rsid w:val="004F1D9E"/>
    <w:rsid w:val="004F2078"/>
    <w:rsid w:val="004F4DA3"/>
    <w:rsid w:val="00506557"/>
    <w:rsid w:val="0050677A"/>
    <w:rsid w:val="00506DB2"/>
    <w:rsid w:val="00507D15"/>
    <w:rsid w:val="005108D8"/>
    <w:rsid w:val="005116F9"/>
    <w:rsid w:val="00512813"/>
    <w:rsid w:val="005153A7"/>
    <w:rsid w:val="005219CF"/>
    <w:rsid w:val="00522DE8"/>
    <w:rsid w:val="00534B59"/>
    <w:rsid w:val="00536759"/>
    <w:rsid w:val="00537C62"/>
    <w:rsid w:val="00540DF6"/>
    <w:rsid w:val="00542CC7"/>
    <w:rsid w:val="00546970"/>
    <w:rsid w:val="00547659"/>
    <w:rsid w:val="00552E22"/>
    <w:rsid w:val="0055324B"/>
    <w:rsid w:val="00554E19"/>
    <w:rsid w:val="0056121F"/>
    <w:rsid w:val="00564194"/>
    <w:rsid w:val="00572505"/>
    <w:rsid w:val="005736D7"/>
    <w:rsid w:val="00582809"/>
    <w:rsid w:val="0058798C"/>
    <w:rsid w:val="005900FA"/>
    <w:rsid w:val="005906D6"/>
    <w:rsid w:val="005935A4"/>
    <w:rsid w:val="005948C2"/>
    <w:rsid w:val="00594A88"/>
    <w:rsid w:val="00595DCA"/>
    <w:rsid w:val="0059779B"/>
    <w:rsid w:val="005A209A"/>
    <w:rsid w:val="005A4192"/>
    <w:rsid w:val="005A662D"/>
    <w:rsid w:val="005A7FD4"/>
    <w:rsid w:val="005B074D"/>
    <w:rsid w:val="005B1409"/>
    <w:rsid w:val="005B35D7"/>
    <w:rsid w:val="005B392A"/>
    <w:rsid w:val="005B3AA3"/>
    <w:rsid w:val="005B6F83"/>
    <w:rsid w:val="005C1C13"/>
    <w:rsid w:val="005C3515"/>
    <w:rsid w:val="005C74FB"/>
    <w:rsid w:val="005D1602"/>
    <w:rsid w:val="005D3A31"/>
    <w:rsid w:val="005D7C70"/>
    <w:rsid w:val="005E385F"/>
    <w:rsid w:val="005E5B81"/>
    <w:rsid w:val="005E7DD7"/>
    <w:rsid w:val="005F2CB1"/>
    <w:rsid w:val="005F3025"/>
    <w:rsid w:val="005F32A5"/>
    <w:rsid w:val="005F618C"/>
    <w:rsid w:val="005F6F3C"/>
    <w:rsid w:val="005F70BD"/>
    <w:rsid w:val="0060030C"/>
    <w:rsid w:val="006003D0"/>
    <w:rsid w:val="0060283C"/>
    <w:rsid w:val="00604F14"/>
    <w:rsid w:val="00610347"/>
    <w:rsid w:val="00611B15"/>
    <w:rsid w:val="00611B83"/>
    <w:rsid w:val="00612BB1"/>
    <w:rsid w:val="00613257"/>
    <w:rsid w:val="0061726C"/>
    <w:rsid w:val="006204F0"/>
    <w:rsid w:val="00620A71"/>
    <w:rsid w:val="00620D80"/>
    <w:rsid w:val="006234A6"/>
    <w:rsid w:val="00625AFA"/>
    <w:rsid w:val="00630001"/>
    <w:rsid w:val="00630190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3D7"/>
    <w:rsid w:val="00644A01"/>
    <w:rsid w:val="0064562A"/>
    <w:rsid w:val="0064624E"/>
    <w:rsid w:val="00650AB9"/>
    <w:rsid w:val="00652658"/>
    <w:rsid w:val="006538FA"/>
    <w:rsid w:val="00655733"/>
    <w:rsid w:val="00655ACD"/>
    <w:rsid w:val="00655C89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30B7"/>
    <w:rsid w:val="00673D01"/>
    <w:rsid w:val="006741F2"/>
    <w:rsid w:val="00674CC3"/>
    <w:rsid w:val="006752FA"/>
    <w:rsid w:val="00675C72"/>
    <w:rsid w:val="006771F9"/>
    <w:rsid w:val="006776D7"/>
    <w:rsid w:val="00681003"/>
    <w:rsid w:val="00681532"/>
    <w:rsid w:val="006817C9"/>
    <w:rsid w:val="00683ECE"/>
    <w:rsid w:val="00691710"/>
    <w:rsid w:val="006929C2"/>
    <w:rsid w:val="00692F09"/>
    <w:rsid w:val="00695FC2"/>
    <w:rsid w:val="00696949"/>
    <w:rsid w:val="00697052"/>
    <w:rsid w:val="006A46FB"/>
    <w:rsid w:val="006A599A"/>
    <w:rsid w:val="006A5E28"/>
    <w:rsid w:val="006A697B"/>
    <w:rsid w:val="006A7AFF"/>
    <w:rsid w:val="006B1816"/>
    <w:rsid w:val="006B1A29"/>
    <w:rsid w:val="006B2099"/>
    <w:rsid w:val="006B50CF"/>
    <w:rsid w:val="006C03B8"/>
    <w:rsid w:val="006C56A1"/>
    <w:rsid w:val="006C5EC9"/>
    <w:rsid w:val="006C6059"/>
    <w:rsid w:val="006C7522"/>
    <w:rsid w:val="006C7959"/>
    <w:rsid w:val="006D0420"/>
    <w:rsid w:val="006D6F08"/>
    <w:rsid w:val="006E062C"/>
    <w:rsid w:val="006E0C91"/>
    <w:rsid w:val="006E1C82"/>
    <w:rsid w:val="006E2573"/>
    <w:rsid w:val="006E28B7"/>
    <w:rsid w:val="006E2A9B"/>
    <w:rsid w:val="006E3310"/>
    <w:rsid w:val="006E4E39"/>
    <w:rsid w:val="006E565E"/>
    <w:rsid w:val="006E5F87"/>
    <w:rsid w:val="006E673D"/>
    <w:rsid w:val="006E6A24"/>
    <w:rsid w:val="006E7D3B"/>
    <w:rsid w:val="006F1B70"/>
    <w:rsid w:val="006F341D"/>
    <w:rsid w:val="006F3CDE"/>
    <w:rsid w:val="006F48B6"/>
    <w:rsid w:val="006F58D4"/>
    <w:rsid w:val="006F6582"/>
    <w:rsid w:val="00702C71"/>
    <w:rsid w:val="0070346E"/>
    <w:rsid w:val="00704EDB"/>
    <w:rsid w:val="00706101"/>
    <w:rsid w:val="00707072"/>
    <w:rsid w:val="00707D61"/>
    <w:rsid w:val="00707EE6"/>
    <w:rsid w:val="00711677"/>
    <w:rsid w:val="00712287"/>
    <w:rsid w:val="00712772"/>
    <w:rsid w:val="007148D3"/>
    <w:rsid w:val="00715B9A"/>
    <w:rsid w:val="00723986"/>
    <w:rsid w:val="007257D0"/>
    <w:rsid w:val="00726EA6"/>
    <w:rsid w:val="00727208"/>
    <w:rsid w:val="00727680"/>
    <w:rsid w:val="00731E47"/>
    <w:rsid w:val="007341B1"/>
    <w:rsid w:val="007348B1"/>
    <w:rsid w:val="00736274"/>
    <w:rsid w:val="007362A6"/>
    <w:rsid w:val="00736CC8"/>
    <w:rsid w:val="00736D7D"/>
    <w:rsid w:val="00740E58"/>
    <w:rsid w:val="0074116E"/>
    <w:rsid w:val="007445A0"/>
    <w:rsid w:val="0074524B"/>
    <w:rsid w:val="00747D71"/>
    <w:rsid w:val="00747D8B"/>
    <w:rsid w:val="00750318"/>
    <w:rsid w:val="00751228"/>
    <w:rsid w:val="0075329C"/>
    <w:rsid w:val="007571E1"/>
    <w:rsid w:val="00757A16"/>
    <w:rsid w:val="007604B2"/>
    <w:rsid w:val="00760CDE"/>
    <w:rsid w:val="00761495"/>
    <w:rsid w:val="00765281"/>
    <w:rsid w:val="00766BAD"/>
    <w:rsid w:val="0077225B"/>
    <w:rsid w:val="007729A2"/>
    <w:rsid w:val="007731A1"/>
    <w:rsid w:val="007755F2"/>
    <w:rsid w:val="00776971"/>
    <w:rsid w:val="00780A80"/>
    <w:rsid w:val="0078177E"/>
    <w:rsid w:val="00782B88"/>
    <w:rsid w:val="0078304C"/>
    <w:rsid w:val="00783673"/>
    <w:rsid w:val="00785490"/>
    <w:rsid w:val="00790C76"/>
    <w:rsid w:val="007925EA"/>
    <w:rsid w:val="00793CD8"/>
    <w:rsid w:val="00795C92"/>
    <w:rsid w:val="00796231"/>
    <w:rsid w:val="00797BDA"/>
    <w:rsid w:val="007A11A0"/>
    <w:rsid w:val="007A1CB3"/>
    <w:rsid w:val="007A22C4"/>
    <w:rsid w:val="007A306F"/>
    <w:rsid w:val="007A43A6"/>
    <w:rsid w:val="007A58A6"/>
    <w:rsid w:val="007B1908"/>
    <w:rsid w:val="007B3D2D"/>
    <w:rsid w:val="007B50AE"/>
    <w:rsid w:val="007B51DF"/>
    <w:rsid w:val="007B79E1"/>
    <w:rsid w:val="007C02BF"/>
    <w:rsid w:val="007C05DD"/>
    <w:rsid w:val="007C3D18"/>
    <w:rsid w:val="007C4AC9"/>
    <w:rsid w:val="007C60BF"/>
    <w:rsid w:val="007C6A07"/>
    <w:rsid w:val="007C75A1"/>
    <w:rsid w:val="007C77A5"/>
    <w:rsid w:val="007D04E5"/>
    <w:rsid w:val="007D5901"/>
    <w:rsid w:val="007D7526"/>
    <w:rsid w:val="007E23AF"/>
    <w:rsid w:val="007E301C"/>
    <w:rsid w:val="007E4610"/>
    <w:rsid w:val="007E4715"/>
    <w:rsid w:val="007E505B"/>
    <w:rsid w:val="007E7091"/>
    <w:rsid w:val="007F0233"/>
    <w:rsid w:val="007F3016"/>
    <w:rsid w:val="00803FAE"/>
    <w:rsid w:val="0080605F"/>
    <w:rsid w:val="00807786"/>
    <w:rsid w:val="00811FCB"/>
    <w:rsid w:val="008120B5"/>
    <w:rsid w:val="008158D6"/>
    <w:rsid w:val="00817196"/>
    <w:rsid w:val="008214A7"/>
    <w:rsid w:val="0082308F"/>
    <w:rsid w:val="008235DB"/>
    <w:rsid w:val="00824852"/>
    <w:rsid w:val="00824AB4"/>
    <w:rsid w:val="00825C42"/>
    <w:rsid w:val="00825D25"/>
    <w:rsid w:val="00827D6F"/>
    <w:rsid w:val="00833694"/>
    <w:rsid w:val="00836914"/>
    <w:rsid w:val="008376AC"/>
    <w:rsid w:val="008444E8"/>
    <w:rsid w:val="00844E80"/>
    <w:rsid w:val="00846FE7"/>
    <w:rsid w:val="00852F45"/>
    <w:rsid w:val="00856911"/>
    <w:rsid w:val="008610E3"/>
    <w:rsid w:val="00861501"/>
    <w:rsid w:val="0086349D"/>
    <w:rsid w:val="008677FD"/>
    <w:rsid w:val="008706D4"/>
    <w:rsid w:val="00870F8A"/>
    <w:rsid w:val="008719A4"/>
    <w:rsid w:val="00871D23"/>
    <w:rsid w:val="00873B12"/>
    <w:rsid w:val="00873CCA"/>
    <w:rsid w:val="00874312"/>
    <w:rsid w:val="0087437C"/>
    <w:rsid w:val="00874E34"/>
    <w:rsid w:val="008758EC"/>
    <w:rsid w:val="00875CD7"/>
    <w:rsid w:val="00876B4D"/>
    <w:rsid w:val="00877381"/>
    <w:rsid w:val="00877F18"/>
    <w:rsid w:val="00880484"/>
    <w:rsid w:val="00881E1A"/>
    <w:rsid w:val="00882776"/>
    <w:rsid w:val="00887557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2BC"/>
    <w:rsid w:val="008B0483"/>
    <w:rsid w:val="008B120C"/>
    <w:rsid w:val="008B51A0"/>
    <w:rsid w:val="008B592A"/>
    <w:rsid w:val="008B7B5C"/>
    <w:rsid w:val="008C050F"/>
    <w:rsid w:val="008C0C99"/>
    <w:rsid w:val="008C2017"/>
    <w:rsid w:val="008C4958"/>
    <w:rsid w:val="008C4BAA"/>
    <w:rsid w:val="008C6AE8"/>
    <w:rsid w:val="008C7573"/>
    <w:rsid w:val="008D00A5"/>
    <w:rsid w:val="008D026A"/>
    <w:rsid w:val="008D231C"/>
    <w:rsid w:val="008D34F1"/>
    <w:rsid w:val="008D39D8"/>
    <w:rsid w:val="008D6D1A"/>
    <w:rsid w:val="008E065E"/>
    <w:rsid w:val="008E0927"/>
    <w:rsid w:val="008E0A27"/>
    <w:rsid w:val="008E1909"/>
    <w:rsid w:val="008F1EAB"/>
    <w:rsid w:val="008F33DC"/>
    <w:rsid w:val="008F3A4F"/>
    <w:rsid w:val="008F3CF7"/>
    <w:rsid w:val="008F477F"/>
    <w:rsid w:val="008F7580"/>
    <w:rsid w:val="00902350"/>
    <w:rsid w:val="0090336B"/>
    <w:rsid w:val="009053AA"/>
    <w:rsid w:val="00906939"/>
    <w:rsid w:val="00907D86"/>
    <w:rsid w:val="00910B7D"/>
    <w:rsid w:val="00911DFB"/>
    <w:rsid w:val="009139D9"/>
    <w:rsid w:val="00914AD8"/>
    <w:rsid w:val="00916079"/>
    <w:rsid w:val="009177D0"/>
    <w:rsid w:val="00917CE9"/>
    <w:rsid w:val="00920BF2"/>
    <w:rsid w:val="00922010"/>
    <w:rsid w:val="009300ED"/>
    <w:rsid w:val="00931BD9"/>
    <w:rsid w:val="0093308C"/>
    <w:rsid w:val="00935ED9"/>
    <w:rsid w:val="00936875"/>
    <w:rsid w:val="009368F3"/>
    <w:rsid w:val="0094074D"/>
    <w:rsid w:val="00941636"/>
    <w:rsid w:val="00943742"/>
    <w:rsid w:val="00943EBA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1A52"/>
    <w:rsid w:val="0096430A"/>
    <w:rsid w:val="0096554B"/>
    <w:rsid w:val="0096584A"/>
    <w:rsid w:val="00971F08"/>
    <w:rsid w:val="00972388"/>
    <w:rsid w:val="009741FF"/>
    <w:rsid w:val="00974FA7"/>
    <w:rsid w:val="0097603D"/>
    <w:rsid w:val="00976949"/>
    <w:rsid w:val="00980477"/>
    <w:rsid w:val="00985253"/>
    <w:rsid w:val="009853B3"/>
    <w:rsid w:val="00985C5E"/>
    <w:rsid w:val="009865E4"/>
    <w:rsid w:val="00986C4C"/>
    <w:rsid w:val="00990630"/>
    <w:rsid w:val="00991400"/>
    <w:rsid w:val="00991761"/>
    <w:rsid w:val="009924BB"/>
    <w:rsid w:val="00994DCA"/>
    <w:rsid w:val="009960EC"/>
    <w:rsid w:val="009970DD"/>
    <w:rsid w:val="009A0FBA"/>
    <w:rsid w:val="009A1601"/>
    <w:rsid w:val="009A19F9"/>
    <w:rsid w:val="009A3BB6"/>
    <w:rsid w:val="009A462D"/>
    <w:rsid w:val="009A5CBA"/>
    <w:rsid w:val="009A69AA"/>
    <w:rsid w:val="009B1F30"/>
    <w:rsid w:val="009B3AC2"/>
    <w:rsid w:val="009B4DF4"/>
    <w:rsid w:val="009B564E"/>
    <w:rsid w:val="009B5804"/>
    <w:rsid w:val="009B7E87"/>
    <w:rsid w:val="009C0169"/>
    <w:rsid w:val="009C403E"/>
    <w:rsid w:val="009D051D"/>
    <w:rsid w:val="009D14DD"/>
    <w:rsid w:val="009D4FF0"/>
    <w:rsid w:val="009D703C"/>
    <w:rsid w:val="009D7128"/>
    <w:rsid w:val="009D718F"/>
    <w:rsid w:val="009E00A9"/>
    <w:rsid w:val="009E068F"/>
    <w:rsid w:val="009E14E0"/>
    <w:rsid w:val="009E35DB"/>
    <w:rsid w:val="009E47A3"/>
    <w:rsid w:val="009F03B6"/>
    <w:rsid w:val="009F08F3"/>
    <w:rsid w:val="009F344F"/>
    <w:rsid w:val="00A00D9E"/>
    <w:rsid w:val="00A0179E"/>
    <w:rsid w:val="00A031D8"/>
    <w:rsid w:val="00A048A8"/>
    <w:rsid w:val="00A04F49"/>
    <w:rsid w:val="00A054F2"/>
    <w:rsid w:val="00A05C70"/>
    <w:rsid w:val="00A10933"/>
    <w:rsid w:val="00A13E54"/>
    <w:rsid w:val="00A17F63"/>
    <w:rsid w:val="00A2193B"/>
    <w:rsid w:val="00A22F2C"/>
    <w:rsid w:val="00A2351A"/>
    <w:rsid w:val="00A24618"/>
    <w:rsid w:val="00A264A9"/>
    <w:rsid w:val="00A26DCF"/>
    <w:rsid w:val="00A27785"/>
    <w:rsid w:val="00A30187"/>
    <w:rsid w:val="00A3448A"/>
    <w:rsid w:val="00A35BFF"/>
    <w:rsid w:val="00A36297"/>
    <w:rsid w:val="00A36DAA"/>
    <w:rsid w:val="00A41E2B"/>
    <w:rsid w:val="00A42260"/>
    <w:rsid w:val="00A44736"/>
    <w:rsid w:val="00A4547D"/>
    <w:rsid w:val="00A45B74"/>
    <w:rsid w:val="00A52E1D"/>
    <w:rsid w:val="00A57EC6"/>
    <w:rsid w:val="00A6061D"/>
    <w:rsid w:val="00A61499"/>
    <w:rsid w:val="00A62A77"/>
    <w:rsid w:val="00A63483"/>
    <w:rsid w:val="00A657D7"/>
    <w:rsid w:val="00A660AC"/>
    <w:rsid w:val="00A67E6C"/>
    <w:rsid w:val="00A71B99"/>
    <w:rsid w:val="00A739D0"/>
    <w:rsid w:val="00A75CBC"/>
    <w:rsid w:val="00A761D4"/>
    <w:rsid w:val="00A77EC4"/>
    <w:rsid w:val="00A86378"/>
    <w:rsid w:val="00A92879"/>
    <w:rsid w:val="00A9442A"/>
    <w:rsid w:val="00A96B24"/>
    <w:rsid w:val="00AA016F"/>
    <w:rsid w:val="00AA1ED6"/>
    <w:rsid w:val="00AA4901"/>
    <w:rsid w:val="00AA51D6"/>
    <w:rsid w:val="00AB0BC8"/>
    <w:rsid w:val="00AB11CA"/>
    <w:rsid w:val="00AB14D9"/>
    <w:rsid w:val="00AB4AB8"/>
    <w:rsid w:val="00AB655E"/>
    <w:rsid w:val="00AB6D12"/>
    <w:rsid w:val="00AC007F"/>
    <w:rsid w:val="00AC0AA5"/>
    <w:rsid w:val="00AC2ECD"/>
    <w:rsid w:val="00AC3119"/>
    <w:rsid w:val="00AC49FB"/>
    <w:rsid w:val="00AC5A10"/>
    <w:rsid w:val="00AD0AA3"/>
    <w:rsid w:val="00AD2144"/>
    <w:rsid w:val="00AD3F94"/>
    <w:rsid w:val="00AD4A5A"/>
    <w:rsid w:val="00AD50D2"/>
    <w:rsid w:val="00AD7292"/>
    <w:rsid w:val="00AE27AC"/>
    <w:rsid w:val="00AE40E0"/>
    <w:rsid w:val="00AE4DBA"/>
    <w:rsid w:val="00AE4F07"/>
    <w:rsid w:val="00AE7C9E"/>
    <w:rsid w:val="00AF1C5D"/>
    <w:rsid w:val="00AF3AA9"/>
    <w:rsid w:val="00AF42D7"/>
    <w:rsid w:val="00AF56CC"/>
    <w:rsid w:val="00AF5F3B"/>
    <w:rsid w:val="00B006FE"/>
    <w:rsid w:val="00B007CB"/>
    <w:rsid w:val="00B01035"/>
    <w:rsid w:val="00B02AA9"/>
    <w:rsid w:val="00B02FA3"/>
    <w:rsid w:val="00B03CCD"/>
    <w:rsid w:val="00B05084"/>
    <w:rsid w:val="00B0543D"/>
    <w:rsid w:val="00B13B96"/>
    <w:rsid w:val="00B157F9"/>
    <w:rsid w:val="00B17B8B"/>
    <w:rsid w:val="00B20256"/>
    <w:rsid w:val="00B2090C"/>
    <w:rsid w:val="00B20D09"/>
    <w:rsid w:val="00B255D6"/>
    <w:rsid w:val="00B2713A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47007"/>
    <w:rsid w:val="00B50DA7"/>
    <w:rsid w:val="00B548B7"/>
    <w:rsid w:val="00B552FA"/>
    <w:rsid w:val="00B63376"/>
    <w:rsid w:val="00B63619"/>
    <w:rsid w:val="00B664C7"/>
    <w:rsid w:val="00B73880"/>
    <w:rsid w:val="00B739F6"/>
    <w:rsid w:val="00B73C67"/>
    <w:rsid w:val="00B81A6C"/>
    <w:rsid w:val="00B85DB6"/>
    <w:rsid w:val="00B85DE5"/>
    <w:rsid w:val="00B86867"/>
    <w:rsid w:val="00B902B3"/>
    <w:rsid w:val="00B90F73"/>
    <w:rsid w:val="00B93B59"/>
    <w:rsid w:val="00B9406A"/>
    <w:rsid w:val="00B977E2"/>
    <w:rsid w:val="00BA1A3E"/>
    <w:rsid w:val="00BA2280"/>
    <w:rsid w:val="00BA2A08"/>
    <w:rsid w:val="00BA56D2"/>
    <w:rsid w:val="00BA76E0"/>
    <w:rsid w:val="00BB10DF"/>
    <w:rsid w:val="00BB1975"/>
    <w:rsid w:val="00BB2A25"/>
    <w:rsid w:val="00BB3933"/>
    <w:rsid w:val="00BB51E9"/>
    <w:rsid w:val="00BC0FDC"/>
    <w:rsid w:val="00BC3053"/>
    <w:rsid w:val="00BC4D2E"/>
    <w:rsid w:val="00BC63B6"/>
    <w:rsid w:val="00BD02D1"/>
    <w:rsid w:val="00BD1E44"/>
    <w:rsid w:val="00BD48AC"/>
    <w:rsid w:val="00BD57F1"/>
    <w:rsid w:val="00BD5D30"/>
    <w:rsid w:val="00BD5F1A"/>
    <w:rsid w:val="00BE1234"/>
    <w:rsid w:val="00BE2FA6"/>
    <w:rsid w:val="00BE333F"/>
    <w:rsid w:val="00BE7406"/>
    <w:rsid w:val="00BE7603"/>
    <w:rsid w:val="00BF3279"/>
    <w:rsid w:val="00BF4ACB"/>
    <w:rsid w:val="00BF74C7"/>
    <w:rsid w:val="00C015F1"/>
    <w:rsid w:val="00C01F33"/>
    <w:rsid w:val="00C02CC6"/>
    <w:rsid w:val="00C02F9A"/>
    <w:rsid w:val="00C03063"/>
    <w:rsid w:val="00C040F7"/>
    <w:rsid w:val="00C041D8"/>
    <w:rsid w:val="00C044AB"/>
    <w:rsid w:val="00C05706"/>
    <w:rsid w:val="00C07377"/>
    <w:rsid w:val="00C10478"/>
    <w:rsid w:val="00C12107"/>
    <w:rsid w:val="00C14D4B"/>
    <w:rsid w:val="00C154BB"/>
    <w:rsid w:val="00C166A7"/>
    <w:rsid w:val="00C16976"/>
    <w:rsid w:val="00C16A95"/>
    <w:rsid w:val="00C236EE"/>
    <w:rsid w:val="00C26B2D"/>
    <w:rsid w:val="00C279B5"/>
    <w:rsid w:val="00C27C45"/>
    <w:rsid w:val="00C30618"/>
    <w:rsid w:val="00C323E3"/>
    <w:rsid w:val="00C331F8"/>
    <w:rsid w:val="00C3719D"/>
    <w:rsid w:val="00C37CB2"/>
    <w:rsid w:val="00C43EE4"/>
    <w:rsid w:val="00C473A5"/>
    <w:rsid w:val="00C54995"/>
    <w:rsid w:val="00C54D41"/>
    <w:rsid w:val="00C55D19"/>
    <w:rsid w:val="00C60783"/>
    <w:rsid w:val="00C64672"/>
    <w:rsid w:val="00C70697"/>
    <w:rsid w:val="00C70952"/>
    <w:rsid w:val="00C72093"/>
    <w:rsid w:val="00C72EF4"/>
    <w:rsid w:val="00C744FE"/>
    <w:rsid w:val="00C75D2F"/>
    <w:rsid w:val="00C767BE"/>
    <w:rsid w:val="00C76E3C"/>
    <w:rsid w:val="00C77DDE"/>
    <w:rsid w:val="00C81568"/>
    <w:rsid w:val="00C84940"/>
    <w:rsid w:val="00C84B84"/>
    <w:rsid w:val="00C876F3"/>
    <w:rsid w:val="00C9027A"/>
    <w:rsid w:val="00C9068E"/>
    <w:rsid w:val="00C92C7B"/>
    <w:rsid w:val="00C92F6B"/>
    <w:rsid w:val="00C93814"/>
    <w:rsid w:val="00C93C4B"/>
    <w:rsid w:val="00C944AB"/>
    <w:rsid w:val="00C95B40"/>
    <w:rsid w:val="00CA1ED8"/>
    <w:rsid w:val="00CA485D"/>
    <w:rsid w:val="00CA555C"/>
    <w:rsid w:val="00CB1F63"/>
    <w:rsid w:val="00CB2890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5118"/>
    <w:rsid w:val="00CE0424"/>
    <w:rsid w:val="00CE3232"/>
    <w:rsid w:val="00CE7561"/>
    <w:rsid w:val="00CF1354"/>
    <w:rsid w:val="00CF3985"/>
    <w:rsid w:val="00CF3B1F"/>
    <w:rsid w:val="00CF3BF6"/>
    <w:rsid w:val="00CF5475"/>
    <w:rsid w:val="00CF5B4C"/>
    <w:rsid w:val="00CF625B"/>
    <w:rsid w:val="00CF687E"/>
    <w:rsid w:val="00D00383"/>
    <w:rsid w:val="00D0349B"/>
    <w:rsid w:val="00D07A21"/>
    <w:rsid w:val="00D10249"/>
    <w:rsid w:val="00D105F4"/>
    <w:rsid w:val="00D115C3"/>
    <w:rsid w:val="00D11897"/>
    <w:rsid w:val="00D1290D"/>
    <w:rsid w:val="00D12C88"/>
    <w:rsid w:val="00D13135"/>
    <w:rsid w:val="00D13E4E"/>
    <w:rsid w:val="00D144B0"/>
    <w:rsid w:val="00D239A7"/>
    <w:rsid w:val="00D23F47"/>
    <w:rsid w:val="00D25097"/>
    <w:rsid w:val="00D35156"/>
    <w:rsid w:val="00D3670C"/>
    <w:rsid w:val="00D36E71"/>
    <w:rsid w:val="00D37D87"/>
    <w:rsid w:val="00D40B33"/>
    <w:rsid w:val="00D4318F"/>
    <w:rsid w:val="00D438BF"/>
    <w:rsid w:val="00D440F8"/>
    <w:rsid w:val="00D546FF"/>
    <w:rsid w:val="00D55AD5"/>
    <w:rsid w:val="00D5615E"/>
    <w:rsid w:val="00D576CA"/>
    <w:rsid w:val="00D611C5"/>
    <w:rsid w:val="00D61AF5"/>
    <w:rsid w:val="00D63EB4"/>
    <w:rsid w:val="00D65007"/>
    <w:rsid w:val="00D652B5"/>
    <w:rsid w:val="00D66155"/>
    <w:rsid w:val="00D708B0"/>
    <w:rsid w:val="00D7747D"/>
    <w:rsid w:val="00D779F7"/>
    <w:rsid w:val="00D77B1D"/>
    <w:rsid w:val="00D8021F"/>
    <w:rsid w:val="00D80383"/>
    <w:rsid w:val="00D823C6"/>
    <w:rsid w:val="00D82A33"/>
    <w:rsid w:val="00D8327F"/>
    <w:rsid w:val="00D85DFC"/>
    <w:rsid w:val="00D860C5"/>
    <w:rsid w:val="00D86CA3"/>
    <w:rsid w:val="00D871CE"/>
    <w:rsid w:val="00D9196D"/>
    <w:rsid w:val="00D922A3"/>
    <w:rsid w:val="00D92982"/>
    <w:rsid w:val="00DA08BE"/>
    <w:rsid w:val="00DA305E"/>
    <w:rsid w:val="00DA5417"/>
    <w:rsid w:val="00DA56E8"/>
    <w:rsid w:val="00DA7F17"/>
    <w:rsid w:val="00DB0A9F"/>
    <w:rsid w:val="00DB377D"/>
    <w:rsid w:val="00DB50CA"/>
    <w:rsid w:val="00DC2D36"/>
    <w:rsid w:val="00DC3897"/>
    <w:rsid w:val="00DC53EF"/>
    <w:rsid w:val="00DC6046"/>
    <w:rsid w:val="00DC6920"/>
    <w:rsid w:val="00DD5F3A"/>
    <w:rsid w:val="00DE5608"/>
    <w:rsid w:val="00DE58D0"/>
    <w:rsid w:val="00DE654F"/>
    <w:rsid w:val="00DF0B6E"/>
    <w:rsid w:val="00DF11F2"/>
    <w:rsid w:val="00DF15E0"/>
    <w:rsid w:val="00DF37A0"/>
    <w:rsid w:val="00E110E7"/>
    <w:rsid w:val="00E11B20"/>
    <w:rsid w:val="00E13863"/>
    <w:rsid w:val="00E176CE"/>
    <w:rsid w:val="00E17FA2"/>
    <w:rsid w:val="00E21CB7"/>
    <w:rsid w:val="00E22330"/>
    <w:rsid w:val="00E2735C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481"/>
    <w:rsid w:val="00E47AEF"/>
    <w:rsid w:val="00E519A0"/>
    <w:rsid w:val="00E53B75"/>
    <w:rsid w:val="00E54E3B"/>
    <w:rsid w:val="00E55909"/>
    <w:rsid w:val="00E57565"/>
    <w:rsid w:val="00E63838"/>
    <w:rsid w:val="00E64434"/>
    <w:rsid w:val="00E65BAE"/>
    <w:rsid w:val="00E67C51"/>
    <w:rsid w:val="00E72A4F"/>
    <w:rsid w:val="00E72B87"/>
    <w:rsid w:val="00E72EFC"/>
    <w:rsid w:val="00E758EC"/>
    <w:rsid w:val="00E77259"/>
    <w:rsid w:val="00E8234C"/>
    <w:rsid w:val="00E83AA9"/>
    <w:rsid w:val="00E85928"/>
    <w:rsid w:val="00E86B61"/>
    <w:rsid w:val="00E87822"/>
    <w:rsid w:val="00E90395"/>
    <w:rsid w:val="00E90E49"/>
    <w:rsid w:val="00E917F9"/>
    <w:rsid w:val="00E9291C"/>
    <w:rsid w:val="00E934E5"/>
    <w:rsid w:val="00E93739"/>
    <w:rsid w:val="00E93FFE"/>
    <w:rsid w:val="00E94F8A"/>
    <w:rsid w:val="00EA6E28"/>
    <w:rsid w:val="00EA7A41"/>
    <w:rsid w:val="00EB077B"/>
    <w:rsid w:val="00EB4EA2"/>
    <w:rsid w:val="00EC0882"/>
    <w:rsid w:val="00EC24D5"/>
    <w:rsid w:val="00EC27C6"/>
    <w:rsid w:val="00EC4207"/>
    <w:rsid w:val="00EC4258"/>
    <w:rsid w:val="00EC4447"/>
    <w:rsid w:val="00EC5653"/>
    <w:rsid w:val="00EC71CE"/>
    <w:rsid w:val="00ED02D2"/>
    <w:rsid w:val="00ED1006"/>
    <w:rsid w:val="00ED1948"/>
    <w:rsid w:val="00ED3351"/>
    <w:rsid w:val="00ED3EE2"/>
    <w:rsid w:val="00ED3F5F"/>
    <w:rsid w:val="00ED7673"/>
    <w:rsid w:val="00EE0AE4"/>
    <w:rsid w:val="00EE7790"/>
    <w:rsid w:val="00EF18FE"/>
    <w:rsid w:val="00EF5787"/>
    <w:rsid w:val="00EF60D0"/>
    <w:rsid w:val="00F0528D"/>
    <w:rsid w:val="00F06143"/>
    <w:rsid w:val="00F06C67"/>
    <w:rsid w:val="00F06DFD"/>
    <w:rsid w:val="00F071D1"/>
    <w:rsid w:val="00F07533"/>
    <w:rsid w:val="00F10629"/>
    <w:rsid w:val="00F117EF"/>
    <w:rsid w:val="00F1232B"/>
    <w:rsid w:val="00F13F58"/>
    <w:rsid w:val="00F15FA5"/>
    <w:rsid w:val="00F17907"/>
    <w:rsid w:val="00F209B7"/>
    <w:rsid w:val="00F2376F"/>
    <w:rsid w:val="00F243D8"/>
    <w:rsid w:val="00F27550"/>
    <w:rsid w:val="00F30828"/>
    <w:rsid w:val="00F313D6"/>
    <w:rsid w:val="00F36C4C"/>
    <w:rsid w:val="00F40F0C"/>
    <w:rsid w:val="00F41AD2"/>
    <w:rsid w:val="00F41FB7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5B9A"/>
    <w:rsid w:val="00F67F53"/>
    <w:rsid w:val="00F703BE"/>
    <w:rsid w:val="00F71F69"/>
    <w:rsid w:val="00F71FCB"/>
    <w:rsid w:val="00F72B72"/>
    <w:rsid w:val="00F74BB9"/>
    <w:rsid w:val="00F751C2"/>
    <w:rsid w:val="00F75582"/>
    <w:rsid w:val="00F76EFA"/>
    <w:rsid w:val="00F804BE"/>
    <w:rsid w:val="00F817CE"/>
    <w:rsid w:val="00F8456C"/>
    <w:rsid w:val="00F8560C"/>
    <w:rsid w:val="00F859D8"/>
    <w:rsid w:val="00F868F5"/>
    <w:rsid w:val="00F9056A"/>
    <w:rsid w:val="00F90F8D"/>
    <w:rsid w:val="00F92782"/>
    <w:rsid w:val="00F93AA9"/>
    <w:rsid w:val="00F958A3"/>
    <w:rsid w:val="00F95AFF"/>
    <w:rsid w:val="00F96245"/>
    <w:rsid w:val="00F96985"/>
    <w:rsid w:val="00F97838"/>
    <w:rsid w:val="00FA2BB3"/>
    <w:rsid w:val="00FB4C80"/>
    <w:rsid w:val="00FB6A6A"/>
    <w:rsid w:val="00FC200B"/>
    <w:rsid w:val="00FC7429"/>
    <w:rsid w:val="00FD07F6"/>
    <w:rsid w:val="00FD1159"/>
    <w:rsid w:val="00FD1EC8"/>
    <w:rsid w:val="00FD47ED"/>
    <w:rsid w:val="00FD74DB"/>
    <w:rsid w:val="00FD7660"/>
    <w:rsid w:val="00FE0004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18379"/>
  <w15:chartTrackingRefBased/>
  <w15:docId w15:val="{E4D88EFA-30FC-4948-801C-EBC5B7A58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874E34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9FDFF6D-75CA-4529-9ABC-4500EED5A6AD}"/>
</file>

<file path=customXml/itemProps4.xml><?xml version="1.0" encoding="utf-8"?>
<ds:datastoreItem xmlns:ds="http://schemas.openxmlformats.org/officeDocument/2006/customXml" ds:itemID="{20BC487F-8127-41F7-97AD-7AD08B772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2</Pages>
  <Words>676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4255</CharactersWithSpaces>
  <SharedDoc>false</SharedDoc>
  <HLinks>
    <vt:vector size="12" baseType="variant">
      <vt:variant>
        <vt:i4>2031671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_Toc32220169</vt:lpwstr>
      </vt:variant>
      <vt:variant>
        <vt:i4>1966135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_Toc32220168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Ajmal</cp:lastModifiedBy>
  <cp:revision>314</cp:revision>
  <cp:lastPrinted>2008-01-31T07:09:00Z</cp:lastPrinted>
  <dcterms:created xsi:type="dcterms:W3CDTF">2019-11-05T08:41:00Z</dcterms:created>
  <dcterms:modified xsi:type="dcterms:W3CDTF">2020-02-13T10:26:00Z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