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 xml:space="preserve">#109 electronic             </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w:t>
      </w:r>
      <w:r>
        <w:rPr>
          <w:rFonts w:hint="eastAsia" w:ascii="Arial" w:hAnsi="Arial" w:eastAsia="宋体" w:cs="Arial"/>
          <w:b/>
          <w:sz w:val="24"/>
          <w:szCs w:val="24"/>
          <w:lang w:val="en-US" w:eastAsia="zh-CN"/>
        </w:rPr>
        <w:t>2-2000513</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zh-CN" w:eastAsia="zh-CN"/>
        </w:rPr>
        <w:t>E</w:t>
      </w:r>
      <w:r>
        <w:rPr>
          <w:rFonts w:hint="eastAsia" w:ascii="Arial" w:hAnsi="Arial" w:eastAsia="宋体" w:cs="Arial"/>
          <w:b/>
          <w:sz w:val="24"/>
          <w:lang w:val="en-US" w:eastAsia="zh-CN"/>
        </w:rPr>
        <w:t>meeting</w:t>
      </w:r>
      <w:bookmarkStart w:id="0" w:name="_GoBack"/>
      <w:bookmarkEnd w:id="0"/>
      <w:r>
        <w:rPr>
          <w:rFonts w:hint="eastAsia" w:ascii="Arial" w:hAnsi="Arial" w:eastAsia="宋体" w:cs="Arial"/>
          <w:b/>
          <w:sz w:val="24"/>
          <w:lang w:val="zh-CN" w:eastAsia="zh-CN"/>
        </w:rPr>
        <w:t xml:space="preserve">, 24 Feb </w:t>
      </w:r>
      <w:r>
        <w:rPr>
          <w:rFonts w:hint="default" w:ascii="Arial" w:hAnsi="Arial" w:eastAsia="宋体" w:cs="Arial"/>
          <w:b/>
          <w:sz w:val="24"/>
          <w:lang w:val="zh-CN" w:eastAsia="zh-CN"/>
        </w:rPr>
        <w:t>–</w:t>
      </w:r>
      <w:r>
        <w:rPr>
          <w:rFonts w:hint="eastAsia" w:ascii="Arial" w:hAnsi="Arial" w:eastAsia="宋体" w:cs="Arial"/>
          <w:b/>
          <w:sz w:val="24"/>
          <w:lang w:val="zh-CN" w:eastAsia="zh-CN"/>
        </w:rPr>
        <w:t xml:space="preserve"> 6 Mar 2020</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6.8.2.1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keepNext w:val="0"/>
        <w:keepLines w:val="0"/>
        <w:pageBreakBefore w:val="0"/>
        <w:widowControl/>
        <w:kinsoku/>
        <w:wordWrap/>
        <w:overflowPunct/>
        <w:topLinePunct w:val="0"/>
        <w:autoSpaceDE/>
        <w:autoSpaceDN/>
        <w:bidi w:val="0"/>
        <w:adjustRightInd w:val="0"/>
        <w:snapToGrid w:val="0"/>
        <w:spacing w:after="60" w:line="264" w:lineRule="auto"/>
        <w:textAlignment w:val="auto"/>
        <w:rPr>
          <w:rFonts w:hint="eastAsia" w:eastAsiaTheme="minorEastAsia"/>
          <w:sz w:val="20"/>
          <w:szCs w:val="22"/>
          <w:lang w:val="en-US" w:eastAsia="zh-CN"/>
        </w:rPr>
      </w:pPr>
      <w:r>
        <w:rPr>
          <w:rFonts w:hint="eastAsia" w:eastAsiaTheme="minorEastAsia"/>
          <w:sz w:val="20"/>
          <w:szCs w:val="22"/>
          <w:lang w:val="en-US" w:eastAsia="zh-CN"/>
        </w:rPr>
        <w:t>On UL SRS for positioning, some initial agreements were achieved [1]:</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eastAsiaTheme="minorEastAsia"/>
          <w:i/>
          <w:iCs/>
          <w:sz w:val="20"/>
          <w:szCs w:val="22"/>
          <w:lang w:val="en-US"/>
        </w:rPr>
        <w:t>"</w:t>
      </w:r>
      <w:r>
        <w:rPr>
          <w:rFonts w:eastAsiaTheme="minorEastAsia"/>
          <w:i/>
          <w:iCs/>
          <w:sz w:val="20"/>
          <w:szCs w:val="22"/>
        </w:rPr>
        <w:t>SRS for positioning supports semi persistent configuration with MAC CE activation/deactivation, with SRS for positioning to be received at the serving cell and neighbour cell.</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eastAsiaTheme="minorEastAsia"/>
          <w:i/>
          <w:iCs/>
          <w:sz w:val="20"/>
          <w:szCs w:val="22"/>
        </w:rPr>
        <w:t>The aperiodic SRS for positioning is triggered by a DCI</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eastAsiaTheme="minorEastAsia"/>
          <w:i/>
          <w:iCs/>
          <w:sz w:val="20"/>
          <w:szCs w:val="22"/>
        </w:rPr>
      </w:pPr>
      <w:r>
        <w:rPr>
          <w:rFonts w:eastAsiaTheme="minorEastAsia"/>
          <w:i/>
          <w:iCs/>
          <w:sz w:val="20"/>
          <w:szCs w:val="22"/>
        </w:rPr>
        <w:t>-</w:t>
      </w:r>
      <w:r>
        <w:rPr>
          <w:rFonts w:eastAsiaTheme="minorEastAsia"/>
          <w:i/>
          <w:iCs/>
          <w:sz w:val="20"/>
          <w:szCs w:val="22"/>
        </w:rPr>
        <w:tab/>
      </w:r>
      <w:r>
        <w:rPr>
          <w:rFonts w:eastAsiaTheme="minorEastAsia"/>
          <w:i/>
          <w:iCs/>
          <w:sz w:val="20"/>
          <w:szCs w:val="22"/>
        </w:rPr>
        <w:t>There is no impact to Rel-15 DCI (reuse the triggers in place in rel-15)</w:t>
      </w:r>
    </w:p>
    <w:p>
      <w:pPr>
        <w:pStyle w:val="124"/>
        <w:keepNext w:val="0"/>
        <w:keepLines w:val="0"/>
        <w:pageBreakBefore w:val="0"/>
        <w:widowControl/>
        <w:numPr>
          <w:ilvl w:val="0"/>
          <w:numId w:val="0"/>
        </w:numPr>
        <w:kinsoku/>
        <w:wordWrap/>
        <w:overflowPunct w:val="0"/>
        <w:topLinePunct w:val="0"/>
        <w:autoSpaceDE w:val="0"/>
        <w:autoSpaceDN w:val="0"/>
        <w:bidi w:val="0"/>
        <w:adjustRightInd w:val="0"/>
        <w:snapToGrid w:val="0"/>
        <w:ind w:left="283" w:leftChars="0"/>
        <w:textAlignment w:val="baseline"/>
        <w:rPr>
          <w:rFonts w:hint="eastAsia" w:eastAsiaTheme="minorEastAsia"/>
          <w:i/>
          <w:iCs/>
          <w:sz w:val="20"/>
          <w:szCs w:val="22"/>
          <w:lang w:val="en-US" w:eastAsia="zh-CN"/>
        </w:rPr>
      </w:pPr>
      <w:r>
        <w:rPr>
          <w:rFonts w:eastAsiaTheme="minorEastAsia"/>
          <w:i/>
          <w:iCs/>
          <w:sz w:val="20"/>
          <w:szCs w:val="22"/>
        </w:rPr>
        <w:t>-</w:t>
      </w:r>
      <w:r>
        <w:rPr>
          <w:rFonts w:eastAsiaTheme="minorEastAsia"/>
          <w:i/>
          <w:iCs/>
          <w:sz w:val="20"/>
          <w:szCs w:val="22"/>
        </w:rPr>
        <w:tab/>
      </w:r>
      <w:r>
        <w:rPr>
          <w:rFonts w:eastAsiaTheme="minorEastAsia"/>
          <w:i/>
          <w:iCs/>
          <w:sz w:val="20"/>
          <w:szCs w:val="22"/>
        </w:rPr>
        <w:t>The support of the reception of aperiodic SRS for positioning by the neighbour cell, is up to decision by RAN2 and RAN3 working groups</w:t>
      </w:r>
      <w:r>
        <w:rPr>
          <w:rFonts w:eastAsiaTheme="minorEastAsia"/>
          <w:i/>
          <w:iCs/>
          <w:sz w:val="20"/>
          <w:szCs w:val="22"/>
          <w:lang w:val="en-US"/>
        </w:rPr>
        <w:t>"</w:t>
      </w:r>
    </w:p>
    <w:p>
      <w:pPr>
        <w:overflowPunct/>
        <w:autoSpaceDE/>
        <w:autoSpaceDN/>
        <w:snapToGrid w:val="0"/>
        <w:spacing w:afterLines="50" w:line="264" w:lineRule="auto"/>
        <w:textAlignment w:val="auto"/>
        <w:rPr>
          <w:rFonts w:hint="default" w:eastAsiaTheme="minorEastAsia"/>
          <w:sz w:val="20"/>
          <w:szCs w:val="22"/>
          <w:lang w:val="en-US" w:eastAsia="zh-CN"/>
        </w:rPr>
      </w:pPr>
      <w:r>
        <w:rPr>
          <w:rFonts w:hint="eastAsia" w:eastAsiaTheme="minorEastAsia"/>
          <w:sz w:val="20"/>
          <w:szCs w:val="22"/>
          <w:lang w:val="en-US" w:eastAsia="zh-CN"/>
        </w:rPr>
        <w:t xml:space="preserve">But different with </w:t>
      </w:r>
      <w:r>
        <w:rPr>
          <w:rFonts w:hint="default" w:eastAsiaTheme="minorEastAsia"/>
          <w:sz w:val="20"/>
          <w:szCs w:val="22"/>
          <w:lang w:val="en-US" w:eastAsia="zh-CN"/>
        </w:rPr>
        <w:t>“</w:t>
      </w:r>
      <w:r>
        <w:rPr>
          <w:rFonts w:hint="eastAsia" w:eastAsiaTheme="minorEastAsia"/>
          <w:sz w:val="20"/>
          <w:szCs w:val="22"/>
          <w:lang w:val="en-US" w:eastAsia="zh-CN"/>
        </w:rPr>
        <w:t>normal</w:t>
      </w:r>
      <w:r>
        <w:rPr>
          <w:rFonts w:hint="default" w:eastAsiaTheme="minorEastAsia"/>
          <w:sz w:val="20"/>
          <w:szCs w:val="22"/>
          <w:lang w:val="en-US" w:eastAsia="zh-CN"/>
        </w:rPr>
        <w:t>”</w:t>
      </w:r>
      <w:r>
        <w:rPr>
          <w:rFonts w:hint="eastAsia" w:eastAsiaTheme="minorEastAsia"/>
          <w:sz w:val="20"/>
          <w:szCs w:val="22"/>
          <w:lang w:val="en-US" w:eastAsia="zh-CN"/>
        </w:rPr>
        <w:t xml:space="preserve"> usages, positioning need to get neighbouring cells involved, so some procedures need to be enhanced. This paper mainly discuss the necessary procedure modification to use semi persistent and aperiodic SRS for positioning.</w:t>
      </w:r>
    </w:p>
    <w:p>
      <w:pPr>
        <w:pStyle w:val="2"/>
        <w:tabs>
          <w:tab w:val="left" w:pos="450"/>
          <w:tab w:val="clear" w:pos="612"/>
        </w:tabs>
        <w:ind w:hanging="612"/>
      </w:pPr>
      <w:r>
        <w:t>D</w:t>
      </w:r>
      <w:r>
        <w:rPr>
          <w:rFonts w:hint="eastAsia"/>
          <w:lang w:val="en-US" w:eastAsia="zh-CN"/>
        </w:rPr>
        <w:t xml:space="preserve">iscussion   </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To use semi persistent SRS and aperiodic SRS for positioning, the serving cell can activate and deactivate them by MAC CE signals/DCI and it can know when to measure SRS autonomously, but the neighbouring cell can not know whether the SRS resources for positioning are activated or not. Some signal exchange or predefined procedure is needed to endow neighbouring TRP reasonable behavior.</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Basically there are two solutions:</w:t>
      </w:r>
    </w:p>
    <w:p>
      <w:pPr>
        <w:widowControl w:val="0"/>
        <w:numPr>
          <w:ilvl w:val="0"/>
          <w:numId w:val="8"/>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Every time the serving gNB activate or deactivate the semi persistent or aperiodic SRS resource, it could inform the LMF since the LMF is the only node who knows which neighbouring TRP is involved in the positioning session. Then LMF trigger a NRPPa procedure to inform the neighbouring TRPs that the non-periodic SRS resources for positioning are activated or deactivated. The general procedure would be as figure 1:</w:t>
      </w:r>
    </w:p>
    <w:p>
      <w:pPr>
        <w:widowControl w:val="0"/>
        <w:numPr>
          <w:ilvl w:val="0"/>
          <w:numId w:val="0"/>
        </w:numPr>
        <w:snapToGrid w:val="0"/>
        <w:spacing w:before="120" w:after="120" w:line="276" w:lineRule="auto"/>
        <w:jc w:val="center"/>
      </w:pPr>
      <w:r>
        <w:drawing>
          <wp:inline distT="0" distB="0" distL="114300" distR="114300">
            <wp:extent cx="3163570" cy="3415030"/>
            <wp:effectExtent l="0" t="0" r="17780" b="1397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stretch>
                      <a:fillRect/>
                    </a:stretch>
                  </pic:blipFill>
                  <pic:spPr>
                    <a:xfrm>
                      <a:off x="0" y="0"/>
                      <a:ext cx="3163570" cy="3415030"/>
                    </a:xfrm>
                    <a:prstGeom prst="rect">
                      <a:avLst/>
                    </a:prstGeom>
                    <a:noFill/>
                    <a:ln w="9525">
                      <a:noFill/>
                    </a:ln>
                  </pic:spPr>
                </pic:pic>
              </a:graphicData>
            </a:graphic>
          </wp:inline>
        </w:drawing>
      </w:r>
    </w:p>
    <w:p>
      <w:pPr>
        <w:pStyle w:val="14"/>
        <w:widowControl w:val="0"/>
        <w:numPr>
          <w:ilvl w:val="0"/>
          <w:numId w:val="0"/>
        </w:numPr>
        <w:snapToGrid w:val="0"/>
        <w:spacing w:before="120" w:after="120" w:line="276" w:lineRule="auto"/>
        <w:jc w:val="center"/>
        <w:rPr>
          <w:rFonts w:hint="eastAsia" w:ascii="Times New Roman" w:hAnsi="Times New Roman" w:cs="Times New Roman" w:eastAsiaTheme="minorEastAsia"/>
          <w:b w:val="0"/>
          <w:bCs w:val="0"/>
          <w:sz w:val="20"/>
          <w:szCs w:val="22"/>
          <w:lang w:val="en-US" w:eastAsia="zh-CN" w:bidi="ar-SA"/>
        </w:rPr>
      </w:pPr>
      <w:r>
        <w:rPr>
          <w:rFonts w:hint="eastAsia" w:ascii="Times New Roman" w:hAnsi="Times New Roman" w:cs="Times New Roman" w:eastAsiaTheme="minorEastAsia"/>
          <w:b w:val="0"/>
          <w:bCs w:val="0"/>
          <w:sz w:val="20"/>
          <w:szCs w:val="22"/>
          <w:lang w:val="en-US" w:eastAsia="zh-CN" w:bidi="ar-SA"/>
        </w:rPr>
        <w:t>Figure 1</w:t>
      </w:r>
      <w:r>
        <w:rPr>
          <w:rFonts w:hint="eastAsia" w:cs="Times New Roman" w:eastAsiaTheme="minorEastAsia"/>
          <w:b w:val="0"/>
          <w:bCs w:val="0"/>
          <w:sz w:val="20"/>
          <w:szCs w:val="22"/>
          <w:lang w:val="en-US" w:eastAsia="zh-CN" w:bidi="ar-SA"/>
        </w:rPr>
        <w:t xml:space="preserve"> Solution 1 procedure</w:t>
      </w:r>
    </w:p>
    <w:p>
      <w:pPr>
        <w:widowControl w:val="0"/>
        <w:numPr>
          <w:ilvl w:val="0"/>
          <w:numId w:val="0"/>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1)The LMF sends an Information Request message indicating to gNB the need to invoke periodic, semi persistent and aperiodic SRS for target UE. The LMF may provide the gNB with a number of SRS transmissions and their recommended resource type. The final decision of SRS transmissions to be performed and their resource type is up to gNB implementation.</w:t>
      </w:r>
    </w:p>
    <w:p>
      <w:pPr>
        <w:widowControl w:val="0"/>
        <w:numPr>
          <w:ilvl w:val="0"/>
          <w:numId w:val="0"/>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2)The gNB determines the resources to be allocated for the UE and sends an Information Response to the LMF that includes the allocated resources and the associated parameters. The gNB may decide (e.g., in case no resources are available) to configure no resources for the UE and modify the periodic resource type to semi persistent/aperiodic ot the other way around and then report the resource configuration to the LMF.</w:t>
      </w:r>
    </w:p>
    <w:p>
      <w:pPr>
        <w:widowControl w:val="0"/>
        <w:numPr>
          <w:ilvl w:val="0"/>
          <w:numId w:val="0"/>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3)If in step 2 the gNB determines that resources will be allocated, the gNB then allocates the resources to the target UE.</w:t>
      </w:r>
    </w:p>
    <w:p>
      <w:pPr>
        <w:widowControl w:val="0"/>
        <w:numPr>
          <w:ilvl w:val="0"/>
          <w:numId w:val="0"/>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4)The LMF selects a set of TRPs to be used for the UL-TDOA positioning and sends a measurement request with the SRS configuration to each one of them to measure periodic SRS. </w:t>
      </w:r>
    </w:p>
    <w:p>
      <w:pPr>
        <w:widowControl w:val="0"/>
        <w:numPr>
          <w:ilvl w:val="0"/>
          <w:numId w:val="0"/>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5)The gNB activate the semi persistent/aperiodic SRS resources and then send the corresponding activated resource indication to the LMF.</w:t>
      </w:r>
    </w:p>
    <w:p>
      <w:pPr>
        <w:widowControl w:val="0"/>
        <w:numPr>
          <w:ilvl w:val="0"/>
          <w:numId w:val="0"/>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6)The LMF send the non-periodic SRS information to the TRP so that the TRP can measure the SRS.</w:t>
      </w:r>
    </w:p>
    <w:p>
      <w:pPr>
        <w:widowControl w:val="0"/>
        <w:numPr>
          <w:ilvl w:val="0"/>
          <w:numId w:val="0"/>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7)The TRP report back to LMF the SRS measurements.</w:t>
      </w:r>
    </w:p>
    <w:p>
      <w:pPr>
        <w:widowControl w:val="0"/>
        <w:numPr>
          <w:ilvl w:val="0"/>
          <w:numId w:val="0"/>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2. Solution 2 is that the possible non-periodic SRS resources are predefined in terms of time and frequency locations, and this could be informed to the neighbouring TRPs at the beginning of a positioning procedure. The TRP can decide to measure or not to measure the SRS at the possible locations.</w:t>
      </w:r>
    </w:p>
    <w:p>
      <w:pPr>
        <w:widowControl w:val="0"/>
        <w:numPr>
          <w:ilvl w:val="0"/>
          <w:numId w:val="0"/>
        </w:numPr>
        <w:snapToGrid w:val="0"/>
        <w:spacing w:before="120" w:after="120" w:line="276" w:lineRule="auto"/>
        <w:jc w:val="center"/>
      </w:pPr>
      <w:r>
        <w:drawing>
          <wp:inline distT="0" distB="0" distL="114300" distR="114300">
            <wp:extent cx="3556000" cy="2816860"/>
            <wp:effectExtent l="0" t="0" r="6350" b="254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6"/>
                    <a:stretch>
                      <a:fillRect/>
                    </a:stretch>
                  </pic:blipFill>
                  <pic:spPr>
                    <a:xfrm>
                      <a:off x="0" y="0"/>
                      <a:ext cx="3556000" cy="2816860"/>
                    </a:xfrm>
                    <a:prstGeom prst="rect">
                      <a:avLst/>
                    </a:prstGeom>
                    <a:noFill/>
                    <a:ln w="9525">
                      <a:noFill/>
                    </a:ln>
                  </pic:spPr>
                </pic:pic>
              </a:graphicData>
            </a:graphic>
          </wp:inline>
        </w:drawing>
      </w:r>
    </w:p>
    <w:p>
      <w:pPr>
        <w:pStyle w:val="14"/>
        <w:widowControl w:val="0"/>
        <w:numPr>
          <w:ilvl w:val="0"/>
          <w:numId w:val="0"/>
        </w:numPr>
        <w:snapToGrid w:val="0"/>
        <w:spacing w:before="120" w:after="120" w:line="276" w:lineRule="auto"/>
        <w:jc w:val="center"/>
        <w:rPr>
          <w:rFonts w:hint="eastAsia"/>
          <w:lang w:val="en-US" w:eastAsia="zh-CN"/>
        </w:rPr>
      </w:pPr>
      <w:r>
        <w:rPr>
          <w:rFonts w:hint="eastAsia" w:ascii="Times New Roman" w:hAnsi="Times New Roman" w:cs="Times New Roman" w:eastAsiaTheme="minorEastAsia"/>
          <w:b w:val="0"/>
          <w:bCs w:val="0"/>
          <w:sz w:val="20"/>
          <w:szCs w:val="22"/>
          <w:lang w:val="en-US" w:eastAsia="zh-CN" w:bidi="ar-SA"/>
        </w:rPr>
        <w:t xml:space="preserve">Figure </w:t>
      </w:r>
      <w:r>
        <w:rPr>
          <w:rFonts w:hint="eastAsia" w:cs="Times New Roman" w:eastAsiaTheme="minorEastAsia"/>
          <w:b w:val="0"/>
          <w:bCs w:val="0"/>
          <w:sz w:val="20"/>
          <w:szCs w:val="22"/>
          <w:lang w:val="en-US" w:eastAsia="zh-CN" w:bidi="ar-SA"/>
        </w:rPr>
        <w:t>2 Solution 2 procedure</w:t>
      </w:r>
    </w:p>
    <w:p>
      <w:pPr>
        <w:widowControl w:val="0"/>
        <w:numPr>
          <w:ilvl w:val="0"/>
          <w:numId w:val="0"/>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The first 3 procedures are same as solution 1,</w:t>
      </w:r>
    </w:p>
    <w:p>
      <w:pPr>
        <w:widowControl w:val="0"/>
        <w:numPr>
          <w:ilvl w:val="0"/>
          <w:numId w:val="9"/>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The LMF selects a set of TRPs to be used for the UL-TDOA positioning and sends a measurement request with all the periodic, semi persistent and aperiodic SRS configuration to each one of them. </w:t>
      </w:r>
    </w:p>
    <w:p>
      <w:pPr>
        <w:widowControl w:val="0"/>
        <w:numPr>
          <w:ilvl w:val="0"/>
          <w:numId w:val="9"/>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If periodic SRS resource for positioning is configured or the TRP successfully measured the non-periodic SRS, the TRP report back to LMF the SRS measurements. </w:t>
      </w:r>
    </w:p>
    <w:p>
      <w:pPr>
        <w:widowControl w:val="0"/>
        <w:numPr>
          <w:ilvl w:val="0"/>
          <w:numId w:val="0"/>
        </w:numPr>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 xml:space="preserve">Each solution has advantages and disadvantages, for solution 2, the possible non-periodic SRS resource configuration are transmitted to the TRPs before the gNB actually activate them, but the gNB may not activate the semi persistent or aperiodic SRS because of resource shortage, but the TRPs may still measure SRS for positioning at the possible locations, so it can not assure the success of measurement. But solution 1 will cause a lot of signal overhead, also the information transmission between gNB, LMF and TRP may cause much latency, the worst situation is that the TRP could not receive the SRS activation information before the SRS transmission. </w:t>
      </w:r>
    </w:p>
    <w:p>
      <w:pPr>
        <w:widowControl w:val="0"/>
        <w:numPr>
          <w:ilvl w:val="0"/>
          <w:numId w:val="0"/>
        </w:numPr>
        <w:snapToGrid w:val="0"/>
        <w:spacing w:before="120" w:after="120" w:line="276" w:lineRule="auto"/>
        <w:rPr>
          <w:rFonts w:hint="eastAsia" w:cs="Times New Roman" w:eastAsiaTheme="minorEastAsia"/>
          <w:b/>
          <w:bCs/>
          <w:sz w:val="20"/>
          <w:szCs w:val="22"/>
          <w:lang w:val="en-US" w:eastAsia="zh-CN"/>
        </w:rPr>
      </w:pPr>
      <w:r>
        <w:rPr>
          <w:rFonts w:hint="eastAsia" w:cs="Times New Roman" w:eastAsiaTheme="minorEastAsia"/>
          <w:b/>
          <w:bCs/>
          <w:sz w:val="20"/>
          <w:szCs w:val="22"/>
          <w:lang w:val="en-US" w:eastAsia="zh-CN"/>
        </w:rPr>
        <w:t>Proposal 1:Choose one of the above two solutions as UL-TDOA positioning procedure based on non-periodic positioning SRS resource.</w:t>
      </w:r>
    </w:p>
    <w:p>
      <w:pPr>
        <w:keepNext w:val="0"/>
        <w:keepLines w:val="0"/>
        <w:pageBreakBefore w:val="0"/>
        <w:widowControl w:val="0"/>
        <w:numPr>
          <w:ilvl w:val="0"/>
          <w:numId w:val="0"/>
        </w:numPr>
        <w:kinsoku/>
        <w:wordWrap/>
        <w:overflowPunct w:val="0"/>
        <w:topLinePunct w:val="0"/>
        <w:autoSpaceDE w:val="0"/>
        <w:autoSpaceDN w:val="0"/>
        <w:bidi w:val="0"/>
        <w:adjustRightInd w:val="0"/>
        <w:snapToGrid w:val="0"/>
        <w:spacing w:before="181" w:beforeLines="50" w:after="181" w:afterLines="50" w:line="240" w:lineRule="auto"/>
        <w:textAlignment w:val="baseline"/>
        <w:outlineLvl w:val="9"/>
        <w:rPr>
          <w:rFonts w:hint="eastAsia" w:cs="Times New Roman" w:eastAsiaTheme="minorEastAsia"/>
          <w:b/>
          <w:bCs/>
          <w:sz w:val="20"/>
          <w:szCs w:val="22"/>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provide the following proposal:</w:t>
      </w:r>
    </w:p>
    <w:p>
      <w:pPr>
        <w:widowControl w:val="0"/>
        <w:numPr>
          <w:ilvl w:val="0"/>
          <w:numId w:val="0"/>
        </w:numPr>
        <w:snapToGrid w:val="0"/>
        <w:spacing w:before="120" w:after="120" w:line="276" w:lineRule="auto"/>
        <w:rPr>
          <w:rFonts w:hint="eastAsia" w:cs="Times New Roman" w:eastAsiaTheme="minorEastAsia"/>
          <w:b/>
          <w:bCs/>
          <w:sz w:val="20"/>
          <w:szCs w:val="22"/>
          <w:lang w:val="en-US" w:eastAsia="zh-CN"/>
        </w:rPr>
      </w:pPr>
      <w:r>
        <w:rPr>
          <w:rFonts w:hint="eastAsia" w:cs="Times New Roman" w:eastAsiaTheme="minorEastAsia"/>
          <w:b/>
          <w:bCs/>
          <w:sz w:val="20"/>
          <w:szCs w:val="22"/>
          <w:lang w:val="en-US" w:eastAsia="zh-CN"/>
        </w:rPr>
        <w:t>Proposal 1:Choose one of the above two solutions as UL-TDOA positioning procedure based on non-periodic positioning SRS resource.</w:t>
      </w:r>
    </w:p>
    <w:p>
      <w:pPr>
        <w:snapToGrid w:val="0"/>
        <w:spacing w:after="120"/>
        <w:rPr>
          <w:rFonts w:hint="eastAsia" w:eastAsiaTheme="minorEastAsia"/>
          <w:sz w:val="20"/>
          <w:lang w:val="en-US" w:eastAsia="zh-CN"/>
        </w:rPr>
      </w:pPr>
    </w:p>
    <w:p>
      <w:pPr>
        <w:snapToGrid w:val="0"/>
        <w:spacing w:after="120"/>
        <w:rPr>
          <w:rFonts w:hint="eastAsia" w:ascii="Times New Roman" w:hAnsi="Times New Roman" w:cs="Times New Roman" w:eastAsiaTheme="minorEastAsia"/>
          <w:b/>
          <w:sz w:val="20"/>
          <w:szCs w:val="22"/>
          <w:lang w:val="en-US" w:eastAsia="zh-CN"/>
        </w:rPr>
      </w:pPr>
    </w:p>
    <w:p>
      <w:pPr>
        <w:snapToGrid w:val="0"/>
        <w:spacing w:after="120"/>
        <w:rPr>
          <w:rFonts w:hint="default" w:ascii="Times New Roman" w:hAnsi="Times New Roman" w:cs="Times New Roman" w:eastAsiaTheme="minorEastAsia"/>
          <w:b w:val="0"/>
          <w:bCs/>
          <w:i/>
          <w:iCs/>
          <w:sz w:val="20"/>
          <w:szCs w:val="22"/>
          <w:lang w:val="en-US" w:eastAsia="zh-CN"/>
        </w:rPr>
      </w:pP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r>
        <w:rPr>
          <w:rFonts w:hint="eastAsia" w:ascii="Times New Roman" w:hAnsi="Times New Roman" w:eastAsia="宋体" w:cs="Times New Roman"/>
          <w:b w:val="0"/>
          <w:bCs w:val="0"/>
          <w:sz w:val="20"/>
          <w:szCs w:val="22"/>
          <w:lang w:val="en-US" w:eastAsia="zh-CN"/>
        </w:rPr>
        <w:t>1</w:t>
      </w:r>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RAN1#9</w:t>
      </w:r>
      <w:r>
        <w:rPr>
          <w:rFonts w:hint="eastAsia" w:ascii="Times New Roman" w:hAnsi="Times New Roman" w:cs="Times New Roman"/>
          <w:b w:val="0"/>
          <w:bCs w:val="0"/>
          <w:sz w:val="20"/>
          <w:szCs w:val="22"/>
          <w:lang w:val="en-US" w:eastAsia="zh-CN"/>
        </w:rPr>
        <w:t>8</w:t>
      </w:r>
      <w:r>
        <w:rPr>
          <w:rFonts w:hint="eastAsia" w:ascii="Times New Roman" w:hAnsi="Times New Roman" w:eastAsia="宋体" w:cs="Times New Roman"/>
          <w:b w:val="0"/>
          <w:bCs w:val="0"/>
          <w:sz w:val="20"/>
          <w:szCs w:val="22"/>
          <w:lang w:val="en-US" w:eastAsia="zh-CN"/>
        </w:rPr>
        <w:t xml:space="preserve"> Chairman</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s Notes</w:t>
      </w:r>
    </w:p>
    <w:p>
      <w:pPr>
        <w:numPr>
          <w:ilvl w:val="0"/>
          <w:numId w:val="0"/>
        </w:numPr>
        <w:ind w:leftChars="0"/>
        <w:rPr>
          <w:rFonts w:hint="default"/>
          <w:lang w:val="en-US" w:eastAsia="zh-CN"/>
        </w:rPr>
      </w:pPr>
    </w:p>
    <w:p/>
    <w:p/>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Microsoft Sans Serif">
    <w:panose1 w:val="020B0604020202020204"/>
    <w:charset w:val="00"/>
    <w:family w:val="swiss"/>
    <w:pitch w:val="default"/>
    <w:sig w:usb0="E1002AFF" w:usb1="C0000002" w:usb2="00000008" w:usb3="00000000" w:csb0="200101FF" w:csb1="2028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Yu Gothic Light">
    <w:altName w:val="MS UI Gothic"/>
    <w:panose1 w:val="020B0300000000000000"/>
    <w:charset w:val="80"/>
    <w:family w:val="swiss"/>
    <w:pitch w:val="default"/>
    <w:sig w:usb0="00000000" w:usb1="00000000" w:usb2="00000016" w:usb3="00000000" w:csb0="0002009F" w:csb1="00000000"/>
  </w:font>
  <w:font w:name="Calibri Light">
    <w:altName w:val="Calibri"/>
    <w:panose1 w:val="020F0302020204030204"/>
    <w:charset w:val="00"/>
    <w:family w:val="swiss"/>
    <w:pitch w:val="default"/>
    <w:sig w:usb0="00000000" w:usb1="00000000" w:usb2="00000009" w:usb3="00000000" w:csb0="000001FF" w:csb1="00000000"/>
  </w:font>
  <w:font w:name="MS UI Gothic">
    <w:panose1 w:val="020B0600070205080204"/>
    <w:charset w:val="80"/>
    <w:family w:val="auto"/>
    <w:pitch w:val="default"/>
    <w:sig w:usb0="E00002FF" w:usb1="6AC7FDFB" w:usb2="00000012" w:usb3="00000000" w:csb0="4002009F" w:csb1="DFD70000"/>
  </w:font>
  <w:font w:name="FuturaA Bk BT">
    <w:altName w:val="Segoe UI"/>
    <w:panose1 w:val="00000000000000000000"/>
    <w:charset w:val="00"/>
    <w:family w:val="swiss"/>
    <w:pitch w:val="default"/>
    <w:sig w:usb0="00000000" w:usb1="00000000" w:usb2="00000000" w:usb3="00000000" w:csb0="0000001B"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 ??">
    <w:altName w:val="MS Mincho"/>
    <w:panose1 w:val="00000000000000000000"/>
    <w:charset w:val="80"/>
    <w:family w:val="roman"/>
    <w:pitch w:val="default"/>
    <w:sig w:usb0="00000000" w:usb1="00000000" w:usb2="00000010" w:usb3="00000000" w:csb0="0002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5">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E40EAF5"/>
    <w:multiLevelType w:val="singleLevel"/>
    <w:tmpl w:val="5E40EAF5"/>
    <w:lvl w:ilvl="0" w:tentative="0">
      <w:start w:val="1"/>
      <w:numFmt w:val="decimal"/>
      <w:suff w:val="space"/>
      <w:lvlText w:val="%1."/>
      <w:lvlJc w:val="left"/>
    </w:lvl>
  </w:abstractNum>
  <w:abstractNum w:abstractNumId="7">
    <w:nsid w:val="5E43EF9C"/>
    <w:multiLevelType w:val="singleLevel"/>
    <w:tmpl w:val="5E43EF9C"/>
    <w:lvl w:ilvl="0" w:tentative="0">
      <w:start w:val="4"/>
      <w:numFmt w:val="decimal"/>
      <w:suff w:val="nothing"/>
      <w:lvlText w:val="%1)"/>
      <w:lvlJc w:val="left"/>
    </w:lvl>
  </w:abstractNum>
  <w:abstractNum w:abstractNumId="8">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8"/>
  </w:num>
  <w:num w:numId="4">
    <w:abstractNumId w:val="4"/>
  </w:num>
  <w:num w:numId="5">
    <w:abstractNumId w:val="5"/>
  </w:num>
  <w:num w:numId="6">
    <w:abstractNumId w:val="2"/>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A14F20"/>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263651"/>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0F0DC8"/>
    <w:rsid w:val="246675EA"/>
    <w:rsid w:val="24717BD2"/>
    <w:rsid w:val="24E739CE"/>
    <w:rsid w:val="250A61E7"/>
    <w:rsid w:val="251C2851"/>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70331F"/>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B07AF3"/>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2330FB"/>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476F3"/>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5704F6"/>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1E17EF"/>
    <w:rsid w:val="548E36FB"/>
    <w:rsid w:val="549D4A24"/>
    <w:rsid w:val="54F10CE9"/>
    <w:rsid w:val="55D627FF"/>
    <w:rsid w:val="55E324E4"/>
    <w:rsid w:val="56433752"/>
    <w:rsid w:val="566D5688"/>
    <w:rsid w:val="56981D68"/>
    <w:rsid w:val="569829DD"/>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AA764C9"/>
    <w:rsid w:val="5B0608A4"/>
    <w:rsid w:val="5B5F18DD"/>
    <w:rsid w:val="5B657684"/>
    <w:rsid w:val="5B90527F"/>
    <w:rsid w:val="5B953D5C"/>
    <w:rsid w:val="5BF3281A"/>
    <w:rsid w:val="5C06741E"/>
    <w:rsid w:val="5C166AC8"/>
    <w:rsid w:val="5C407B49"/>
    <w:rsid w:val="5CF57A9E"/>
    <w:rsid w:val="5D397258"/>
    <w:rsid w:val="5D501017"/>
    <w:rsid w:val="5DD47A98"/>
    <w:rsid w:val="5DF45EBA"/>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7D82D45"/>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510C43"/>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basedOn w:val="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link w:val="127"/>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customStyle="1"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 w:type="paragraph" w:customStyle="1" w:styleId="126">
    <w:name w:val="3GPP Text"/>
    <w:basedOn w:val="1"/>
    <w:qFormat/>
    <w:uiPriority w:val="0"/>
    <w:pPr>
      <w:overflowPunct w:val="0"/>
      <w:autoSpaceDE w:val="0"/>
      <w:autoSpaceDN w:val="0"/>
      <w:adjustRightInd w:val="0"/>
      <w:spacing w:before="120" w:after="120" w:line="276" w:lineRule="auto"/>
      <w:jc w:val="both"/>
      <w:textAlignment w:val="baseline"/>
    </w:pPr>
    <w:rPr>
      <w:rFonts w:ascii="Times New Roman" w:hAnsi="Times New Roman" w:eastAsia="宋体"/>
      <w:sz w:val="22"/>
      <w:szCs w:val="20"/>
      <w:lang w:val="en-US"/>
    </w:rPr>
  </w:style>
  <w:style w:type="character" w:customStyle="1" w:styleId="127">
    <w:name w:val="标题 2 Char"/>
    <w:link w:val="3"/>
    <w:qFormat/>
    <w:uiPriority w:val="0"/>
    <w:rPr>
      <w:rFonts w:eastAsia="宋体" w:cs="Arial"/>
      <w:bCs/>
      <w:iCs/>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ScaleCrop>false</ScaleCrop>
  <LinksUpToDate>false</LinksUpToDate>
  <CharactersWithSpaces>13169</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2019-08-15T02:49:00Z</cp:lastPrinted>
  <dcterms:modified xsi:type="dcterms:W3CDTF">2020-02-14T04:02:03Z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