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0962C" w14:textId="5A085140" w:rsidR="00734A33" w:rsidRPr="00734A33" w:rsidRDefault="00734A33" w:rsidP="00734A33">
      <w:pPr>
        <w:widowControl w:val="0"/>
        <w:tabs>
          <w:tab w:val="left" w:pos="1701"/>
          <w:tab w:val="right" w:pos="9923"/>
        </w:tabs>
        <w:spacing w:before="120" w:after="0" w:line="240" w:lineRule="auto"/>
        <w:contextualSpacing w:val="0"/>
        <w:rPr>
          <w:rFonts w:ascii="Arial" w:eastAsia="MS Mincho" w:hAnsi="Arial"/>
          <w:b/>
          <w:sz w:val="24"/>
          <w:szCs w:val="24"/>
          <w:lang w:val="en-GB" w:eastAsia="en-GB"/>
        </w:rPr>
      </w:pPr>
      <w:r w:rsidRPr="00734A33">
        <w:rPr>
          <w:rFonts w:ascii="Arial" w:eastAsia="MS Mincho" w:hAnsi="Arial"/>
          <w:b/>
          <w:sz w:val="24"/>
          <w:szCs w:val="24"/>
          <w:lang w:val="en-GB" w:eastAsia="en-GB"/>
        </w:rPr>
        <w:t>3GPP TSG-RAN WG2 Meeting #109 electronic</w:t>
      </w:r>
      <w:r w:rsidRPr="00734A33">
        <w:rPr>
          <w:rFonts w:ascii="Arial" w:eastAsia="MS Mincho" w:hAnsi="Arial"/>
          <w:b/>
          <w:sz w:val="24"/>
          <w:szCs w:val="24"/>
          <w:lang w:val="en-GB" w:eastAsia="en-GB"/>
        </w:rPr>
        <w:tab/>
      </w:r>
      <w:r w:rsidR="009F34AF" w:rsidRPr="009F34AF">
        <w:rPr>
          <w:rFonts w:ascii="Arial" w:eastAsia="MS Mincho" w:hAnsi="Arial"/>
          <w:b/>
          <w:sz w:val="24"/>
          <w:szCs w:val="24"/>
          <w:lang w:val="en-GB" w:eastAsia="en-GB"/>
        </w:rPr>
        <w:t>R2-2000456</w:t>
      </w:r>
    </w:p>
    <w:p w14:paraId="1C5DFF00" w14:textId="77777777" w:rsidR="00734A33" w:rsidRPr="00734A33" w:rsidRDefault="00734A33" w:rsidP="00734A33">
      <w:pPr>
        <w:widowControl w:val="0"/>
        <w:tabs>
          <w:tab w:val="left" w:pos="1701"/>
          <w:tab w:val="right" w:pos="9923"/>
        </w:tabs>
        <w:spacing w:before="120" w:after="0" w:line="240" w:lineRule="auto"/>
        <w:contextualSpacing w:val="0"/>
        <w:rPr>
          <w:rFonts w:ascii="Arial" w:eastAsia="MS Mincho" w:hAnsi="Arial"/>
          <w:b/>
          <w:sz w:val="24"/>
          <w:szCs w:val="24"/>
          <w:lang w:val="en-GB" w:eastAsia="en-GB"/>
        </w:rPr>
      </w:pPr>
      <w:r w:rsidRPr="00734A33">
        <w:rPr>
          <w:rFonts w:ascii="Arial" w:hAnsi="Arial" w:cs="Arial"/>
          <w:b/>
          <w:sz w:val="24"/>
          <w:szCs w:val="24"/>
          <w:lang w:val="de-DE" w:eastAsia="zh-CN"/>
        </w:rPr>
        <w:t>Elbonia, 24 Feb – 6 Mar 2020</w:t>
      </w:r>
    </w:p>
    <w:p w14:paraId="55C6B092" w14:textId="22664923" w:rsidR="00D9071B" w:rsidRPr="00D9071B" w:rsidRDefault="00D9071B" w:rsidP="00D9071B">
      <w:pPr>
        <w:tabs>
          <w:tab w:val="left" w:pos="1701"/>
          <w:tab w:val="right" w:pos="9639"/>
        </w:tabs>
        <w:spacing w:after="240"/>
        <w:rPr>
          <w:rFonts w:cs="CG Times (WN)"/>
          <w:b/>
          <w:sz w:val="24"/>
        </w:rPr>
      </w:pPr>
      <w:r>
        <w:rPr>
          <w:rFonts w:cs="CG Times (WN)"/>
          <w:b/>
          <w:sz w:val="24"/>
        </w:rPr>
        <w:tab/>
      </w:r>
    </w:p>
    <w:p w14:paraId="4270A5C8" w14:textId="47B62880" w:rsidR="00D9071B" w:rsidRPr="00100B27" w:rsidRDefault="00D9071B" w:rsidP="00D9071B">
      <w:pPr>
        <w:pStyle w:val="3GPPHeader"/>
        <w:rPr>
          <w:sz w:val="22"/>
          <w:szCs w:val="22"/>
        </w:rPr>
      </w:pPr>
      <w:r w:rsidRPr="006E7DC0">
        <w:rPr>
          <w:sz w:val="22"/>
          <w:szCs w:val="22"/>
        </w:rPr>
        <w:t>Agenda Item:</w:t>
      </w:r>
      <w:r w:rsidRPr="006E7DC0">
        <w:rPr>
          <w:sz w:val="22"/>
          <w:szCs w:val="22"/>
        </w:rPr>
        <w:tab/>
      </w:r>
      <w:bookmarkStart w:id="0" w:name="_GoBack"/>
      <w:r>
        <w:rPr>
          <w:sz w:val="22"/>
          <w:szCs w:val="22"/>
        </w:rPr>
        <w:t>6.</w:t>
      </w:r>
      <w:r w:rsidR="00CA117F">
        <w:rPr>
          <w:sz w:val="22"/>
          <w:szCs w:val="22"/>
        </w:rPr>
        <w:t>4.2.1</w:t>
      </w:r>
      <w:bookmarkEnd w:id="0"/>
    </w:p>
    <w:p w14:paraId="7694D434" w14:textId="77777777" w:rsidR="00D9071B" w:rsidRPr="00100B27" w:rsidRDefault="00D9071B" w:rsidP="00D9071B">
      <w:pPr>
        <w:pStyle w:val="3GPPHeader"/>
        <w:rPr>
          <w:sz w:val="22"/>
          <w:szCs w:val="22"/>
        </w:rPr>
      </w:pPr>
      <w:r w:rsidRPr="00100B27">
        <w:rPr>
          <w:sz w:val="22"/>
          <w:szCs w:val="22"/>
        </w:rPr>
        <w:t>Source:</w:t>
      </w:r>
      <w:r w:rsidRPr="00100B27">
        <w:rPr>
          <w:sz w:val="22"/>
          <w:szCs w:val="22"/>
        </w:rPr>
        <w:tab/>
      </w:r>
      <w:r w:rsidRPr="000B20F8">
        <w:rPr>
          <w:sz w:val="22"/>
          <w:szCs w:val="22"/>
        </w:rPr>
        <w:t>Intel Corporati</w:t>
      </w:r>
      <w:r>
        <w:rPr>
          <w:sz w:val="22"/>
          <w:szCs w:val="22"/>
        </w:rPr>
        <w:t>on</w:t>
      </w:r>
    </w:p>
    <w:p w14:paraId="469DB3F8" w14:textId="6020AC20" w:rsidR="00D9071B" w:rsidRPr="00100B27" w:rsidRDefault="00D9071B" w:rsidP="00D9071B">
      <w:pPr>
        <w:pStyle w:val="3GPPHeader"/>
        <w:rPr>
          <w:sz w:val="22"/>
          <w:szCs w:val="22"/>
        </w:rPr>
      </w:pPr>
      <w:r w:rsidRPr="00100B27">
        <w:rPr>
          <w:sz w:val="22"/>
          <w:szCs w:val="22"/>
        </w:rPr>
        <w:t>Title:</w:t>
      </w:r>
      <w:r w:rsidRPr="00100B27">
        <w:rPr>
          <w:sz w:val="22"/>
          <w:szCs w:val="22"/>
        </w:rPr>
        <w:tab/>
      </w:r>
      <w:r w:rsidR="00DE0789" w:rsidRPr="00DE0789">
        <w:rPr>
          <w:sz w:val="22"/>
          <w:szCs w:val="22"/>
        </w:rPr>
        <w:t xml:space="preserve">Open aspects on mode 2 </w:t>
      </w:r>
      <w:r w:rsidR="004C4D6F">
        <w:rPr>
          <w:sz w:val="22"/>
          <w:szCs w:val="22"/>
        </w:rPr>
        <w:t>operation</w:t>
      </w:r>
    </w:p>
    <w:p w14:paraId="2B0E0C48" w14:textId="77777777" w:rsidR="00D9071B" w:rsidRPr="00CE0424" w:rsidRDefault="00D9071B" w:rsidP="00D9071B">
      <w:pPr>
        <w:pStyle w:val="3GPPHeader"/>
        <w:rPr>
          <w:sz w:val="22"/>
          <w:szCs w:val="22"/>
        </w:rPr>
      </w:pPr>
      <w:r w:rsidRPr="00100B27">
        <w:rPr>
          <w:sz w:val="22"/>
          <w:szCs w:val="22"/>
        </w:rPr>
        <w:t>Document for:</w:t>
      </w:r>
      <w:r w:rsidRPr="00100B27">
        <w:rPr>
          <w:sz w:val="22"/>
          <w:szCs w:val="22"/>
        </w:rPr>
        <w:tab/>
        <w:t>Discussion, Decision</w:t>
      </w:r>
    </w:p>
    <w:p w14:paraId="50A28E99" w14:textId="77777777" w:rsidR="008669B1" w:rsidRPr="00E0063E" w:rsidRDefault="008669B1" w:rsidP="000760CC">
      <w:pPr>
        <w:pStyle w:val="Tdoc"/>
      </w:pPr>
      <w:r w:rsidRPr="00E0063E">
        <w:t>Introduction</w:t>
      </w:r>
      <w:r w:rsidRPr="00E0063E">
        <w:rPr>
          <w:lang w:val="en-GB"/>
        </w:rPr>
        <w:t xml:space="preserve">  </w:t>
      </w:r>
    </w:p>
    <w:p w14:paraId="44D5D7B5" w14:textId="3A7A8007" w:rsidR="001F6AD1" w:rsidRPr="00C11F0A"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During </w:t>
      </w:r>
      <w:r w:rsidR="003B1EC8">
        <w:rPr>
          <w:rFonts w:ascii="Times New Roman" w:hAnsi="Times New Roman"/>
          <w:sz w:val="20"/>
          <w:szCs w:val="20"/>
          <w:lang w:eastAsia="zh-CN"/>
        </w:rPr>
        <w:t xml:space="preserve">the last meeting, there was not much discussion on mode 2 operation. While the overall design is stable </w:t>
      </w:r>
      <w:proofErr w:type="gramStart"/>
      <w:r w:rsidR="003B1EC8">
        <w:rPr>
          <w:rFonts w:ascii="Times New Roman" w:hAnsi="Times New Roman"/>
          <w:sz w:val="20"/>
          <w:szCs w:val="20"/>
          <w:lang w:eastAsia="zh-CN"/>
        </w:rPr>
        <w:t>at the moment</w:t>
      </w:r>
      <w:proofErr w:type="gramEnd"/>
      <w:r w:rsidR="003B1EC8">
        <w:rPr>
          <w:rFonts w:ascii="Times New Roman" w:hAnsi="Times New Roman"/>
          <w:sz w:val="20"/>
          <w:szCs w:val="20"/>
          <w:lang w:eastAsia="zh-CN"/>
        </w:rPr>
        <w:t>, there are still some unresolved issues that we think require further discussion</w:t>
      </w:r>
      <w:r w:rsidR="008D28E8">
        <w:rPr>
          <w:rFonts w:ascii="Times New Roman" w:hAnsi="Times New Roman"/>
          <w:sz w:val="20"/>
          <w:szCs w:val="20"/>
          <w:lang w:eastAsia="ja-JP"/>
        </w:rPr>
        <w:t xml:space="preserve">. In this contribution, we analyze </w:t>
      </w:r>
      <w:r w:rsidR="003B1EC8">
        <w:rPr>
          <w:rFonts w:ascii="Times New Roman" w:hAnsi="Times New Roman"/>
          <w:sz w:val="20"/>
          <w:szCs w:val="20"/>
          <w:lang w:eastAsia="ja-JP"/>
        </w:rPr>
        <w:t>some of these</w:t>
      </w:r>
      <w:r w:rsidR="008D28E8">
        <w:rPr>
          <w:rFonts w:ascii="Times New Roman" w:hAnsi="Times New Roman"/>
          <w:sz w:val="20"/>
          <w:szCs w:val="20"/>
          <w:lang w:eastAsia="ja-JP"/>
        </w:rPr>
        <w:t xml:space="preserve"> aspect</w:t>
      </w:r>
      <w:r w:rsidR="003B1EC8">
        <w:rPr>
          <w:rFonts w:ascii="Times New Roman" w:hAnsi="Times New Roman"/>
          <w:sz w:val="20"/>
          <w:szCs w:val="20"/>
          <w:lang w:eastAsia="ja-JP"/>
        </w:rPr>
        <w:t>s</w:t>
      </w:r>
      <w:r w:rsidR="008D28E8">
        <w:rPr>
          <w:rFonts w:ascii="Times New Roman" w:hAnsi="Times New Roman"/>
          <w:sz w:val="20"/>
          <w:szCs w:val="20"/>
          <w:lang w:eastAsia="ja-JP"/>
        </w:rPr>
        <w:t xml:space="preserve"> and present our view.</w:t>
      </w:r>
    </w:p>
    <w:p w14:paraId="5424CCC2" w14:textId="00423616" w:rsidR="00A3213E" w:rsidRPr="003B1EC8" w:rsidRDefault="000760CC" w:rsidP="00305CD5">
      <w:pPr>
        <w:pStyle w:val="Tdoc"/>
      </w:pPr>
      <w:r>
        <w:t>Discussion</w:t>
      </w:r>
    </w:p>
    <w:p w14:paraId="208E505F" w14:textId="01C11089" w:rsidR="00453F36" w:rsidRPr="00453F36" w:rsidRDefault="00453F36" w:rsidP="00453F36">
      <w:pPr>
        <w:pStyle w:val="ListParagraph"/>
        <w:widowControl w:val="0"/>
        <w:numPr>
          <w:ilvl w:val="1"/>
          <w:numId w:val="44"/>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Zone based resource pool configuration</w:t>
      </w:r>
    </w:p>
    <w:p w14:paraId="01B20D8D" w14:textId="77777777" w:rsidR="00453F36" w:rsidRDefault="00453F36" w:rsidP="00453F36">
      <w:pPr>
        <w:rPr>
          <w:rFonts w:ascii="Times New Roman" w:hAnsi="Times New Roman"/>
          <w:sz w:val="20"/>
          <w:szCs w:val="20"/>
          <w:lang w:val="en-GB" w:eastAsia="en-GB"/>
        </w:rPr>
      </w:pPr>
    </w:p>
    <w:p w14:paraId="2E21A799" w14:textId="2B5DC29D" w:rsidR="003B1EC8" w:rsidRDefault="00453F36" w:rsidP="00453F36">
      <w:pPr>
        <w:rPr>
          <w:rFonts w:ascii="Times New Roman" w:hAnsi="Times New Roman"/>
          <w:sz w:val="20"/>
          <w:szCs w:val="20"/>
          <w:lang w:val="en-GB" w:eastAsia="en-GB"/>
        </w:rPr>
      </w:pPr>
      <w:r>
        <w:rPr>
          <w:rFonts w:ascii="Times New Roman" w:hAnsi="Times New Roman"/>
          <w:sz w:val="20"/>
          <w:szCs w:val="20"/>
          <w:lang w:val="en-GB" w:eastAsia="en-GB"/>
        </w:rPr>
        <w:t xml:space="preserve">In the last RAN2 meeting, the usage of </w:t>
      </w:r>
      <w:r w:rsidR="00FE1357">
        <w:rPr>
          <w:rFonts w:ascii="Times New Roman" w:hAnsi="Times New Roman"/>
          <w:sz w:val="20"/>
          <w:szCs w:val="20"/>
          <w:lang w:val="en-GB" w:eastAsia="en-GB"/>
        </w:rPr>
        <w:t xml:space="preserve">geographical </w:t>
      </w:r>
      <w:r>
        <w:rPr>
          <w:rFonts w:ascii="Times New Roman" w:hAnsi="Times New Roman"/>
          <w:sz w:val="20"/>
          <w:szCs w:val="20"/>
          <w:lang w:val="en-GB" w:eastAsia="en-GB"/>
        </w:rPr>
        <w:t xml:space="preserve">zone </w:t>
      </w:r>
      <w:r w:rsidR="00FE1357">
        <w:rPr>
          <w:rFonts w:ascii="Times New Roman" w:hAnsi="Times New Roman"/>
          <w:sz w:val="20"/>
          <w:szCs w:val="20"/>
          <w:lang w:val="en-GB" w:eastAsia="en-GB"/>
        </w:rPr>
        <w:t>ID</w:t>
      </w:r>
      <w:r>
        <w:rPr>
          <w:rFonts w:ascii="Times New Roman" w:hAnsi="Times New Roman"/>
          <w:sz w:val="20"/>
          <w:szCs w:val="20"/>
          <w:lang w:val="en-GB" w:eastAsia="en-GB"/>
        </w:rPr>
        <w:t xml:space="preserve"> configuration similar to LTE was agreed in order to be able to provide </w:t>
      </w:r>
      <w:r w:rsidR="00FE1357">
        <w:rPr>
          <w:rFonts w:ascii="Times New Roman" w:hAnsi="Times New Roman"/>
          <w:sz w:val="20"/>
          <w:szCs w:val="20"/>
          <w:lang w:val="en-GB" w:eastAsia="en-GB"/>
        </w:rPr>
        <w:t>zone ID to the physical layer as part of the QoS information associated to the transmission of a MAC PDU</w:t>
      </w:r>
      <w:r w:rsidR="003B1EC8">
        <w:rPr>
          <w:rFonts w:ascii="Times New Roman" w:hAnsi="Times New Roman"/>
          <w:sz w:val="20"/>
          <w:szCs w:val="20"/>
          <w:lang w:val="en-GB" w:eastAsia="en-GB"/>
        </w:rPr>
        <w:t xml:space="preserve"> </w:t>
      </w:r>
      <w:sdt>
        <w:sdtPr>
          <w:rPr>
            <w:rFonts w:ascii="Times New Roman" w:hAnsi="Times New Roman"/>
            <w:sz w:val="20"/>
            <w:szCs w:val="20"/>
            <w:lang w:val="en-GB" w:eastAsia="en-GB"/>
          </w:rPr>
          <w:id w:val="-473067515"/>
          <w:citation/>
        </w:sdtPr>
        <w:sdtEndPr/>
        <w:sdtContent>
          <w:r w:rsidR="003B1EC8">
            <w:rPr>
              <w:rFonts w:ascii="Times New Roman" w:hAnsi="Times New Roman"/>
              <w:sz w:val="20"/>
              <w:szCs w:val="20"/>
              <w:lang w:val="en-GB" w:eastAsia="en-GB"/>
            </w:rPr>
            <w:fldChar w:fldCharType="begin"/>
          </w:r>
          <w:r w:rsidR="003B1EC8">
            <w:rPr>
              <w:rFonts w:ascii="Times New Roman" w:hAnsi="Times New Roman"/>
              <w:sz w:val="20"/>
              <w:szCs w:val="20"/>
              <w:lang w:eastAsia="en-GB"/>
            </w:rPr>
            <w:instrText xml:space="preserve"> CITATION RAN2108 \l 1033 </w:instrText>
          </w:r>
          <w:r w:rsidR="003B1EC8">
            <w:rPr>
              <w:rFonts w:ascii="Times New Roman" w:hAnsi="Times New Roman"/>
              <w:sz w:val="20"/>
              <w:szCs w:val="20"/>
              <w:lang w:val="en-GB" w:eastAsia="en-GB"/>
            </w:rPr>
            <w:fldChar w:fldCharType="separate"/>
          </w:r>
          <w:r w:rsidR="003B1EC8" w:rsidRPr="003B1EC8">
            <w:rPr>
              <w:rFonts w:ascii="Times New Roman" w:hAnsi="Times New Roman"/>
              <w:noProof/>
              <w:sz w:val="20"/>
              <w:szCs w:val="20"/>
              <w:lang w:eastAsia="en-GB"/>
            </w:rPr>
            <w:t>[1]</w:t>
          </w:r>
          <w:r w:rsidR="003B1EC8">
            <w:rPr>
              <w:rFonts w:ascii="Times New Roman" w:hAnsi="Times New Roman"/>
              <w:sz w:val="20"/>
              <w:szCs w:val="20"/>
              <w:lang w:val="en-GB" w:eastAsia="en-GB"/>
            </w:rPr>
            <w:fldChar w:fldCharType="end"/>
          </w:r>
        </w:sdtContent>
      </w:sdt>
      <w:r w:rsidR="00FE1357">
        <w:rPr>
          <w:rFonts w:ascii="Times New Roman" w:hAnsi="Times New Roman"/>
          <w:sz w:val="20"/>
          <w:szCs w:val="20"/>
          <w:lang w:val="en-GB" w:eastAsia="en-GB"/>
        </w:rPr>
        <w:t xml:space="preserve">. </w:t>
      </w:r>
    </w:p>
    <w:p w14:paraId="6EF89EF7" w14:textId="25059B7B" w:rsidR="003B1EC8" w:rsidRDefault="003B1EC8" w:rsidP="00453F36">
      <w:pPr>
        <w:rPr>
          <w:rFonts w:ascii="Times New Roman" w:hAnsi="Times New Roman"/>
          <w:sz w:val="20"/>
          <w:szCs w:val="20"/>
          <w:lang w:val="en-GB" w:eastAsia="en-GB"/>
        </w:rPr>
      </w:pPr>
    </w:p>
    <w:p w14:paraId="71432FBA"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3B1EC8">
        <w:rPr>
          <w:rFonts w:ascii="Arial" w:eastAsia="MS Mincho" w:hAnsi="Arial"/>
          <w:sz w:val="20"/>
          <w:szCs w:val="24"/>
          <w:lang w:val="en-GB" w:eastAsia="en-GB"/>
        </w:rPr>
        <w:t xml:space="preserve">Agreements on MAC: </w:t>
      </w:r>
    </w:p>
    <w:p w14:paraId="398AF492"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sz w:val="20"/>
          <w:szCs w:val="24"/>
          <w:lang w:val="en-GB" w:eastAsia="en-GB"/>
        </w:rPr>
        <w:t xml:space="preserve">1: </w:t>
      </w:r>
      <w:r w:rsidRPr="003B1EC8">
        <w:rPr>
          <w:rFonts w:ascii="Arial" w:eastAsia="MS Mincho" w:hAnsi="Arial"/>
          <w:sz w:val="20"/>
          <w:szCs w:val="24"/>
          <w:lang w:val="en-GB" w:eastAsia="en-GB"/>
        </w:rPr>
        <w:tab/>
      </w:r>
      <w:r w:rsidRPr="003B1EC8">
        <w:rPr>
          <w:rFonts w:ascii="Arial" w:eastAsia="MS Mincho" w:hAnsi="Arial"/>
          <w:noProof/>
          <w:sz w:val="20"/>
          <w:szCs w:val="24"/>
          <w:lang w:val="en-GB" w:eastAsia="en-GB"/>
        </w:rPr>
        <w:t>For all cast-types, Layer-1 Destination ID corresponds to the 16 bit LSB of the Destination Layer-2 ID, and the Layer-1 Source ID corresponds to the 8 bit LSB of the Source Layer-2 ID.</w:t>
      </w:r>
    </w:p>
    <w:p w14:paraId="22D56493"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lang w:val="en-GB" w:eastAsia="en-GB"/>
        </w:rPr>
        <w:t>2:</w:t>
      </w:r>
      <w:r w:rsidRPr="003B1EC8">
        <w:rPr>
          <w:rFonts w:ascii="Arial" w:eastAsia="MS Mincho" w:hAnsi="Arial"/>
          <w:noProof/>
          <w:sz w:val="20"/>
          <w:szCs w:val="24"/>
          <w:lang w:val="en-GB" w:eastAsia="en-GB"/>
        </w:rPr>
        <w:tab/>
        <w:t>The DST field includes 8 bit MSB of the Destination Layer-2 ID and the SRC field includes 16 bit MSB of the Source Layer-2 ID for the SL-SCH subheader of a MAC PDU to be transmitted to the peer UE.</w:t>
      </w:r>
    </w:p>
    <w:p w14:paraId="6F802594"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highlight w:val="yellow"/>
          <w:lang w:val="en-GB" w:eastAsia="en-GB"/>
        </w:rPr>
        <w:t>3a:</w:t>
      </w:r>
      <w:r w:rsidRPr="003B1EC8">
        <w:rPr>
          <w:rFonts w:ascii="Arial" w:eastAsia="MS Mincho" w:hAnsi="Arial"/>
          <w:noProof/>
          <w:sz w:val="20"/>
          <w:szCs w:val="24"/>
          <w:highlight w:val="yellow"/>
          <w:lang w:val="en-GB" w:eastAsia="en-GB"/>
        </w:rPr>
        <w:tab/>
        <w:t>Zone ID determination is based on the formulae specified in 36.331 as UE’s location information. And we will ask to RAN1 if any problem with this way.</w:t>
      </w:r>
    </w:p>
    <w:p w14:paraId="222E983A"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highlight w:val="yellow"/>
          <w:lang w:val="en-GB" w:eastAsia="en-GB"/>
        </w:rPr>
        <w:t>3b:</w:t>
      </w:r>
      <w:r w:rsidRPr="003B1EC8">
        <w:rPr>
          <w:rFonts w:ascii="Arial" w:eastAsia="MS Mincho" w:hAnsi="Arial"/>
          <w:noProof/>
          <w:sz w:val="20"/>
          <w:szCs w:val="24"/>
          <w:highlight w:val="yellow"/>
          <w:lang w:val="en-GB" w:eastAsia="en-GB"/>
        </w:rPr>
        <w:tab/>
        <w:t>Formulae is specified in 38.331 and 38.321 specification refers 38.331, and MAC will indicate zone id to L1.</w:t>
      </w:r>
    </w:p>
    <w:p w14:paraId="7092AD7A"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lang w:val="en-GB" w:eastAsia="en-GB"/>
        </w:rPr>
        <w:t>4a:</w:t>
      </w:r>
      <w:r w:rsidRPr="003B1EC8">
        <w:rPr>
          <w:rFonts w:ascii="Arial" w:eastAsia="MS Mincho" w:hAnsi="Arial"/>
          <w:noProof/>
          <w:sz w:val="20"/>
          <w:szCs w:val="24"/>
          <w:lang w:val="en-GB" w:eastAsia="en-GB"/>
        </w:rPr>
        <w:tab/>
        <w:t>For V2X, the number of LCH priorities is 3bits.</w:t>
      </w:r>
    </w:p>
    <w:p w14:paraId="46161B4E"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sz w:val="20"/>
          <w:szCs w:val="24"/>
          <w:lang w:val="en-GB" w:eastAsia="en-GB"/>
        </w:rPr>
        <w:t>4b:</w:t>
      </w:r>
      <w:r w:rsidRPr="003B1EC8">
        <w:rPr>
          <w:rFonts w:ascii="Arial" w:eastAsia="MS Mincho" w:hAnsi="Arial"/>
          <w:sz w:val="20"/>
          <w:szCs w:val="24"/>
          <w:lang w:val="en-GB" w:eastAsia="en-GB"/>
        </w:rPr>
        <w:tab/>
      </w:r>
      <w:r w:rsidRPr="003B1EC8">
        <w:rPr>
          <w:rFonts w:ascii="Arial" w:eastAsia="MS Mincho" w:hAnsi="Arial"/>
          <w:noProof/>
          <w:sz w:val="20"/>
          <w:szCs w:val="24"/>
          <w:lang w:val="en-GB" w:eastAsia="en-GB"/>
        </w:rPr>
        <w:t>The priority indicated in a SCI is derived from the value of the highest priority of logical channels served by a MAC PDU to be transmitted on PSSCH scheduled by the SCI.</w:t>
      </w:r>
    </w:p>
    <w:p w14:paraId="59224E16"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lang w:val="en-GB" w:eastAsia="en-GB"/>
        </w:rPr>
        <w:t>5:</w:t>
      </w:r>
      <w:r w:rsidRPr="003B1EC8">
        <w:rPr>
          <w:rFonts w:ascii="Arial" w:eastAsia="MS Mincho" w:hAnsi="Arial"/>
          <w:noProof/>
          <w:sz w:val="20"/>
          <w:szCs w:val="24"/>
          <w:lang w:val="en-GB" w:eastAsia="en-GB"/>
        </w:rPr>
        <w:tab/>
        <w:t>If there is no unoccupied Sidelink process in the Sidelink HARQ entity, when a new TB arrives, how to handle RX buffer management is up to UE implementation.</w:t>
      </w:r>
    </w:p>
    <w:p w14:paraId="141A782A"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lang w:val="en-GB" w:eastAsia="en-GB"/>
        </w:rPr>
        <w:t>6:</w:t>
      </w:r>
      <w:r w:rsidRPr="003B1EC8">
        <w:rPr>
          <w:rFonts w:ascii="Arial" w:eastAsia="MS Mincho" w:hAnsi="Arial"/>
          <w:noProof/>
          <w:sz w:val="20"/>
          <w:szCs w:val="24"/>
          <w:lang w:val="en-GB" w:eastAsia="en-GB"/>
        </w:rPr>
        <w:tab/>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14:paraId="56809263"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lang w:val="en-GB" w:eastAsia="en-GB"/>
        </w:rPr>
        <w:t>7:</w:t>
      </w:r>
      <w:r w:rsidRPr="003B1EC8">
        <w:rPr>
          <w:rFonts w:ascii="Arial" w:eastAsia="MS Mincho" w:hAnsi="Arial"/>
          <w:noProof/>
          <w:sz w:val="20"/>
          <w:szCs w:val="24"/>
          <w:lang w:val="en-GB" w:eastAsia="en-GB"/>
        </w:rPr>
        <w:tab/>
        <w:t>The logical channel with disabling the HARQ feedback cannot be multiplexed with a logical channel which enabling the HARQ feedback.</w:t>
      </w:r>
    </w:p>
    <w:p w14:paraId="1D7CC379"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lang w:val="en-GB" w:eastAsia="en-GB"/>
        </w:rPr>
        <w:t>8:</w:t>
      </w:r>
      <w:r w:rsidRPr="003B1EC8">
        <w:rPr>
          <w:rFonts w:ascii="Arial" w:eastAsia="MS Mincho" w:hAnsi="Arial"/>
          <w:noProof/>
          <w:sz w:val="20"/>
          <w:szCs w:val="24"/>
          <w:lang w:val="en-GB" w:eastAsia="en-GB"/>
        </w:rPr>
        <w:tab/>
        <w:t>Up to 8 configured grants (including both configured grant type1 and type2) in mode1 can be configured and active for NR sidelink communication (working assumption). Running 38.321 will specify something like “[8]”</w:t>
      </w:r>
    </w:p>
    <w:p w14:paraId="5663B4D3"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lang w:val="en-GB" w:eastAsia="en-GB"/>
        </w:rPr>
        <w:t>9:</w:t>
      </w:r>
      <w:r w:rsidRPr="003B1EC8">
        <w:rPr>
          <w:rFonts w:ascii="Arial" w:eastAsia="MS Mincho" w:hAnsi="Arial"/>
          <w:noProof/>
          <w:sz w:val="20"/>
          <w:szCs w:val="24"/>
          <w:lang w:val="en-GB" w:eastAsia="en-GB"/>
        </w:rPr>
        <w:tab/>
        <w:t>Configured grant Type 1 and Type 2 can be simultanesouly configured for a UE in NR sidelink communication.</w:t>
      </w:r>
    </w:p>
    <w:p w14:paraId="4A1CE183"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3B1EC8">
        <w:rPr>
          <w:rFonts w:ascii="Arial" w:eastAsia="MS Mincho" w:hAnsi="Arial"/>
          <w:noProof/>
          <w:sz w:val="20"/>
          <w:szCs w:val="24"/>
          <w:lang w:val="en-GB" w:eastAsia="en-GB"/>
        </w:rPr>
        <w:t>10:</w:t>
      </w:r>
      <w:r w:rsidRPr="003B1EC8">
        <w:rPr>
          <w:rFonts w:ascii="Arial" w:eastAsia="MS Mincho" w:hAnsi="Arial"/>
          <w:noProof/>
          <w:sz w:val="20"/>
          <w:szCs w:val="24"/>
          <w:lang w:val="en-GB" w:eastAsia="en-GB"/>
        </w:rPr>
        <w:tab/>
        <w:t>The Sidelink Configured Grant Confirmation MAC CE is identified by a MAC subheader with a new LCID value.</w:t>
      </w:r>
    </w:p>
    <w:p w14:paraId="510436C8" w14:textId="77777777" w:rsidR="003B1EC8" w:rsidRPr="003B1EC8" w:rsidRDefault="003B1EC8" w:rsidP="003B1EC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3B1EC8">
        <w:rPr>
          <w:rFonts w:ascii="Arial" w:eastAsia="MS Mincho" w:hAnsi="Arial"/>
          <w:noProof/>
          <w:sz w:val="20"/>
          <w:szCs w:val="24"/>
          <w:lang w:val="en-GB" w:eastAsia="en-GB"/>
        </w:rPr>
        <w:lastRenderedPageBreak/>
        <w:t>11:</w:t>
      </w:r>
      <w:r w:rsidRPr="003B1EC8">
        <w:rPr>
          <w:rFonts w:ascii="Arial" w:eastAsia="MS Mincho" w:hAnsi="Arial"/>
          <w:noProof/>
          <w:sz w:val="20"/>
          <w:szCs w:val="24"/>
          <w:lang w:val="en-GB" w:eastAsia="en-GB"/>
        </w:rPr>
        <w:tab/>
        <w:t>The Sidelink Configured Grant Confirmation MAC CE is one octet in size. Each of total 8 bits corresponds to a confirmation to activation or deactivation of a configured grant. Each bit will indicate each configured grant index (working assumption). Running 38.321 will specify something like “[8]”</w:t>
      </w:r>
    </w:p>
    <w:p w14:paraId="632A9460" w14:textId="77777777" w:rsidR="003B1EC8" w:rsidRDefault="003B1EC8" w:rsidP="00453F36">
      <w:pPr>
        <w:rPr>
          <w:rFonts w:ascii="Times New Roman" w:hAnsi="Times New Roman"/>
          <w:sz w:val="20"/>
          <w:szCs w:val="20"/>
          <w:lang w:val="en-GB" w:eastAsia="en-GB"/>
        </w:rPr>
      </w:pPr>
    </w:p>
    <w:p w14:paraId="5B59F47F" w14:textId="77777777" w:rsidR="003B1EC8" w:rsidRDefault="003B1EC8" w:rsidP="00453F36">
      <w:pPr>
        <w:rPr>
          <w:rFonts w:ascii="Times New Roman" w:hAnsi="Times New Roman"/>
          <w:sz w:val="20"/>
          <w:szCs w:val="20"/>
          <w:lang w:val="en-GB" w:eastAsia="en-GB"/>
        </w:rPr>
      </w:pPr>
    </w:p>
    <w:p w14:paraId="2A177E5D" w14:textId="056E1192" w:rsidR="00453F36" w:rsidRDefault="00FE1357" w:rsidP="00453F36">
      <w:pPr>
        <w:rPr>
          <w:rFonts w:ascii="Times New Roman" w:hAnsi="Times New Roman"/>
          <w:sz w:val="20"/>
          <w:szCs w:val="20"/>
          <w:lang w:val="en-GB" w:eastAsia="en-GB"/>
        </w:rPr>
      </w:pPr>
      <w:r>
        <w:rPr>
          <w:rFonts w:ascii="Times New Roman" w:hAnsi="Times New Roman"/>
          <w:sz w:val="20"/>
          <w:szCs w:val="20"/>
          <w:lang w:val="en-GB" w:eastAsia="en-GB"/>
        </w:rPr>
        <w:t>Essentially, the zone ID shall be used at the physical layer for determining the distance between the TX/RX UE for the purpose of checking if HARQ A/N needs to be sent</w:t>
      </w:r>
      <w:r w:rsidR="00453F36" w:rsidRPr="00453F36">
        <w:rPr>
          <w:rFonts w:ascii="Times New Roman" w:hAnsi="Times New Roman"/>
          <w:sz w:val="20"/>
          <w:szCs w:val="20"/>
          <w:lang w:val="en-GB" w:eastAsia="en-GB"/>
        </w:rPr>
        <w:t>.</w:t>
      </w:r>
      <w:r>
        <w:rPr>
          <w:rFonts w:ascii="Times New Roman" w:hAnsi="Times New Roman"/>
          <w:sz w:val="20"/>
          <w:szCs w:val="20"/>
          <w:lang w:val="en-GB" w:eastAsia="en-GB"/>
        </w:rPr>
        <w:t xml:space="preserve"> The zone shapes and size and the mechanism and equation to determine a UE’</w:t>
      </w:r>
      <w:r w:rsidR="003B1EC8">
        <w:rPr>
          <w:rFonts w:ascii="Times New Roman" w:hAnsi="Times New Roman"/>
          <w:sz w:val="20"/>
          <w:szCs w:val="20"/>
          <w:lang w:val="en-GB" w:eastAsia="en-GB"/>
        </w:rPr>
        <w:t>s</w:t>
      </w:r>
      <w:r>
        <w:rPr>
          <w:rFonts w:ascii="Times New Roman" w:hAnsi="Times New Roman"/>
          <w:sz w:val="20"/>
          <w:szCs w:val="20"/>
          <w:lang w:val="en-GB" w:eastAsia="en-GB"/>
        </w:rPr>
        <w:t xml:space="preserve"> zone ID is based on LTE and is captured in the 38.331 running CR. However, it should be noted that while the equation used is the same, the purpose in NR V2X is very different from LTE, where zone configuration was tied to </w:t>
      </w:r>
      <w:proofErr w:type="gramStart"/>
      <w:r>
        <w:rPr>
          <w:rFonts w:ascii="Times New Roman" w:hAnsi="Times New Roman"/>
          <w:sz w:val="20"/>
          <w:szCs w:val="20"/>
          <w:lang w:val="en-GB" w:eastAsia="en-GB"/>
        </w:rPr>
        <w:t>particular resource</w:t>
      </w:r>
      <w:proofErr w:type="gramEnd"/>
      <w:r>
        <w:rPr>
          <w:rFonts w:ascii="Times New Roman" w:hAnsi="Times New Roman"/>
          <w:sz w:val="20"/>
          <w:szCs w:val="20"/>
          <w:lang w:val="en-GB" w:eastAsia="en-GB"/>
        </w:rPr>
        <w:t xml:space="preserve"> pools to restrict UEs in out of coverage scenarios to use specific resource pools for sidelink operation. Conversely, RAN1 or RAN2 has not made any agreement on whether the same shall be applicable for NR V2X resource pools as well. In our view, since we have already agreed to use the same exact mechanism for determining the zone ID for V2X UE, we can also consider whether the </w:t>
      </w:r>
      <w:r w:rsidR="003B1EC8">
        <w:rPr>
          <w:rFonts w:ascii="Times New Roman" w:hAnsi="Times New Roman"/>
          <w:sz w:val="20"/>
          <w:szCs w:val="20"/>
          <w:lang w:val="en-GB" w:eastAsia="en-GB"/>
        </w:rPr>
        <w:t>zone-based</w:t>
      </w:r>
      <w:r>
        <w:rPr>
          <w:rFonts w:ascii="Times New Roman" w:hAnsi="Times New Roman"/>
          <w:sz w:val="20"/>
          <w:szCs w:val="20"/>
          <w:lang w:val="en-GB" w:eastAsia="en-GB"/>
        </w:rPr>
        <w:t xml:space="preserve"> resource pool configuration shall also be reused from LTE V2X. Clearly, there are benefits regarding resource </w:t>
      </w:r>
      <w:r w:rsidR="00024A5D">
        <w:rPr>
          <w:rFonts w:ascii="Times New Roman" w:hAnsi="Times New Roman"/>
          <w:sz w:val="20"/>
          <w:szCs w:val="20"/>
          <w:lang w:val="en-GB" w:eastAsia="en-GB"/>
        </w:rPr>
        <w:t xml:space="preserve">utilization </w:t>
      </w:r>
      <w:r>
        <w:rPr>
          <w:rFonts w:ascii="Times New Roman" w:hAnsi="Times New Roman"/>
          <w:sz w:val="20"/>
          <w:szCs w:val="20"/>
          <w:lang w:val="en-GB" w:eastAsia="en-GB"/>
        </w:rPr>
        <w:t xml:space="preserve">and we see limited specification impact of reusing the LTE functionality for this purpose. Therefore, we propose to use the </w:t>
      </w:r>
      <w:r w:rsidR="003B1EC8">
        <w:rPr>
          <w:rFonts w:ascii="Times New Roman" w:hAnsi="Times New Roman"/>
          <w:sz w:val="20"/>
          <w:szCs w:val="20"/>
          <w:lang w:val="en-GB" w:eastAsia="en-GB"/>
        </w:rPr>
        <w:t>zone-based</w:t>
      </w:r>
      <w:r>
        <w:rPr>
          <w:rFonts w:ascii="Times New Roman" w:hAnsi="Times New Roman"/>
          <w:sz w:val="20"/>
          <w:szCs w:val="20"/>
          <w:lang w:val="en-GB" w:eastAsia="en-GB"/>
        </w:rPr>
        <w:t xml:space="preserve"> resource pool configuration for NR sidelink as well.</w:t>
      </w:r>
    </w:p>
    <w:p w14:paraId="63FB0AF7" w14:textId="30E0A483" w:rsidR="00FE1357" w:rsidRDefault="00FE1357" w:rsidP="00453F36">
      <w:pPr>
        <w:rPr>
          <w:rFonts w:ascii="Times New Roman" w:hAnsi="Times New Roman"/>
          <w:sz w:val="20"/>
          <w:szCs w:val="20"/>
          <w:lang w:val="en-GB" w:eastAsia="en-GB"/>
        </w:rPr>
      </w:pPr>
    </w:p>
    <w:p w14:paraId="05863D6B" w14:textId="4BAE1860" w:rsidR="00FE1357" w:rsidRDefault="00FE1357" w:rsidP="00FE135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sidRPr="009F34AF">
        <w:rPr>
          <w:rFonts w:ascii="Times New Roman" w:eastAsia="Times New Roman" w:hAnsi="Times New Roman"/>
          <w:b/>
          <w:i/>
          <w:sz w:val="20"/>
          <w:szCs w:val="20"/>
          <w:lang w:val="en-GB" w:eastAsia="zh-CN"/>
        </w:rPr>
        <w:t xml:space="preserve">RAN2 is suggested to consider reusing the geographical </w:t>
      </w:r>
      <w:r w:rsidR="003B1EC8" w:rsidRPr="009F34AF">
        <w:rPr>
          <w:rFonts w:ascii="Times New Roman" w:eastAsia="Times New Roman" w:hAnsi="Times New Roman"/>
          <w:b/>
          <w:i/>
          <w:sz w:val="20"/>
          <w:szCs w:val="20"/>
          <w:lang w:val="en-GB" w:eastAsia="zh-CN"/>
        </w:rPr>
        <w:t>zone-based</w:t>
      </w:r>
      <w:r w:rsidRPr="009F34AF">
        <w:rPr>
          <w:rFonts w:ascii="Times New Roman" w:eastAsia="Times New Roman" w:hAnsi="Times New Roman"/>
          <w:b/>
          <w:i/>
          <w:sz w:val="20"/>
          <w:szCs w:val="20"/>
          <w:lang w:val="en-GB" w:eastAsia="zh-CN"/>
        </w:rPr>
        <w:t xml:space="preserve"> resource pool configuration for NR V2X sidelink operation, </w:t>
      </w:r>
      <w:proofErr w:type="gramStart"/>
      <w:r w:rsidRPr="009F34AF">
        <w:rPr>
          <w:rFonts w:ascii="Times New Roman" w:eastAsia="Times New Roman" w:hAnsi="Times New Roman"/>
          <w:b/>
          <w:i/>
          <w:sz w:val="20"/>
          <w:szCs w:val="20"/>
          <w:lang w:val="en-GB" w:eastAsia="zh-CN"/>
        </w:rPr>
        <w:t>similar to</w:t>
      </w:r>
      <w:proofErr w:type="gramEnd"/>
      <w:r w:rsidRPr="009F34AF">
        <w:rPr>
          <w:rFonts w:ascii="Times New Roman" w:eastAsia="Times New Roman" w:hAnsi="Times New Roman"/>
          <w:b/>
          <w:i/>
          <w:sz w:val="20"/>
          <w:szCs w:val="20"/>
          <w:lang w:val="en-GB" w:eastAsia="zh-CN"/>
        </w:rPr>
        <w:t xml:space="preserve"> LTE V2X.</w:t>
      </w:r>
    </w:p>
    <w:p w14:paraId="3513F5F4" w14:textId="77777777" w:rsidR="00FE1357" w:rsidRPr="00453F36" w:rsidRDefault="00FE1357" w:rsidP="00453F36">
      <w:pPr>
        <w:rPr>
          <w:rFonts w:ascii="Times New Roman" w:hAnsi="Times New Roman"/>
          <w:sz w:val="20"/>
          <w:szCs w:val="20"/>
          <w:lang w:val="en-GB" w:eastAsia="en-GB"/>
        </w:rPr>
      </w:pPr>
    </w:p>
    <w:p w14:paraId="6BF1A98E" w14:textId="58F46B53" w:rsidR="00453F36" w:rsidRDefault="00453F36" w:rsidP="00453F36">
      <w:pPr>
        <w:pStyle w:val="ListParagraph"/>
        <w:widowControl w:val="0"/>
        <w:numPr>
          <w:ilvl w:val="1"/>
          <w:numId w:val="44"/>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Cast dependent exceptional pools</w:t>
      </w:r>
    </w:p>
    <w:p w14:paraId="31029A82" w14:textId="77777777" w:rsidR="00453F36" w:rsidRDefault="00453F36" w:rsidP="00453F36">
      <w:pPr>
        <w:rPr>
          <w:rFonts w:ascii="Times New Roman" w:hAnsi="Times New Roman"/>
          <w:sz w:val="20"/>
          <w:lang w:val="en-GB" w:eastAsia="zh-CN"/>
        </w:rPr>
      </w:pPr>
    </w:p>
    <w:p w14:paraId="4BEE32AF" w14:textId="673C5EE5" w:rsidR="00453F36" w:rsidRDefault="00453F36" w:rsidP="00453F36">
      <w:pPr>
        <w:rPr>
          <w:rFonts w:ascii="Times New Roman" w:eastAsia="Times New Roman" w:hAnsi="Times New Roman"/>
          <w:sz w:val="20"/>
          <w:szCs w:val="20"/>
          <w:lang w:val="en-GB" w:eastAsia="ja-JP"/>
        </w:rPr>
      </w:pPr>
      <w:r>
        <w:rPr>
          <w:rFonts w:ascii="Times New Roman" w:hAnsi="Times New Roman"/>
          <w:sz w:val="20"/>
          <w:lang w:val="en-GB" w:eastAsia="zh-CN"/>
        </w:rPr>
        <w:t xml:space="preserve">The other outstanding aspect from the last meeting is </w:t>
      </w:r>
      <w:proofErr w:type="gramStart"/>
      <w:r>
        <w:rPr>
          <w:rFonts w:ascii="Times New Roman" w:hAnsi="Times New Roman"/>
          <w:sz w:val="20"/>
          <w:lang w:val="en-GB" w:eastAsia="zh-CN"/>
        </w:rPr>
        <w:t>whether or not</w:t>
      </w:r>
      <w:proofErr w:type="gramEnd"/>
      <w:r>
        <w:rPr>
          <w:rFonts w:ascii="Times New Roman" w:hAnsi="Times New Roman"/>
          <w:sz w:val="20"/>
          <w:lang w:val="en-GB" w:eastAsia="zh-CN"/>
        </w:rPr>
        <w:t xml:space="preserve"> cast-depending exceptional pools should be considered. In previous discussions, this aspect has been left pending on RAN1 discussions</w:t>
      </w:r>
      <w:r>
        <w:rPr>
          <w:rFonts w:ascii="Times New Roman" w:eastAsia="Times New Roman" w:hAnsi="Times New Roman"/>
          <w:sz w:val="20"/>
          <w:szCs w:val="20"/>
          <w:lang w:val="en-GB" w:eastAsia="ja-JP"/>
        </w:rPr>
        <w:t xml:space="preserve">. In this regard, RAN1 made the following agreements in </w:t>
      </w:r>
      <w:r w:rsidR="00FE1357">
        <w:rPr>
          <w:rFonts w:ascii="Times New Roman" w:eastAsia="Times New Roman" w:hAnsi="Times New Roman"/>
          <w:sz w:val="20"/>
          <w:szCs w:val="20"/>
          <w:lang w:val="en-GB" w:eastAsia="ja-JP"/>
        </w:rPr>
        <w:t>RAN1</w:t>
      </w:r>
      <w:r w:rsidR="003B1EC8">
        <w:rPr>
          <w:rFonts w:ascii="Times New Roman" w:eastAsia="Times New Roman" w:hAnsi="Times New Roman"/>
          <w:sz w:val="20"/>
          <w:szCs w:val="20"/>
          <w:lang w:val="en-GB" w:eastAsia="ja-JP"/>
        </w:rPr>
        <w:t xml:space="preserve">#97 </w:t>
      </w:r>
      <w:sdt>
        <w:sdtPr>
          <w:rPr>
            <w:rFonts w:ascii="Times New Roman" w:eastAsia="Times New Roman" w:hAnsi="Times New Roman"/>
            <w:sz w:val="20"/>
            <w:szCs w:val="20"/>
            <w:lang w:val="en-GB" w:eastAsia="ja-JP"/>
          </w:rPr>
          <w:id w:val="2067923409"/>
          <w:citation/>
        </w:sdtPr>
        <w:sdtEndPr/>
        <w:sdtContent>
          <w:r w:rsidR="003B1EC8">
            <w:rPr>
              <w:rFonts w:ascii="Times New Roman" w:eastAsia="Times New Roman" w:hAnsi="Times New Roman"/>
              <w:sz w:val="20"/>
              <w:szCs w:val="20"/>
              <w:lang w:val="en-GB" w:eastAsia="ja-JP"/>
            </w:rPr>
            <w:fldChar w:fldCharType="begin"/>
          </w:r>
          <w:r w:rsidR="003B1EC8">
            <w:rPr>
              <w:rFonts w:ascii="Times New Roman" w:eastAsia="Times New Roman" w:hAnsi="Times New Roman"/>
              <w:sz w:val="20"/>
              <w:szCs w:val="20"/>
              <w:lang w:eastAsia="ja-JP"/>
            </w:rPr>
            <w:instrText xml:space="preserve"> CITATION RAN197 \l 1033 </w:instrText>
          </w:r>
          <w:r w:rsidR="003B1EC8">
            <w:rPr>
              <w:rFonts w:ascii="Times New Roman" w:eastAsia="Times New Roman" w:hAnsi="Times New Roman"/>
              <w:sz w:val="20"/>
              <w:szCs w:val="20"/>
              <w:lang w:val="en-GB" w:eastAsia="ja-JP"/>
            </w:rPr>
            <w:fldChar w:fldCharType="separate"/>
          </w:r>
          <w:r w:rsidR="003B1EC8" w:rsidRPr="003B1EC8">
            <w:rPr>
              <w:rFonts w:ascii="Times New Roman" w:eastAsia="Times New Roman" w:hAnsi="Times New Roman"/>
              <w:noProof/>
              <w:sz w:val="20"/>
              <w:szCs w:val="20"/>
              <w:lang w:eastAsia="ja-JP"/>
            </w:rPr>
            <w:t>[2]</w:t>
          </w:r>
          <w:r w:rsidR="003B1EC8">
            <w:rPr>
              <w:rFonts w:ascii="Times New Roman" w:eastAsia="Times New Roman" w:hAnsi="Times New Roman"/>
              <w:sz w:val="20"/>
              <w:szCs w:val="20"/>
              <w:lang w:val="en-GB" w:eastAsia="ja-JP"/>
            </w:rPr>
            <w:fldChar w:fldCharType="end"/>
          </w:r>
        </w:sdtContent>
      </w:sdt>
      <w:r w:rsidR="003B1EC8">
        <w:rPr>
          <w:rFonts w:ascii="Times New Roman" w:eastAsia="Times New Roman" w:hAnsi="Times New Roman"/>
          <w:sz w:val="20"/>
          <w:szCs w:val="20"/>
          <w:lang w:val="en-GB" w:eastAsia="ja-JP"/>
        </w:rPr>
        <w:t>:</w:t>
      </w:r>
    </w:p>
    <w:tbl>
      <w:tblPr>
        <w:tblStyle w:val="TableGrid"/>
        <w:tblW w:w="0" w:type="auto"/>
        <w:tblLook w:val="04A0" w:firstRow="1" w:lastRow="0" w:firstColumn="1" w:lastColumn="0" w:noHBand="0" w:noVBand="1"/>
      </w:tblPr>
      <w:tblGrid>
        <w:gridCol w:w="9629"/>
      </w:tblGrid>
      <w:tr w:rsidR="00453F36" w14:paraId="742F5635" w14:textId="77777777" w:rsidTr="00453F36">
        <w:tc>
          <w:tcPr>
            <w:tcW w:w="9629" w:type="dxa"/>
            <w:tcBorders>
              <w:top w:val="single" w:sz="4" w:space="0" w:color="auto"/>
              <w:left w:val="single" w:sz="4" w:space="0" w:color="auto"/>
              <w:bottom w:val="single" w:sz="4" w:space="0" w:color="auto"/>
              <w:right w:val="single" w:sz="4" w:space="0" w:color="auto"/>
            </w:tcBorders>
            <w:hideMark/>
          </w:tcPr>
          <w:p w14:paraId="0C1B4C07" w14:textId="77777777" w:rsidR="00453F36" w:rsidRDefault="00453F36">
            <w:pPr>
              <w:spacing w:after="0" w:line="240" w:lineRule="auto"/>
              <w:rPr>
                <w:rFonts w:ascii="Times" w:eastAsia="Batang" w:hAnsi="Times"/>
                <w:sz w:val="20"/>
                <w:szCs w:val="20"/>
                <w:lang w:val="en-GB" w:eastAsia="x-none"/>
              </w:rPr>
            </w:pPr>
            <w:r>
              <w:rPr>
                <w:rFonts w:ascii="Times" w:eastAsia="Batang" w:hAnsi="Times"/>
                <w:sz w:val="20"/>
                <w:szCs w:val="20"/>
                <w:highlight w:val="green"/>
                <w:lang w:val="en-GB" w:eastAsia="x-none"/>
              </w:rPr>
              <w:t>Agreements</w:t>
            </w:r>
            <w:r>
              <w:rPr>
                <w:rFonts w:ascii="Times" w:eastAsia="Batang" w:hAnsi="Times"/>
                <w:sz w:val="20"/>
                <w:szCs w:val="20"/>
                <w:lang w:val="en-GB" w:eastAsia="x-none"/>
              </w:rPr>
              <w:t>:</w:t>
            </w:r>
          </w:p>
          <w:p w14:paraId="0E4063F7" w14:textId="77777777" w:rsidR="00453F36" w:rsidRDefault="00453F36" w:rsidP="00453F36">
            <w:pPr>
              <w:numPr>
                <w:ilvl w:val="0"/>
                <w:numId w:val="45"/>
              </w:numPr>
              <w:spacing w:after="0" w:line="360" w:lineRule="auto"/>
              <w:jc w:val="both"/>
              <w:rPr>
                <w:rFonts w:ascii="Times New Roman" w:eastAsia="DengXian" w:hAnsi="Times New Roman"/>
                <w:sz w:val="20"/>
                <w:szCs w:val="20"/>
                <w:lang w:eastAsia="ko-KR"/>
              </w:rPr>
            </w:pPr>
            <w:r>
              <w:rPr>
                <w:rFonts w:ascii="Times New Roman" w:eastAsia="DengXian" w:hAnsi="Times New Roman"/>
                <w:sz w:val="20"/>
                <w:szCs w:val="20"/>
                <w:lang w:eastAsia="ko-KR"/>
              </w:rPr>
              <w:t xml:space="preserve">In physical layer perspective, a (pre-)configured resource pool can be used for </w:t>
            </w:r>
            <w:proofErr w:type="gramStart"/>
            <w:r>
              <w:rPr>
                <w:rFonts w:ascii="Times New Roman" w:eastAsia="DengXian" w:hAnsi="Times New Roman"/>
                <w:sz w:val="20"/>
                <w:szCs w:val="20"/>
                <w:lang w:eastAsia="ko-KR"/>
              </w:rPr>
              <w:t>all of</w:t>
            </w:r>
            <w:proofErr w:type="gramEnd"/>
            <w:r>
              <w:rPr>
                <w:rFonts w:ascii="Times New Roman" w:eastAsia="DengXian" w:hAnsi="Times New Roman"/>
                <w:sz w:val="20"/>
                <w:szCs w:val="20"/>
                <w:lang w:eastAsia="ko-KR"/>
              </w:rPr>
              <w:t xml:space="preserve"> unicast, groupcast, and broadcast for a given UE. </w:t>
            </w:r>
          </w:p>
          <w:p w14:paraId="5747AFC7" w14:textId="77777777" w:rsidR="00453F36" w:rsidRDefault="00453F36" w:rsidP="00453F36">
            <w:pPr>
              <w:numPr>
                <w:ilvl w:val="1"/>
                <w:numId w:val="45"/>
              </w:numPr>
              <w:spacing w:after="0" w:line="360" w:lineRule="auto"/>
              <w:jc w:val="both"/>
              <w:rPr>
                <w:rFonts w:ascii="Times New Roman" w:eastAsia="DengXian" w:hAnsi="Times New Roman"/>
                <w:sz w:val="20"/>
                <w:szCs w:val="20"/>
                <w:lang w:eastAsia="ko-KR"/>
              </w:rPr>
            </w:pPr>
            <w:r>
              <w:rPr>
                <w:rFonts w:ascii="Times New Roman" w:eastAsia="DengXian" w:hAnsi="Times New Roman"/>
                <w:sz w:val="20"/>
                <w:szCs w:val="20"/>
                <w:lang w:eastAsia="ko-KR"/>
              </w:rPr>
              <w:t>There is no (pre-)configuration to inform which cast types are used for the resource pool.</w:t>
            </w:r>
          </w:p>
        </w:tc>
      </w:tr>
    </w:tbl>
    <w:p w14:paraId="570B2531" w14:textId="77777777" w:rsidR="00453F36" w:rsidRDefault="00453F36" w:rsidP="00453F36">
      <w:pPr>
        <w:rPr>
          <w:rFonts w:ascii="Times New Roman" w:eastAsia="Times New Roman" w:hAnsi="Times New Roman"/>
          <w:sz w:val="20"/>
          <w:szCs w:val="20"/>
          <w:lang w:val="en-GB" w:eastAsia="ja-JP"/>
        </w:rPr>
      </w:pPr>
    </w:p>
    <w:p w14:paraId="619E9F0B" w14:textId="77777777" w:rsidR="00453F36" w:rsidRDefault="00453F36" w:rsidP="00453F36">
      <w:p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In short, since cast-dependent common resource pools are not supported according to RAN1 agreement, it makes little sense to support cast-dependent exceptional pools. Exceptional resource pools are only expected to be used in specific scenarios (as the name implies) and so there is no real need to define them in a cast specific fashion. In addition, doing so would also lead to segmentation of resources and decreased resource efficiency. Therefore, we propose to not have cast dependent resource pools for NR V2X for this release.</w:t>
      </w:r>
    </w:p>
    <w:p w14:paraId="1D484576" w14:textId="77777777" w:rsidR="00453F36" w:rsidRDefault="00453F36" w:rsidP="00453F36">
      <w:pPr>
        <w:ind w:left="1170" w:hanging="1170"/>
        <w:rPr>
          <w:rFonts w:ascii="Times New Roman" w:eastAsia="Times New Roman" w:hAnsi="Times New Roman"/>
          <w:b/>
          <w:bCs/>
          <w:sz w:val="20"/>
          <w:szCs w:val="20"/>
          <w:u w:val="single"/>
          <w:lang w:val="en-GB" w:eastAsia="zh-CN"/>
        </w:rPr>
      </w:pPr>
    </w:p>
    <w:p w14:paraId="789D78E2" w14:textId="5258E0F1" w:rsidR="00453F36" w:rsidRDefault="00453F36" w:rsidP="00453F3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sidRPr="009F34AF">
        <w:rPr>
          <w:rFonts w:ascii="Times New Roman" w:eastAsia="Times New Roman" w:hAnsi="Times New Roman"/>
          <w:b/>
          <w:i/>
          <w:sz w:val="20"/>
          <w:szCs w:val="20"/>
          <w:lang w:val="en-GB" w:eastAsia="zh-CN"/>
        </w:rPr>
        <w:t>No exceptional pools are separately allocated for unicast and non-unicast traffic for Rel-16</w:t>
      </w:r>
      <w:r w:rsidR="00FE1357" w:rsidRPr="009F34AF">
        <w:rPr>
          <w:rFonts w:ascii="Times New Roman" w:eastAsia="Times New Roman" w:hAnsi="Times New Roman"/>
          <w:b/>
          <w:i/>
          <w:sz w:val="20"/>
          <w:szCs w:val="20"/>
          <w:lang w:val="en-GB" w:eastAsia="zh-CN"/>
        </w:rPr>
        <w:t xml:space="preserve"> (same as common resource pools)</w:t>
      </w:r>
      <w:r w:rsidRPr="009F34AF">
        <w:rPr>
          <w:rFonts w:ascii="Times New Roman" w:eastAsia="Times New Roman" w:hAnsi="Times New Roman"/>
          <w:b/>
          <w:i/>
          <w:sz w:val="20"/>
          <w:szCs w:val="20"/>
          <w:lang w:val="en-GB" w:eastAsia="zh-CN"/>
        </w:rPr>
        <w:t>.</w:t>
      </w:r>
    </w:p>
    <w:p w14:paraId="589150B7" w14:textId="77777777" w:rsidR="003D6692" w:rsidRDefault="003D6692" w:rsidP="00D9071B">
      <w:pPr>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5E8638D1"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This contribution</w:t>
      </w:r>
      <w:r w:rsidR="00024A5D">
        <w:rPr>
          <w:rFonts w:ascii="Times New Roman" w:eastAsia="Times New Roman" w:hAnsi="Times New Roman"/>
          <w:bCs/>
          <w:sz w:val="20"/>
          <w:szCs w:val="20"/>
          <w:lang w:val="en-GB" w:eastAsia="zh-CN"/>
        </w:rPr>
        <w:t xml:space="preserve"> discusses outstanding issues on mode 2 operation and makes the following proposals</w:t>
      </w:r>
      <w:r w:rsidR="00777344">
        <w:rPr>
          <w:rFonts w:ascii="Times New Roman" w:eastAsia="Times New Roman" w:hAnsi="Times New Roman"/>
          <w:bCs/>
          <w:sz w:val="20"/>
          <w:szCs w:val="20"/>
          <w:lang w:val="en-GB" w:eastAsia="zh-CN"/>
        </w:rPr>
        <w:t>:</w:t>
      </w:r>
    </w:p>
    <w:p w14:paraId="63A31C61" w14:textId="77777777"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759B9458" w14:textId="55183A35" w:rsidR="00FE1357" w:rsidRPr="009F34AF" w:rsidRDefault="00FE1357" w:rsidP="00FE1357">
      <w:pPr>
        <w:ind w:left="1170" w:hanging="1170"/>
        <w:rPr>
          <w:rFonts w:ascii="Times New Roman" w:eastAsia="Times New Roman" w:hAnsi="Times New Roman"/>
          <w:b/>
          <w:bCs/>
          <w:i/>
          <w:sz w:val="20"/>
          <w:szCs w:val="20"/>
          <w:lang w:val="en-GB" w:eastAsia="zh-CN"/>
        </w:rPr>
      </w:pPr>
      <w:r w:rsidRPr="009F34AF">
        <w:rPr>
          <w:rFonts w:ascii="Times New Roman" w:eastAsia="Times New Roman" w:hAnsi="Times New Roman"/>
          <w:b/>
          <w:bCs/>
          <w:sz w:val="20"/>
          <w:szCs w:val="20"/>
          <w:u w:val="single"/>
          <w:lang w:val="en-GB" w:eastAsia="zh-CN"/>
        </w:rPr>
        <w:t>Proposal 1:</w:t>
      </w:r>
      <w:r w:rsidRPr="009F34AF">
        <w:rPr>
          <w:rFonts w:ascii="Times New Roman" w:eastAsia="Times New Roman" w:hAnsi="Times New Roman"/>
          <w:b/>
          <w:bCs/>
          <w:sz w:val="20"/>
          <w:szCs w:val="20"/>
          <w:lang w:val="en-GB" w:eastAsia="zh-CN"/>
        </w:rPr>
        <w:tab/>
      </w:r>
      <w:r w:rsidRPr="009F34AF">
        <w:rPr>
          <w:rFonts w:ascii="Times New Roman" w:eastAsia="Times New Roman" w:hAnsi="Times New Roman"/>
          <w:b/>
          <w:bCs/>
          <w:i/>
          <w:sz w:val="20"/>
          <w:szCs w:val="20"/>
          <w:lang w:val="en-GB" w:eastAsia="zh-CN"/>
        </w:rPr>
        <w:t xml:space="preserve">RAN2 is suggested to consider reusing the geographical </w:t>
      </w:r>
      <w:r w:rsidR="003B1EC8" w:rsidRPr="009F34AF">
        <w:rPr>
          <w:rFonts w:ascii="Times New Roman" w:eastAsia="Times New Roman" w:hAnsi="Times New Roman"/>
          <w:b/>
          <w:bCs/>
          <w:i/>
          <w:sz w:val="20"/>
          <w:szCs w:val="20"/>
          <w:lang w:val="en-GB" w:eastAsia="zh-CN"/>
        </w:rPr>
        <w:t>zone-based</w:t>
      </w:r>
      <w:r w:rsidRPr="009F34AF">
        <w:rPr>
          <w:rFonts w:ascii="Times New Roman" w:eastAsia="Times New Roman" w:hAnsi="Times New Roman"/>
          <w:b/>
          <w:bCs/>
          <w:i/>
          <w:sz w:val="20"/>
          <w:szCs w:val="20"/>
          <w:lang w:val="en-GB" w:eastAsia="zh-CN"/>
        </w:rPr>
        <w:t xml:space="preserve"> resource pool configuration for NR V2X sidelink operation, </w:t>
      </w:r>
      <w:proofErr w:type="gramStart"/>
      <w:r w:rsidRPr="009F34AF">
        <w:rPr>
          <w:rFonts w:ascii="Times New Roman" w:eastAsia="Times New Roman" w:hAnsi="Times New Roman"/>
          <w:b/>
          <w:bCs/>
          <w:i/>
          <w:sz w:val="20"/>
          <w:szCs w:val="20"/>
          <w:lang w:val="en-GB" w:eastAsia="zh-CN"/>
        </w:rPr>
        <w:t>similar to</w:t>
      </w:r>
      <w:proofErr w:type="gramEnd"/>
      <w:r w:rsidRPr="009F34AF">
        <w:rPr>
          <w:rFonts w:ascii="Times New Roman" w:eastAsia="Times New Roman" w:hAnsi="Times New Roman"/>
          <w:b/>
          <w:bCs/>
          <w:i/>
          <w:sz w:val="20"/>
          <w:szCs w:val="20"/>
          <w:lang w:val="en-GB" w:eastAsia="zh-CN"/>
        </w:rPr>
        <w:t xml:space="preserve"> LTE V2X.</w:t>
      </w:r>
    </w:p>
    <w:p w14:paraId="06CA209E" w14:textId="77777777" w:rsidR="00BF2A29" w:rsidRPr="009F34AF" w:rsidRDefault="00BF2A29" w:rsidP="00BF2A29">
      <w:pPr>
        <w:ind w:left="1350" w:hanging="1350"/>
        <w:rPr>
          <w:rFonts w:ascii="Times New Roman" w:eastAsia="Times New Roman" w:hAnsi="Times New Roman"/>
          <w:b/>
          <w:bCs/>
          <w:sz w:val="20"/>
          <w:szCs w:val="20"/>
          <w:u w:val="single"/>
          <w:lang w:val="en-GB" w:eastAsia="zh-CN"/>
        </w:rPr>
      </w:pPr>
    </w:p>
    <w:p w14:paraId="254D0DC9" w14:textId="77777777" w:rsidR="00FE1357" w:rsidRPr="009F34AF" w:rsidRDefault="00FE1357" w:rsidP="00FE1357">
      <w:pPr>
        <w:ind w:left="1170" w:hanging="1170"/>
        <w:rPr>
          <w:rFonts w:ascii="Times New Roman" w:eastAsia="Times New Roman" w:hAnsi="Times New Roman"/>
          <w:b/>
          <w:bCs/>
          <w:i/>
          <w:sz w:val="20"/>
          <w:szCs w:val="20"/>
          <w:lang w:val="en-GB" w:eastAsia="zh-CN"/>
        </w:rPr>
      </w:pPr>
      <w:r w:rsidRPr="009F34AF">
        <w:rPr>
          <w:rFonts w:ascii="Times New Roman" w:eastAsia="Times New Roman" w:hAnsi="Times New Roman"/>
          <w:b/>
          <w:bCs/>
          <w:sz w:val="20"/>
          <w:szCs w:val="20"/>
          <w:u w:val="single"/>
          <w:lang w:val="en-GB" w:eastAsia="zh-CN"/>
        </w:rPr>
        <w:t>Proposal 2:</w:t>
      </w:r>
      <w:r w:rsidRPr="009F34AF">
        <w:rPr>
          <w:rFonts w:ascii="Times New Roman" w:eastAsia="Times New Roman" w:hAnsi="Times New Roman"/>
          <w:b/>
          <w:bCs/>
          <w:sz w:val="20"/>
          <w:szCs w:val="20"/>
          <w:lang w:val="en-GB" w:eastAsia="zh-CN"/>
        </w:rPr>
        <w:tab/>
      </w:r>
      <w:r w:rsidRPr="009F34AF">
        <w:rPr>
          <w:rFonts w:ascii="Times New Roman" w:eastAsia="Times New Roman" w:hAnsi="Times New Roman"/>
          <w:b/>
          <w:bCs/>
          <w:i/>
          <w:sz w:val="20"/>
          <w:szCs w:val="20"/>
          <w:lang w:val="en-GB" w:eastAsia="zh-CN"/>
        </w:rPr>
        <w:t>No exceptional pools are separately allocated for unicast and non-unicast traffic for Rel-16 (same as common resource pools).</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1137022C" w14:textId="77777777" w:rsidR="003B1EC8" w:rsidRDefault="0063286E" w:rsidP="003B1EC8">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3B1EC8" w14:paraId="024BA935" w14:textId="77777777" w:rsidTr="003B1EC8">
            <w:trPr>
              <w:divId w:val="1131898881"/>
              <w:tblCellSpacing w:w="15" w:type="dxa"/>
            </w:trPr>
            <w:tc>
              <w:tcPr>
                <w:tcW w:w="50" w:type="pct"/>
                <w:hideMark/>
              </w:tcPr>
              <w:p w14:paraId="3671961D" w14:textId="69703891" w:rsidR="003B1EC8" w:rsidRDefault="003B1EC8">
                <w:pPr>
                  <w:pStyle w:val="Bibliography"/>
                  <w:rPr>
                    <w:noProof/>
                    <w:sz w:val="24"/>
                    <w:szCs w:val="24"/>
                  </w:rPr>
                </w:pPr>
                <w:r>
                  <w:rPr>
                    <w:noProof/>
                  </w:rPr>
                  <w:t xml:space="preserve">[1] </w:t>
                </w:r>
              </w:p>
            </w:tc>
            <w:tc>
              <w:tcPr>
                <w:tcW w:w="0" w:type="auto"/>
                <w:hideMark/>
              </w:tcPr>
              <w:p w14:paraId="3E98ADAD" w14:textId="77777777" w:rsidR="003B1EC8" w:rsidRDefault="003B1EC8">
                <w:pPr>
                  <w:pStyle w:val="Bibliography"/>
                  <w:rPr>
                    <w:noProof/>
                  </w:rPr>
                </w:pPr>
                <w:r>
                  <w:rPr>
                    <w:noProof/>
                  </w:rPr>
                  <w:t xml:space="preserve">"RAN2#108, Chairman Notes". </w:t>
                </w:r>
              </w:p>
            </w:tc>
          </w:tr>
          <w:tr w:rsidR="003B1EC8" w14:paraId="7754BACA" w14:textId="77777777" w:rsidTr="003B1EC8">
            <w:trPr>
              <w:divId w:val="1131898881"/>
              <w:tblCellSpacing w:w="15" w:type="dxa"/>
            </w:trPr>
            <w:tc>
              <w:tcPr>
                <w:tcW w:w="50" w:type="pct"/>
                <w:hideMark/>
              </w:tcPr>
              <w:p w14:paraId="2BA70430" w14:textId="77777777" w:rsidR="003B1EC8" w:rsidRDefault="003B1EC8">
                <w:pPr>
                  <w:pStyle w:val="Bibliography"/>
                  <w:rPr>
                    <w:noProof/>
                  </w:rPr>
                </w:pPr>
                <w:r>
                  <w:rPr>
                    <w:noProof/>
                  </w:rPr>
                  <w:t xml:space="preserve">[2] </w:t>
                </w:r>
              </w:p>
            </w:tc>
            <w:tc>
              <w:tcPr>
                <w:tcW w:w="0" w:type="auto"/>
                <w:hideMark/>
              </w:tcPr>
              <w:p w14:paraId="4158662E" w14:textId="77777777" w:rsidR="003B1EC8" w:rsidRDefault="003B1EC8">
                <w:pPr>
                  <w:pStyle w:val="Bibliography"/>
                  <w:rPr>
                    <w:noProof/>
                  </w:rPr>
                </w:pPr>
                <w:r>
                  <w:rPr>
                    <w:noProof/>
                  </w:rPr>
                  <w:t xml:space="preserve">"RAN1#97, Chairman Notes". </w:t>
                </w:r>
              </w:p>
            </w:tc>
          </w:tr>
        </w:tbl>
        <w:p w14:paraId="088ECD8C" w14:textId="77777777" w:rsidR="003B1EC8" w:rsidRDefault="003B1EC8" w:rsidP="003B1EC8">
          <w:pPr>
            <w:divId w:val="1131898881"/>
            <w:rPr>
              <w:rFonts w:eastAsia="Times New Roman"/>
              <w:noProof/>
            </w:rPr>
          </w:pPr>
        </w:p>
        <w:p w14:paraId="3B293168" w14:textId="0FA77278" w:rsidR="00E43B63" w:rsidRDefault="000A472B" w:rsidP="003B1EC8">
          <w:pPr>
            <w:divId w:val="1131898881"/>
            <w:rPr>
              <w:rFonts w:eastAsia="Times New Roman"/>
              <w:noProof/>
            </w:rPr>
          </w:pPr>
          <w:r>
            <w:rPr>
              <w:rFonts w:eastAsia="Times New Roman"/>
              <w:noProof/>
            </w:rPr>
            <w:fldChar w:fldCharType="end"/>
          </w:r>
        </w:p>
        <w:p w14:paraId="50A28EEF" w14:textId="41D9B9E6" w:rsidR="00E0063E" w:rsidRPr="00E43B63" w:rsidRDefault="00C34A38"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8EF2" w14:textId="77777777" w:rsidR="00113696" w:rsidRDefault="00113696">
      <w:pPr>
        <w:spacing w:after="0" w:line="240" w:lineRule="auto"/>
      </w:pPr>
      <w:r>
        <w:separator/>
      </w:r>
    </w:p>
  </w:endnote>
  <w:endnote w:type="continuationSeparator" w:id="0">
    <w:p w14:paraId="50A28EF3" w14:textId="77777777" w:rsidR="00113696" w:rsidRDefault="00113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113696" w:rsidRDefault="0011369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0A28EF5" w14:textId="77777777" w:rsidR="00113696" w:rsidRDefault="00113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8EF0" w14:textId="77777777" w:rsidR="00113696" w:rsidRDefault="00113696">
      <w:pPr>
        <w:spacing w:after="0" w:line="240" w:lineRule="auto"/>
      </w:pPr>
      <w:r>
        <w:separator/>
      </w:r>
    </w:p>
  </w:footnote>
  <w:footnote w:type="continuationSeparator" w:id="0">
    <w:p w14:paraId="50A28EF1" w14:textId="77777777" w:rsidR="00113696" w:rsidRDefault="001136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E46A8"/>
    <w:multiLevelType w:val="multilevel"/>
    <w:tmpl w:val="567A21C2"/>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28"/>
  </w:num>
  <w:num w:numId="3">
    <w:abstractNumId w:val="18"/>
  </w:num>
  <w:num w:numId="4">
    <w:abstractNumId w:val="17"/>
  </w:num>
  <w:num w:numId="5">
    <w:abstractNumId w:val="6"/>
    <w:lvlOverride w:ilvl="0">
      <w:startOverride w:val="1"/>
    </w:lvlOverride>
  </w:num>
  <w:num w:numId="6">
    <w:abstractNumId w:val="8"/>
    <w:lvlOverride w:ilvl="0">
      <w:startOverride w:val="2"/>
    </w:lvlOverride>
  </w:num>
  <w:num w:numId="7">
    <w:abstractNumId w:val="39"/>
  </w:num>
  <w:num w:numId="8">
    <w:abstractNumId w:val="13"/>
  </w:num>
  <w:num w:numId="9">
    <w:abstractNumId w:val="9"/>
  </w:num>
  <w:num w:numId="10">
    <w:abstractNumId w:val="32"/>
  </w:num>
  <w:num w:numId="11">
    <w:abstractNumId w:val="41"/>
  </w:num>
  <w:num w:numId="12">
    <w:abstractNumId w:val="7"/>
  </w:num>
  <w:num w:numId="13">
    <w:abstractNumId w:val="10"/>
  </w:num>
  <w:num w:numId="14">
    <w:abstractNumId w:val="3"/>
  </w:num>
  <w:num w:numId="15">
    <w:abstractNumId w:val="4"/>
  </w:num>
  <w:num w:numId="16">
    <w:abstractNumId w:val="16"/>
  </w:num>
  <w:num w:numId="17">
    <w:abstractNumId w:val="37"/>
  </w:num>
  <w:num w:numId="18">
    <w:abstractNumId w:val="14"/>
  </w:num>
  <w:num w:numId="19">
    <w:abstractNumId w:val="33"/>
  </w:num>
  <w:num w:numId="20">
    <w:abstractNumId w:val="2"/>
  </w:num>
  <w:num w:numId="21">
    <w:abstractNumId w:val="40"/>
  </w:num>
  <w:num w:numId="22">
    <w:abstractNumId w:val="1"/>
  </w:num>
  <w:num w:numId="23">
    <w:abstractNumId w:val="31"/>
  </w:num>
  <w:num w:numId="24">
    <w:abstractNumId w:val="43"/>
  </w:num>
  <w:num w:numId="25">
    <w:abstractNumId w:val="29"/>
  </w:num>
  <w:num w:numId="26">
    <w:abstractNumId w:val="25"/>
  </w:num>
  <w:num w:numId="27">
    <w:abstractNumId w:val="22"/>
  </w:num>
  <w:num w:numId="28">
    <w:abstractNumId w:val="42"/>
  </w:num>
  <w:num w:numId="29">
    <w:abstractNumId w:val="0"/>
  </w:num>
  <w:num w:numId="30">
    <w:abstractNumId w:val="12"/>
  </w:num>
  <w:num w:numId="31">
    <w:abstractNumId w:val="35"/>
  </w:num>
  <w:num w:numId="32">
    <w:abstractNumId w:val="24"/>
  </w:num>
  <w:num w:numId="33">
    <w:abstractNumId w:val="30"/>
  </w:num>
  <w:num w:numId="34">
    <w:abstractNumId w:val="26"/>
  </w:num>
  <w:num w:numId="35">
    <w:abstractNumId w:val="15"/>
  </w:num>
  <w:num w:numId="36">
    <w:abstractNumId w:val="20"/>
  </w:num>
  <w:num w:numId="37">
    <w:abstractNumId w:val="21"/>
  </w:num>
  <w:num w:numId="38">
    <w:abstractNumId w:val="34"/>
  </w:num>
  <w:num w:numId="39">
    <w:abstractNumId w:val="23"/>
  </w:num>
  <w:num w:numId="40">
    <w:abstractNumId w:val="11"/>
  </w:num>
  <w:num w:numId="41">
    <w:abstractNumId w:val="5"/>
  </w:num>
  <w:num w:numId="42">
    <w:abstractNumId w:val="38"/>
  </w:num>
  <w:num w:numId="43">
    <w:abstractNumId w:val="27"/>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5966"/>
    <w:rsid w:val="0002151A"/>
    <w:rsid w:val="00024A5D"/>
    <w:rsid w:val="00030913"/>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AB5"/>
    <w:rsid w:val="000A472B"/>
    <w:rsid w:val="000A5406"/>
    <w:rsid w:val="000A7E1C"/>
    <w:rsid w:val="000A7FE2"/>
    <w:rsid w:val="000B32EB"/>
    <w:rsid w:val="000D6536"/>
    <w:rsid w:val="000D687C"/>
    <w:rsid w:val="000E4761"/>
    <w:rsid w:val="000E493C"/>
    <w:rsid w:val="000F00FC"/>
    <w:rsid w:val="000F1C37"/>
    <w:rsid w:val="000F54CA"/>
    <w:rsid w:val="00100001"/>
    <w:rsid w:val="00100A13"/>
    <w:rsid w:val="00111236"/>
    <w:rsid w:val="001128E0"/>
    <w:rsid w:val="00113696"/>
    <w:rsid w:val="0011610B"/>
    <w:rsid w:val="00116AED"/>
    <w:rsid w:val="00120B9E"/>
    <w:rsid w:val="00131663"/>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239B"/>
    <w:rsid w:val="00195430"/>
    <w:rsid w:val="00197B45"/>
    <w:rsid w:val="001A56E4"/>
    <w:rsid w:val="001A793C"/>
    <w:rsid w:val="001A79BD"/>
    <w:rsid w:val="001B5A55"/>
    <w:rsid w:val="001B7098"/>
    <w:rsid w:val="001C137C"/>
    <w:rsid w:val="001C479B"/>
    <w:rsid w:val="001C60FD"/>
    <w:rsid w:val="001C6E8B"/>
    <w:rsid w:val="001D28A0"/>
    <w:rsid w:val="001D5499"/>
    <w:rsid w:val="001E221E"/>
    <w:rsid w:val="001E251D"/>
    <w:rsid w:val="001E54F9"/>
    <w:rsid w:val="001E64CC"/>
    <w:rsid w:val="001F03C4"/>
    <w:rsid w:val="001F221E"/>
    <w:rsid w:val="001F6936"/>
    <w:rsid w:val="001F6AD1"/>
    <w:rsid w:val="00203D1C"/>
    <w:rsid w:val="0020567B"/>
    <w:rsid w:val="00205CC1"/>
    <w:rsid w:val="0020671E"/>
    <w:rsid w:val="00210360"/>
    <w:rsid w:val="00220EC4"/>
    <w:rsid w:val="0022307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27AE"/>
    <w:rsid w:val="0032490D"/>
    <w:rsid w:val="003304D8"/>
    <w:rsid w:val="00330823"/>
    <w:rsid w:val="00332463"/>
    <w:rsid w:val="00332851"/>
    <w:rsid w:val="00336D1D"/>
    <w:rsid w:val="003379D6"/>
    <w:rsid w:val="00337A0E"/>
    <w:rsid w:val="003400B0"/>
    <w:rsid w:val="00343C43"/>
    <w:rsid w:val="00345654"/>
    <w:rsid w:val="00346CBD"/>
    <w:rsid w:val="0035278E"/>
    <w:rsid w:val="00361EF9"/>
    <w:rsid w:val="003638A3"/>
    <w:rsid w:val="00374DDD"/>
    <w:rsid w:val="0037540A"/>
    <w:rsid w:val="00377DF9"/>
    <w:rsid w:val="003848A3"/>
    <w:rsid w:val="00384CB8"/>
    <w:rsid w:val="00385E3E"/>
    <w:rsid w:val="00395DCA"/>
    <w:rsid w:val="00396B24"/>
    <w:rsid w:val="00397FA3"/>
    <w:rsid w:val="003A0015"/>
    <w:rsid w:val="003A766F"/>
    <w:rsid w:val="003B1EC8"/>
    <w:rsid w:val="003B424F"/>
    <w:rsid w:val="003B6208"/>
    <w:rsid w:val="003B6BC4"/>
    <w:rsid w:val="003C2812"/>
    <w:rsid w:val="003D022C"/>
    <w:rsid w:val="003D1D55"/>
    <w:rsid w:val="003D42CB"/>
    <w:rsid w:val="003D6692"/>
    <w:rsid w:val="003E1161"/>
    <w:rsid w:val="003E250C"/>
    <w:rsid w:val="003E76DD"/>
    <w:rsid w:val="003F0F74"/>
    <w:rsid w:val="0040277F"/>
    <w:rsid w:val="004035EF"/>
    <w:rsid w:val="004114F2"/>
    <w:rsid w:val="00412F14"/>
    <w:rsid w:val="00413455"/>
    <w:rsid w:val="0041454D"/>
    <w:rsid w:val="00415F96"/>
    <w:rsid w:val="00416235"/>
    <w:rsid w:val="00424635"/>
    <w:rsid w:val="00430F3A"/>
    <w:rsid w:val="00433DA4"/>
    <w:rsid w:val="00434F17"/>
    <w:rsid w:val="0043655F"/>
    <w:rsid w:val="00437AB1"/>
    <w:rsid w:val="00440C74"/>
    <w:rsid w:val="00443607"/>
    <w:rsid w:val="00443ABA"/>
    <w:rsid w:val="00443E40"/>
    <w:rsid w:val="00445B7E"/>
    <w:rsid w:val="00450C33"/>
    <w:rsid w:val="00453DB6"/>
    <w:rsid w:val="00453F36"/>
    <w:rsid w:val="00455A13"/>
    <w:rsid w:val="0045665A"/>
    <w:rsid w:val="00460EBA"/>
    <w:rsid w:val="0046730A"/>
    <w:rsid w:val="00467867"/>
    <w:rsid w:val="004747C6"/>
    <w:rsid w:val="004803F0"/>
    <w:rsid w:val="00480D6C"/>
    <w:rsid w:val="00483C87"/>
    <w:rsid w:val="004864A7"/>
    <w:rsid w:val="004873A1"/>
    <w:rsid w:val="0049247B"/>
    <w:rsid w:val="004941A2"/>
    <w:rsid w:val="004A45E2"/>
    <w:rsid w:val="004B256F"/>
    <w:rsid w:val="004B2F1A"/>
    <w:rsid w:val="004C4D6F"/>
    <w:rsid w:val="004C546C"/>
    <w:rsid w:val="004D12A9"/>
    <w:rsid w:val="004D44CA"/>
    <w:rsid w:val="004D57DD"/>
    <w:rsid w:val="004D6C2B"/>
    <w:rsid w:val="004D7A2E"/>
    <w:rsid w:val="004E2339"/>
    <w:rsid w:val="004E3975"/>
    <w:rsid w:val="004E3ED3"/>
    <w:rsid w:val="004E6A8F"/>
    <w:rsid w:val="004F361D"/>
    <w:rsid w:val="004F415B"/>
    <w:rsid w:val="005013B7"/>
    <w:rsid w:val="00504033"/>
    <w:rsid w:val="0050416E"/>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5153"/>
    <w:rsid w:val="00593190"/>
    <w:rsid w:val="00597FD5"/>
    <w:rsid w:val="005A4656"/>
    <w:rsid w:val="005A7CEA"/>
    <w:rsid w:val="005C158A"/>
    <w:rsid w:val="005C2350"/>
    <w:rsid w:val="005C3DFF"/>
    <w:rsid w:val="005D37A5"/>
    <w:rsid w:val="005E3E1B"/>
    <w:rsid w:val="005E4401"/>
    <w:rsid w:val="005E4E14"/>
    <w:rsid w:val="005F30EF"/>
    <w:rsid w:val="0060381E"/>
    <w:rsid w:val="00613A40"/>
    <w:rsid w:val="006234CC"/>
    <w:rsid w:val="00625272"/>
    <w:rsid w:val="00625D8E"/>
    <w:rsid w:val="00627647"/>
    <w:rsid w:val="0063286E"/>
    <w:rsid w:val="00633024"/>
    <w:rsid w:val="00642633"/>
    <w:rsid w:val="00661C20"/>
    <w:rsid w:val="00667231"/>
    <w:rsid w:val="006720DF"/>
    <w:rsid w:val="00673EBD"/>
    <w:rsid w:val="00680A78"/>
    <w:rsid w:val="006821CE"/>
    <w:rsid w:val="0068421C"/>
    <w:rsid w:val="006851F2"/>
    <w:rsid w:val="00694179"/>
    <w:rsid w:val="00696FDC"/>
    <w:rsid w:val="006A27E5"/>
    <w:rsid w:val="006A65D5"/>
    <w:rsid w:val="006A749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4A33"/>
    <w:rsid w:val="007356BA"/>
    <w:rsid w:val="00740D3E"/>
    <w:rsid w:val="00743313"/>
    <w:rsid w:val="00752D0F"/>
    <w:rsid w:val="0075599C"/>
    <w:rsid w:val="007636C8"/>
    <w:rsid w:val="007646CF"/>
    <w:rsid w:val="0076519E"/>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1A0B"/>
    <w:rsid w:val="007B7DD5"/>
    <w:rsid w:val="007C3A70"/>
    <w:rsid w:val="007D042C"/>
    <w:rsid w:val="007D05E3"/>
    <w:rsid w:val="007D32DD"/>
    <w:rsid w:val="007F2F4C"/>
    <w:rsid w:val="007F4D12"/>
    <w:rsid w:val="00813FBF"/>
    <w:rsid w:val="00822B9A"/>
    <w:rsid w:val="00827742"/>
    <w:rsid w:val="00833E79"/>
    <w:rsid w:val="00835599"/>
    <w:rsid w:val="008364DC"/>
    <w:rsid w:val="008418C6"/>
    <w:rsid w:val="00842397"/>
    <w:rsid w:val="00842457"/>
    <w:rsid w:val="00850DC6"/>
    <w:rsid w:val="00851569"/>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7DB0"/>
    <w:rsid w:val="008C0567"/>
    <w:rsid w:val="008C6004"/>
    <w:rsid w:val="008D2846"/>
    <w:rsid w:val="008D28E8"/>
    <w:rsid w:val="008E03BE"/>
    <w:rsid w:val="008E4A12"/>
    <w:rsid w:val="008E5071"/>
    <w:rsid w:val="008F15B9"/>
    <w:rsid w:val="008F7B19"/>
    <w:rsid w:val="00901F6D"/>
    <w:rsid w:val="00902C16"/>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606E9"/>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34AF"/>
    <w:rsid w:val="009F5B49"/>
    <w:rsid w:val="009F5D36"/>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703F2"/>
    <w:rsid w:val="00A8049D"/>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043D"/>
    <w:rsid w:val="00AF256D"/>
    <w:rsid w:val="00B019D2"/>
    <w:rsid w:val="00B117C2"/>
    <w:rsid w:val="00B14023"/>
    <w:rsid w:val="00B1479A"/>
    <w:rsid w:val="00B20B32"/>
    <w:rsid w:val="00B24821"/>
    <w:rsid w:val="00B3013F"/>
    <w:rsid w:val="00B329F9"/>
    <w:rsid w:val="00B33EE3"/>
    <w:rsid w:val="00B438F2"/>
    <w:rsid w:val="00B45EDF"/>
    <w:rsid w:val="00B46473"/>
    <w:rsid w:val="00B54923"/>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2A29"/>
    <w:rsid w:val="00BF5579"/>
    <w:rsid w:val="00BF78E3"/>
    <w:rsid w:val="00C06C5B"/>
    <w:rsid w:val="00C10CE1"/>
    <w:rsid w:val="00C13538"/>
    <w:rsid w:val="00C13DB4"/>
    <w:rsid w:val="00C16A65"/>
    <w:rsid w:val="00C23949"/>
    <w:rsid w:val="00C27475"/>
    <w:rsid w:val="00C348A8"/>
    <w:rsid w:val="00C34A38"/>
    <w:rsid w:val="00C40041"/>
    <w:rsid w:val="00C41CD2"/>
    <w:rsid w:val="00C47BFB"/>
    <w:rsid w:val="00C54226"/>
    <w:rsid w:val="00C641CB"/>
    <w:rsid w:val="00C65B7C"/>
    <w:rsid w:val="00C667DF"/>
    <w:rsid w:val="00C67B49"/>
    <w:rsid w:val="00C73BA9"/>
    <w:rsid w:val="00C84589"/>
    <w:rsid w:val="00C8595C"/>
    <w:rsid w:val="00C90D45"/>
    <w:rsid w:val="00C97AD4"/>
    <w:rsid w:val="00CA117F"/>
    <w:rsid w:val="00CA41AF"/>
    <w:rsid w:val="00CA4212"/>
    <w:rsid w:val="00CA751B"/>
    <w:rsid w:val="00CB248A"/>
    <w:rsid w:val="00CB6AB5"/>
    <w:rsid w:val="00CD2ABF"/>
    <w:rsid w:val="00CD4245"/>
    <w:rsid w:val="00CD7BAA"/>
    <w:rsid w:val="00CE5D88"/>
    <w:rsid w:val="00CE70AB"/>
    <w:rsid w:val="00D0160E"/>
    <w:rsid w:val="00D02645"/>
    <w:rsid w:val="00D05CFA"/>
    <w:rsid w:val="00D07B98"/>
    <w:rsid w:val="00D244A7"/>
    <w:rsid w:val="00D30389"/>
    <w:rsid w:val="00D304C8"/>
    <w:rsid w:val="00D30D35"/>
    <w:rsid w:val="00D4144E"/>
    <w:rsid w:val="00D4639F"/>
    <w:rsid w:val="00D65AAE"/>
    <w:rsid w:val="00D70FEC"/>
    <w:rsid w:val="00D714C5"/>
    <w:rsid w:val="00D7292A"/>
    <w:rsid w:val="00D74365"/>
    <w:rsid w:val="00D75EC2"/>
    <w:rsid w:val="00D75FE1"/>
    <w:rsid w:val="00D80BD1"/>
    <w:rsid w:val="00D9071B"/>
    <w:rsid w:val="00D90B79"/>
    <w:rsid w:val="00D94525"/>
    <w:rsid w:val="00DA2C5B"/>
    <w:rsid w:val="00DC00B2"/>
    <w:rsid w:val="00DC097B"/>
    <w:rsid w:val="00DC299B"/>
    <w:rsid w:val="00DD1D39"/>
    <w:rsid w:val="00DD532A"/>
    <w:rsid w:val="00DE0789"/>
    <w:rsid w:val="00DE207A"/>
    <w:rsid w:val="00DE34AB"/>
    <w:rsid w:val="00DF07FB"/>
    <w:rsid w:val="00DF0C36"/>
    <w:rsid w:val="00DF106B"/>
    <w:rsid w:val="00DF2222"/>
    <w:rsid w:val="00DF2422"/>
    <w:rsid w:val="00DF25A3"/>
    <w:rsid w:val="00E0063E"/>
    <w:rsid w:val="00E01E30"/>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3487"/>
    <w:rsid w:val="00E65894"/>
    <w:rsid w:val="00E65A8A"/>
    <w:rsid w:val="00E6786C"/>
    <w:rsid w:val="00E67A80"/>
    <w:rsid w:val="00E73BA3"/>
    <w:rsid w:val="00E76581"/>
    <w:rsid w:val="00E772C0"/>
    <w:rsid w:val="00E77D40"/>
    <w:rsid w:val="00E86837"/>
    <w:rsid w:val="00E87B8A"/>
    <w:rsid w:val="00E921D0"/>
    <w:rsid w:val="00E93113"/>
    <w:rsid w:val="00E936F6"/>
    <w:rsid w:val="00EA1EA7"/>
    <w:rsid w:val="00EA395E"/>
    <w:rsid w:val="00EA68B2"/>
    <w:rsid w:val="00EB0968"/>
    <w:rsid w:val="00EB2A11"/>
    <w:rsid w:val="00EC1C57"/>
    <w:rsid w:val="00EC2438"/>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512E"/>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987"/>
    <w:rsid w:val="00F9593B"/>
    <w:rsid w:val="00F95CB6"/>
    <w:rsid w:val="00F97382"/>
    <w:rsid w:val="00F97A8E"/>
    <w:rsid w:val="00FA03CA"/>
    <w:rsid w:val="00FA458F"/>
    <w:rsid w:val="00FA4DC9"/>
    <w:rsid w:val="00FB08ED"/>
    <w:rsid w:val="00FC16BC"/>
    <w:rsid w:val="00FC2DCE"/>
    <w:rsid w:val="00FC2EDB"/>
    <w:rsid w:val="00FD039C"/>
    <w:rsid w:val="00FD2574"/>
    <w:rsid w:val="00FD4AC8"/>
    <w:rsid w:val="00FE1357"/>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 w:type="paragraph" w:customStyle="1" w:styleId="3GPPHeader">
    <w:name w:val="3GPP_Header"/>
    <w:basedOn w:val="Normal"/>
    <w:rsid w:val="00D9071B"/>
    <w:pPr>
      <w:tabs>
        <w:tab w:val="left" w:pos="1701"/>
        <w:tab w:val="right" w:pos="9639"/>
      </w:tabs>
      <w:overflowPunct w:val="0"/>
      <w:autoSpaceDE w:val="0"/>
      <w:autoSpaceDN w:val="0"/>
      <w:adjustRightInd w:val="0"/>
      <w:spacing w:after="240" w:line="240" w:lineRule="auto"/>
      <w:contextualSpacing w:val="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26149746">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3301615">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89394410">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233395">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0103382">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0434540">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598565829">
      <w:bodyDiv w:val="1"/>
      <w:marLeft w:val="0"/>
      <w:marRight w:val="0"/>
      <w:marTop w:val="0"/>
      <w:marBottom w:val="0"/>
      <w:divBdr>
        <w:top w:val="none" w:sz="0" w:space="0" w:color="auto"/>
        <w:left w:val="none" w:sz="0" w:space="0" w:color="auto"/>
        <w:bottom w:val="none" w:sz="0" w:space="0" w:color="auto"/>
        <w:right w:val="none" w:sz="0" w:space="0" w:color="auto"/>
      </w:divBdr>
    </w:div>
    <w:div w:id="600720294">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9801672">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84410492">
      <w:bodyDiv w:val="1"/>
      <w:marLeft w:val="0"/>
      <w:marRight w:val="0"/>
      <w:marTop w:val="0"/>
      <w:marBottom w:val="0"/>
      <w:divBdr>
        <w:top w:val="none" w:sz="0" w:space="0" w:color="auto"/>
        <w:left w:val="none" w:sz="0" w:space="0" w:color="auto"/>
        <w:bottom w:val="none" w:sz="0" w:space="0" w:color="auto"/>
        <w:right w:val="none" w:sz="0" w:space="0" w:color="auto"/>
      </w:divBdr>
    </w:div>
    <w:div w:id="889339438">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750007">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1054336">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4748958">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6726572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5494402">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6254486">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6232058">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64106807">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20490919">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7515075">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21732443">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3453431">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RAN2108</b:Tag>
    <b:SourceType>ConferenceProceedings</b:SourceType>
    <b:Guid>{BF7B87A4-106D-4502-9DA5-EE31FF96DD10}</b:Guid>
    <b:Title>RAN2#108, Chairman Notes</b:Title>
    <b:RefOrder>1</b:RefOrder>
  </b:Source>
  <b:Source>
    <b:Tag>RAN197</b:Tag>
    <b:SourceType>ConferenceProceedings</b:SourceType>
    <b:Guid>{1CD84E79-1ED1-4D14-BA2D-8818D3CD07D4}</b:Guid>
    <b:Title>RAN1#97, Chairman Notes</b:Title>
    <b:RefOrder>2</b:RefOrder>
  </b:Source>
</b:Sources>
</file>

<file path=customXml/itemProps1.xml><?xml version="1.0" encoding="utf-8"?>
<ds:datastoreItem xmlns:ds="http://schemas.openxmlformats.org/officeDocument/2006/customXml" ds:itemID="{2B7AF733-F7AA-48CE-8B0E-CBAC0BD8B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4534C8E-97D2-49AB-9F6B-E726FFFC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12795</TotalTime>
  <Pages>3</Pages>
  <Words>1008</Words>
  <Characters>5132</Characters>
  <Application>Microsoft Office Word</Application>
  <DocSecurity>0</DocSecurity>
  <Lines>104</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433</cp:revision>
  <dcterms:created xsi:type="dcterms:W3CDTF">2017-08-12T02:26:00Z</dcterms:created>
  <dcterms:modified xsi:type="dcterms:W3CDTF">2020-02-14T03:14:00Z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2020-02-14 03:14:42Z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