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FC44B" w14:textId="7D516A1B" w:rsidR="004A77A5" w:rsidRPr="005B7350" w:rsidRDefault="004A77A5" w:rsidP="004A77A5">
      <w:pPr>
        <w:pStyle w:val="CRCoverPage"/>
        <w:tabs>
          <w:tab w:val="right" w:pos="8640"/>
        </w:tabs>
        <w:spacing w:after="0"/>
        <w:ind w:right="1260"/>
        <w:rPr>
          <w:b/>
          <w:sz w:val="28"/>
          <w:lang w:val="en-US"/>
        </w:rPr>
      </w:pPr>
      <w:r w:rsidRPr="005B7350">
        <w:rPr>
          <w:noProof/>
          <w:sz w:val="22"/>
        </w:rPr>
        <mc:AlternateContent>
          <mc:Choice Requires="wps">
            <w:drawing>
              <wp:anchor distT="0" distB="0" distL="114300" distR="114300" simplePos="0" relativeHeight="251659264" behindDoc="0" locked="1" layoutInCell="1" allowOverlap="1" wp14:anchorId="117B7337" wp14:editId="1432F08B">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3709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PYjA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DL6zUMFzcNFlJYQifIy0fgQDsagjII2FxHa8KbVnNPQu&#10;aBhOQ+Y52KHejFFMQ9t3Ls+ufO9Z1jwfR69d6hHvSP+mr355F/6Z9XpUN8b4HIM8GmA8/egcY/8O&#10;fkfTQq7rJGrWSSGPr+Psc/73Ov6LsZEoFkbcrqdPfMp8cnZ1/etv58dvwg/Xbz9g2yj+RAl2HDUL&#10;luw4voOx7U5dN4S/Wb+9S/BTfaB49mzVPAfdU/q7ixmjZorRfbvtCdmVjV0C+jwn9EPXxhf99lN6&#10;do37RHEdcPPff/OHiz3CQg016u90j+pQ6m2HgUpyQRwWzmZuv71L/KHvwMCBgQMDBwYODBwY+P8z&#10;gI+gWEvSOBaqGFfF7aasx1DjfSzfV6o8rcvXMvpUo0LOEl6sxFlVyU0ieAwlpcaPBhPUSw1T0WLz&#10;RsZQG/J1I3Wde7usciUQKlh0q8vpu205LW4bFEEndTwLRdCvGrCWER9306J13VwJqUXwm9d1Y+rw&#10;GFq6io7bWnQONfsyz6Ak/2mEbLRBBFO7q9q3IDC6B0p2g8gAtEeSMwDtkeQOQHskgelPr4kOQHsk&#10;sQFoz5rgmLVVhxkNXEZsBFTZ8PQ8h7YHnS1lQR+PWUBd/6t43HeE5wc+cb+OH/rkKyvBfcd4tuPu&#10;9XLfOYSwAO3hAvcdhKlH6V6RfS/BOYa5fZkQr6suInnSBWl0W7RRCi0Em2hizX29J0pZq72gYhaC&#10;fm72Ex8DTMX0PToYoMF8hXbaHfIIDcyr6Z1wsE3Buw31GI4HcIgwBWd96WAXTGuNqOCIrA7Hc+UH&#10;OB7PMdAMZ725YhGOyHOsVcECeKM40GuBJtpMLLMZUdK11Fgub8RcalSj2MC2Tw0hBPvdMu5B0XqR&#10;RlPxZTjF9SB8YN2YuW3kllpY4BEIXDVgY9+EdDtgwzLVAHN0dlAmDiQP38wk5lMzCc5MfWGU+qa/&#10;TTQG7cFBSqv4dgVw8tupgASB6fdgXGc+owIHFDa7Ms+xtw5+0gyMvSHB4CvNlpKupDmEDOwjrok5&#10;l5Bvt8WoABIGpHSiYJMN+jvVzAs6nw89kBVDj98HSZvfwYMdpvtvrCJ2x15PeAcZKmknYMhtmoiH&#10;q2zjFyh6ZNd2zneRBGf7NkgecW67QLbyRrcNOi+B0x3jj+/zut9x/DCImEt2Rh2mpA2Ib/c6hBZE&#10;olr2wL3YYerbDt0Ptg4mrMV/z0bEBD5ZRtyDfY0x8UzGe5gKduaVofujTNbC1B0qeekCZJvFdIa4&#10;L0JqmaXxZZplKnPV1Woxyyp0wyExXupfmz8HsKxQSRBykqdT7mBsIEJ9hk3VAloHsDxt4PozS/OJ&#10;5W9BfKwqsosi1qmh4Wlm2npLgBVdVWaqu4WM76BCq6S524S7WGgksvpioQ3ca06s+vOaV8JC2asC&#10;qrwAuy4EYqNfXA/KBEj3/ZFFf4QXEYiaWI0FXzrVnDXwBlPWZZWuEtBkPjeFPIPKcJmqOk6vz6yq&#10;fYG7S01+e8+qLkf77xp1fxt8+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RAc9iMBQAAVR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B7350">
        <w:rPr>
          <w:b/>
          <w:sz w:val="28"/>
          <w:lang w:val="en-US"/>
        </w:rPr>
        <w:t>3GPP TSG-RAN2#10</w:t>
      </w:r>
      <w:r>
        <w:rPr>
          <w:b/>
          <w:sz w:val="28"/>
          <w:lang w:val="en-US"/>
        </w:rPr>
        <w:t>8</w:t>
      </w:r>
      <w:r w:rsidRPr="005B7350">
        <w:rPr>
          <w:b/>
          <w:sz w:val="28"/>
          <w:lang w:val="en-US"/>
        </w:rPr>
        <w:tab/>
      </w:r>
      <w:r w:rsidR="00C51D9D" w:rsidRPr="00C51D9D">
        <w:rPr>
          <w:b/>
          <w:bCs/>
          <w:sz w:val="28"/>
        </w:rPr>
        <w:t>R2-1914774</w:t>
      </w:r>
    </w:p>
    <w:p w14:paraId="3A1A5DBE" w14:textId="77777777" w:rsidR="004A77A5" w:rsidRPr="005B7350" w:rsidRDefault="004A77A5" w:rsidP="004A77A5">
      <w:pPr>
        <w:pStyle w:val="CRCoverPage"/>
        <w:outlineLvl w:val="0"/>
        <w:rPr>
          <w:rFonts w:cs="Arial"/>
          <w:b/>
          <w:sz w:val="28"/>
          <w:szCs w:val="28"/>
        </w:rPr>
      </w:pPr>
      <w:r>
        <w:rPr>
          <w:rFonts w:cs="Arial"/>
          <w:b/>
          <w:sz w:val="28"/>
          <w:szCs w:val="28"/>
        </w:rPr>
        <w:t>Reno, NV, USA, November 18-22</w:t>
      </w:r>
      <w:r w:rsidRPr="005B7350">
        <w:rPr>
          <w:rFonts w:cs="Arial"/>
          <w:b/>
          <w:sz w:val="28"/>
          <w:szCs w:val="28"/>
        </w:rPr>
        <w:t>, 2019</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7E9CE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D61DCA">
        <w:rPr>
          <w:rFonts w:ascii="Arial" w:hAnsi="Arial"/>
          <w:sz w:val="24"/>
          <w:lang w:val="en-US"/>
        </w:rPr>
        <w:t>6.20.1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B459E0D"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3109">
        <w:rPr>
          <w:rFonts w:ascii="Arial" w:hAnsi="Arial"/>
          <w:sz w:val="24"/>
          <w:lang w:val="en-US"/>
        </w:rPr>
        <w:t>UE i</w:t>
      </w:r>
      <w:r w:rsidR="00880761">
        <w:rPr>
          <w:rFonts w:ascii="Arial" w:hAnsi="Arial"/>
          <w:sz w:val="24"/>
          <w:lang w:val="en-US"/>
        </w:rPr>
        <w:t xml:space="preserve">mpact of second SMTC periodicity </w:t>
      </w:r>
    </w:p>
    <w:p w14:paraId="013F978F" w14:textId="45FCD74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0D3D40">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F7E438C" w14:textId="77777777" w:rsidR="00622518" w:rsidRDefault="00622518" w:rsidP="00E12531">
      <w:pPr>
        <w:rPr>
          <w:lang w:val="en-US"/>
        </w:rPr>
      </w:pPr>
      <w:r>
        <w:rPr>
          <w:lang w:val="en-US"/>
        </w:rPr>
        <w:t>In Rel-15 NR, a single SMTC periodicity is applicable for all cells on the same frequency. In RAN2#107, it was proposed to introduce a second SMTC configuration with the purpose of enabling power savings at the network side [1]. The proponents argued that the cells in power savings mode can use a longer SMTC cycle.</w:t>
      </w:r>
    </w:p>
    <w:p w14:paraId="1D16DBAE" w14:textId="261F4F23" w:rsidR="00E12531" w:rsidRDefault="00622518" w:rsidP="00E12531">
      <w:pPr>
        <w:rPr>
          <w:lang w:val="en-US"/>
        </w:rPr>
      </w:pPr>
      <w:proofErr w:type="gramStart"/>
      <w:r>
        <w:rPr>
          <w:lang w:val="en-US"/>
        </w:rPr>
        <w:t>An</w:t>
      </w:r>
      <w:proofErr w:type="gramEnd"/>
      <w:r>
        <w:rPr>
          <w:lang w:val="en-US"/>
        </w:rPr>
        <w:t xml:space="preserve"> LS was sent to RAN4 [2] for feedback on performance impacts and a reply LS was received [3]. </w:t>
      </w:r>
      <w:r w:rsidR="00880761">
        <w:rPr>
          <w:lang w:val="en-US"/>
        </w:rPr>
        <w:t>The response indicates that the impact to RAN4 specifications due to this feature will be “minor”. However, it is mentioned that some companies expressed concern on impact to legacy UE behavior.</w:t>
      </w:r>
    </w:p>
    <w:p w14:paraId="1A2BB6CD" w14:textId="6A941E0D" w:rsidR="00880761" w:rsidRDefault="00880761" w:rsidP="00E12531">
      <w:pPr>
        <w:rPr>
          <w:lang w:val="en-US"/>
        </w:rPr>
      </w:pPr>
      <w:r>
        <w:rPr>
          <w:lang w:val="en-US"/>
        </w:rPr>
        <w:t>In this contribution, we discuss the</w:t>
      </w:r>
      <w:r w:rsidR="00551866">
        <w:rPr>
          <w:lang w:val="en-US"/>
        </w:rPr>
        <w:t xml:space="preserve"> UE</w:t>
      </w:r>
      <w:r>
        <w:rPr>
          <w:lang w:val="en-US"/>
        </w:rPr>
        <w:t xml:space="preserve"> impact </w:t>
      </w:r>
      <w:r w:rsidR="00551866">
        <w:rPr>
          <w:lang w:val="en-US"/>
        </w:rPr>
        <w:t>of configuring a</w:t>
      </w:r>
      <w:r>
        <w:rPr>
          <w:lang w:val="en-US"/>
        </w:rPr>
        <w:t xml:space="preserve"> second SMTC</w:t>
      </w:r>
      <w:r w:rsidR="00551866">
        <w:rPr>
          <w:lang w:val="en-US"/>
        </w:rPr>
        <w:t xml:space="preserve"> periodicity</w:t>
      </w:r>
      <w:r>
        <w:rPr>
          <w:lang w:val="en-US"/>
        </w:rPr>
        <w:t>.</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D613C2E" w14:textId="7B1FF8DE" w:rsidR="009A5554" w:rsidRDefault="00880761" w:rsidP="00981ED4">
      <w:pPr>
        <w:rPr>
          <w:lang w:val="en-US"/>
        </w:rPr>
      </w:pPr>
      <w:r>
        <w:rPr>
          <w:lang w:val="en-US"/>
        </w:rPr>
        <w:t>The original proposal in [1] was to configure a longer second SMTC periodicity in Rel-16. This will only be visible to Rel-16 UEs while the legacy UEs will continue to assume that all cells on the frequency will be using the short SMTC.</w:t>
      </w:r>
      <w:r w:rsidR="009A5554">
        <w:rPr>
          <w:lang w:val="en-US"/>
        </w:rPr>
        <w:t xml:space="preserve"> This is shown in Figure 1 below.</w:t>
      </w:r>
    </w:p>
    <w:p w14:paraId="4FD2ED4E" w14:textId="77777777" w:rsidR="00880761" w:rsidRDefault="00880761" w:rsidP="00981ED4">
      <w:pPr>
        <w:rPr>
          <w:lang w:val="en-US"/>
        </w:rPr>
      </w:pPr>
    </w:p>
    <w:p w14:paraId="7B6472E5" w14:textId="77777777" w:rsidR="00152D7B" w:rsidRDefault="00BA17DD" w:rsidP="00152D7B">
      <w:pPr>
        <w:keepNext/>
        <w:jc w:val="center"/>
      </w:pPr>
      <w:r>
        <w:object w:dxaOrig="15807" w:dyaOrig="2650" w14:anchorId="76C37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80.8pt" o:ole="">
            <v:imagedata r:id="rId8" o:title=""/>
          </v:shape>
          <o:OLEObject Type="Embed" ProgID="Visio.Drawing.11" ShapeID="_x0000_i1025" DrawAspect="Content" ObjectID="_1634552088" r:id="rId9"/>
        </w:object>
      </w:r>
    </w:p>
    <w:p w14:paraId="10D0364D" w14:textId="30A438BE" w:rsidR="00B21F29" w:rsidRDefault="00152D7B" w:rsidP="00152D7B">
      <w:pPr>
        <w:pStyle w:val="Caption"/>
        <w:jc w:val="center"/>
        <w:rPr>
          <w:lang w:val="en-US"/>
        </w:rPr>
      </w:pPr>
      <w:r>
        <w:t xml:space="preserve">Figure </w:t>
      </w:r>
      <w:r>
        <w:fldChar w:fldCharType="begin"/>
      </w:r>
      <w:r>
        <w:instrText xml:space="preserve"> SEQ Figure \* ARABIC </w:instrText>
      </w:r>
      <w:r>
        <w:fldChar w:fldCharType="separate"/>
      </w:r>
      <w:r w:rsidR="007F25F1">
        <w:rPr>
          <w:noProof/>
        </w:rPr>
        <w:t>1</w:t>
      </w:r>
      <w:r>
        <w:fldChar w:fldCharType="end"/>
      </w:r>
      <w:r>
        <w:t xml:space="preserve"> </w:t>
      </w:r>
      <w:r w:rsidR="007F25F1">
        <w:t>Longer SMTC 2 periodicity</w:t>
      </w:r>
    </w:p>
    <w:p w14:paraId="0B4C584E" w14:textId="2EA8B2BA" w:rsidR="00B76B73" w:rsidRDefault="00152D7B" w:rsidP="00B76B73">
      <w:pPr>
        <w:rPr>
          <w:lang w:val="en-US" w:eastAsia="ja-JP"/>
        </w:rPr>
      </w:pPr>
      <w:r>
        <w:rPr>
          <w:lang w:val="en-US" w:eastAsia="ja-JP"/>
        </w:rPr>
        <w:t xml:space="preserve">In this </w:t>
      </w:r>
      <w:r w:rsidR="007F25F1">
        <w:rPr>
          <w:lang w:val="en-US" w:eastAsia="ja-JP"/>
        </w:rPr>
        <w:t>case</w:t>
      </w:r>
      <w:r>
        <w:rPr>
          <w:lang w:val="en-US" w:eastAsia="ja-JP"/>
        </w:rPr>
        <w:t xml:space="preserve">, </w:t>
      </w:r>
      <w:r w:rsidR="00B76B73">
        <w:rPr>
          <w:lang w:val="en-US" w:eastAsia="ja-JP"/>
        </w:rPr>
        <w:t>Macro layer uses SMTC 1</w:t>
      </w:r>
      <w:r>
        <w:rPr>
          <w:lang w:val="en-US" w:eastAsia="ja-JP"/>
        </w:rPr>
        <w:t xml:space="preserve"> while</w:t>
      </w:r>
      <w:r w:rsidR="00B76B73">
        <w:rPr>
          <w:lang w:val="en-US" w:eastAsia="ja-JP"/>
        </w:rPr>
        <w:t xml:space="preserve"> small cell layer uses SMTC 2</w:t>
      </w:r>
      <w:r>
        <w:rPr>
          <w:lang w:val="en-US" w:eastAsia="ja-JP"/>
        </w:rPr>
        <w:t xml:space="preserve">. Here we also assume that the when small cell goes “online” (out of sleep) it will start transmitting SSBs more often(green). </w:t>
      </w:r>
    </w:p>
    <w:p w14:paraId="1CECCA51" w14:textId="34119957" w:rsidR="00152D7B" w:rsidRDefault="00152D7B" w:rsidP="00B76B73">
      <w:pPr>
        <w:rPr>
          <w:lang w:val="en-US" w:eastAsia="ja-JP"/>
        </w:rPr>
      </w:pPr>
      <w:r>
        <w:rPr>
          <w:lang w:val="en-US" w:eastAsia="ja-JP"/>
        </w:rPr>
        <w:t xml:space="preserve">The main issue with Case 1 is that the legacy UEs will measure the small cells only in some STMC occasions (due to the long cycle). Since the legacy UEs </w:t>
      </w:r>
      <w:proofErr w:type="gramStart"/>
      <w:r>
        <w:rPr>
          <w:lang w:val="en-US" w:eastAsia="ja-JP"/>
        </w:rPr>
        <w:t>have to</w:t>
      </w:r>
      <w:proofErr w:type="gramEnd"/>
      <w:r>
        <w:rPr>
          <w:lang w:val="en-US" w:eastAsia="ja-JP"/>
        </w:rPr>
        <w:t xml:space="preserve"> assume that all cells are using SMTC 1, they will not measure the small cells correctly. In some situations, the legacy UE may consider the small cell to be a reselection candidate (when it happens to measure at the SMTC 2 transmission times) and camp on that cell. However, after camping, it can measure the small cell at a missed SSB time and thus decide to reselect to another cell.</w:t>
      </w:r>
    </w:p>
    <w:p w14:paraId="223466EA" w14:textId="728382AD" w:rsidR="00152D7B" w:rsidRPr="00152D7B" w:rsidRDefault="00152D7B" w:rsidP="00B76B73">
      <w:pPr>
        <w:rPr>
          <w:b/>
          <w:lang w:val="en-US" w:eastAsia="ja-JP"/>
        </w:rPr>
      </w:pPr>
      <w:r w:rsidRPr="00152D7B">
        <w:rPr>
          <w:b/>
          <w:lang w:val="en-US" w:eastAsia="ja-JP"/>
        </w:rPr>
        <w:t>Observation 1:</w:t>
      </w:r>
      <w:r>
        <w:rPr>
          <w:b/>
          <w:lang w:val="en-US" w:eastAsia="ja-JP"/>
        </w:rPr>
        <w:t xml:space="preserve"> Configuring a longer SMTC 2 </w:t>
      </w:r>
      <w:r w:rsidR="00001FDA">
        <w:rPr>
          <w:b/>
          <w:lang w:val="en-US" w:eastAsia="ja-JP"/>
        </w:rPr>
        <w:t>periodicity</w:t>
      </w:r>
      <w:r>
        <w:rPr>
          <w:b/>
          <w:lang w:val="en-US" w:eastAsia="ja-JP"/>
        </w:rPr>
        <w:t xml:space="preserve"> can result in reselection ping-pongs between regular and sleeper cells.</w:t>
      </w:r>
    </w:p>
    <w:p w14:paraId="3CE347FA" w14:textId="1F1C1F65" w:rsidR="00B76B73" w:rsidRPr="00B76B73" w:rsidRDefault="00B42D06" w:rsidP="00B76B73">
      <w:pPr>
        <w:rPr>
          <w:lang w:val="en-US" w:eastAsia="ja-JP"/>
        </w:rPr>
      </w:pPr>
      <w:r>
        <w:rPr>
          <w:lang w:val="en-US" w:eastAsia="ja-JP"/>
        </w:rPr>
        <w:t xml:space="preserve">Because of this ping-pong issue, the proponents also suggested the alternative where the macro layer always uses the longer SMTC1 while the sleeper cell uses the shorter SMTC 2 as shown in Figure 2. </w:t>
      </w:r>
    </w:p>
    <w:p w14:paraId="39468FE9" w14:textId="77777777" w:rsidR="00B42D06" w:rsidRDefault="00EE347D" w:rsidP="00B42D06">
      <w:pPr>
        <w:keepNext/>
      </w:pPr>
      <w:r>
        <w:object w:dxaOrig="15807" w:dyaOrig="2650" w14:anchorId="77BF7DC3">
          <v:shape id="_x0000_i1026" type="#_x0000_t75" style="width:481.4pt;height:80.8pt" o:ole="">
            <v:imagedata r:id="rId10" o:title=""/>
          </v:shape>
          <o:OLEObject Type="Embed" ProgID="Visio.Drawing.11" ShapeID="_x0000_i1026" DrawAspect="Content" ObjectID="_1634552089" r:id="rId11"/>
        </w:object>
      </w:r>
    </w:p>
    <w:p w14:paraId="7424BD6F" w14:textId="2500EC0E" w:rsidR="00B76B73" w:rsidRDefault="00B42D06" w:rsidP="00B42D06">
      <w:pPr>
        <w:pStyle w:val="Caption"/>
        <w:ind w:left="2556" w:firstLine="284"/>
        <w:rPr>
          <w:lang w:val="en-US"/>
        </w:rPr>
      </w:pPr>
      <w:r>
        <w:t xml:space="preserve">Figure </w:t>
      </w:r>
      <w:r>
        <w:fldChar w:fldCharType="begin"/>
      </w:r>
      <w:r>
        <w:instrText xml:space="preserve"> SEQ Figure \* ARABIC </w:instrText>
      </w:r>
      <w:r>
        <w:fldChar w:fldCharType="separate"/>
      </w:r>
      <w:r w:rsidR="007F25F1">
        <w:rPr>
          <w:noProof/>
        </w:rPr>
        <w:t>2</w:t>
      </w:r>
      <w:r>
        <w:fldChar w:fldCharType="end"/>
      </w:r>
      <w:r w:rsidR="007F25F1">
        <w:t xml:space="preserve"> Shorter SMTC 2 periodicity</w:t>
      </w:r>
    </w:p>
    <w:p w14:paraId="0AD317D3" w14:textId="78D7A4E8" w:rsidR="00B42D06" w:rsidRDefault="005C5B63" w:rsidP="00981ED4">
      <w:pPr>
        <w:rPr>
          <w:lang w:val="en-US" w:eastAsia="ja-JP"/>
        </w:rPr>
      </w:pPr>
      <w:r>
        <w:rPr>
          <w:lang w:val="en-US" w:eastAsia="ja-JP"/>
        </w:rPr>
        <w:t xml:space="preserve">In this </w:t>
      </w:r>
      <w:r w:rsidR="007F25F1">
        <w:rPr>
          <w:lang w:val="en-US" w:eastAsia="ja-JP"/>
        </w:rPr>
        <w:t>case</w:t>
      </w:r>
      <w:r>
        <w:rPr>
          <w:lang w:val="en-US" w:eastAsia="ja-JP"/>
        </w:rPr>
        <w:t xml:space="preserve">, the legacy UE will have to assume the longer SMTC for all cells. </w:t>
      </w:r>
      <w:r w:rsidR="00001FDA">
        <w:rPr>
          <w:lang w:val="en-US" w:eastAsia="ja-JP"/>
        </w:rPr>
        <w:t>Depending on the choice for this long cycle, the legacy UE idle mode performance will suffer since now it can measure only at longer time intervals.</w:t>
      </w:r>
    </w:p>
    <w:p w14:paraId="0751741C" w14:textId="3F48CA10" w:rsidR="00001FDA" w:rsidRPr="00001FDA" w:rsidRDefault="00001FDA" w:rsidP="00981ED4">
      <w:pPr>
        <w:rPr>
          <w:b/>
          <w:lang w:val="en-US" w:eastAsia="ja-JP"/>
        </w:rPr>
      </w:pPr>
      <w:r w:rsidRPr="00001FDA">
        <w:rPr>
          <w:b/>
          <w:lang w:val="en-US" w:eastAsia="ja-JP"/>
        </w:rPr>
        <w:t>Observation 2:</w:t>
      </w:r>
      <w:r>
        <w:rPr>
          <w:b/>
          <w:lang w:val="en-US" w:eastAsia="ja-JP"/>
        </w:rPr>
        <w:t xml:space="preserve"> Configuring a shorter SMTC 2 periodicity will degrade the Idle/Inactive performance for legacy UEs.</w:t>
      </w:r>
    </w:p>
    <w:p w14:paraId="0DA84CD4" w14:textId="104ABFA6" w:rsidR="00B42D06" w:rsidRDefault="007F25F1" w:rsidP="00981ED4">
      <w:pPr>
        <w:rPr>
          <w:lang w:val="en-US" w:eastAsia="ja-JP"/>
        </w:rPr>
      </w:pPr>
      <w:r>
        <w:rPr>
          <w:lang w:val="en-US" w:eastAsia="ja-JP"/>
        </w:rPr>
        <w:t>Another option which was considered during RAN4 discussions was to configure the longer SMTC at an offset to the legacy shorter SMTC. This is shown in Figure 3.</w:t>
      </w:r>
    </w:p>
    <w:p w14:paraId="3E69B65C" w14:textId="25807957" w:rsidR="00EE347D" w:rsidRDefault="00EE347D" w:rsidP="00EE347D">
      <w:pPr>
        <w:rPr>
          <w:lang w:val="en-US" w:eastAsia="ja-JP"/>
        </w:rPr>
      </w:pPr>
    </w:p>
    <w:p w14:paraId="4A0F737C" w14:textId="77777777" w:rsidR="007F25F1" w:rsidRDefault="00EE347D" w:rsidP="007F25F1">
      <w:pPr>
        <w:keepNext/>
      </w:pPr>
      <w:r>
        <w:object w:dxaOrig="15807" w:dyaOrig="2650" w14:anchorId="10A4E2E7">
          <v:shape id="_x0000_i1027" type="#_x0000_t75" style="width:481.4pt;height:80.8pt" o:ole="">
            <v:imagedata r:id="rId12" o:title=""/>
          </v:shape>
          <o:OLEObject Type="Embed" ProgID="Visio.Drawing.11" ShapeID="_x0000_i1027" DrawAspect="Content" ObjectID="_1634552090" r:id="rId13"/>
        </w:object>
      </w:r>
    </w:p>
    <w:p w14:paraId="4CBBC410" w14:textId="10E009C6" w:rsidR="00EE347D" w:rsidRPr="00EE347D" w:rsidRDefault="007F25F1" w:rsidP="007F25F1">
      <w:pPr>
        <w:pStyle w:val="Caption"/>
        <w:ind w:left="1988" w:firstLine="284"/>
        <w:rPr>
          <w:lang w:val="en-US" w:eastAsia="ja-JP"/>
        </w:rPr>
      </w:pPr>
      <w:r>
        <w:t xml:space="preserve">Figure </w:t>
      </w:r>
      <w:r>
        <w:fldChar w:fldCharType="begin"/>
      </w:r>
      <w:r>
        <w:instrText xml:space="preserve"> SEQ Figure \* ARABIC </w:instrText>
      </w:r>
      <w:r>
        <w:fldChar w:fldCharType="separate"/>
      </w:r>
      <w:r>
        <w:rPr>
          <w:noProof/>
        </w:rPr>
        <w:t>3</w:t>
      </w:r>
      <w:r>
        <w:fldChar w:fldCharType="end"/>
      </w:r>
      <w:r>
        <w:t xml:space="preserve"> Longer SMTC 2 </w:t>
      </w:r>
      <w:r w:rsidR="00AE7633">
        <w:t>with</w:t>
      </w:r>
      <w:r>
        <w:t xml:space="preserve"> an offset</w:t>
      </w:r>
    </w:p>
    <w:p w14:paraId="77115245" w14:textId="77777777" w:rsidR="00AE7633" w:rsidRDefault="0067238E" w:rsidP="00981ED4">
      <w:pPr>
        <w:rPr>
          <w:lang w:val="en-US" w:eastAsia="ja-JP"/>
        </w:rPr>
      </w:pPr>
      <w:r>
        <w:rPr>
          <w:lang w:val="en-US" w:eastAsia="ja-JP"/>
        </w:rPr>
        <w:t xml:space="preserve">This </w:t>
      </w:r>
      <w:r w:rsidR="00AE7633">
        <w:rPr>
          <w:lang w:val="en-US" w:eastAsia="ja-JP"/>
        </w:rPr>
        <w:t>option solves the impact to legacy</w:t>
      </w:r>
      <w:r>
        <w:rPr>
          <w:lang w:val="en-US" w:eastAsia="ja-JP"/>
        </w:rPr>
        <w:t xml:space="preserve"> UEs</w:t>
      </w:r>
      <w:r w:rsidR="00AE7633">
        <w:rPr>
          <w:lang w:val="en-US" w:eastAsia="ja-JP"/>
        </w:rPr>
        <w:t xml:space="preserve"> since they will not observe the small cells. However, the Rel-16 UEs will have to wake up twice to measure all cells which will increase their power consumption.</w:t>
      </w:r>
    </w:p>
    <w:p w14:paraId="69629276" w14:textId="3297B395" w:rsidR="0067238E" w:rsidRPr="00AE7633" w:rsidRDefault="00AE7633" w:rsidP="00981ED4">
      <w:pPr>
        <w:rPr>
          <w:b/>
        </w:rPr>
      </w:pPr>
      <w:r w:rsidRPr="00AE7633">
        <w:rPr>
          <w:b/>
          <w:lang w:val="en-US" w:eastAsia="ja-JP"/>
        </w:rPr>
        <w:t xml:space="preserve">Observation 3: </w:t>
      </w:r>
      <w:r w:rsidRPr="00AE7633">
        <w:rPr>
          <w:b/>
        </w:rPr>
        <w:t xml:space="preserve">Longer SMTC 2 with an offset will increase the </w:t>
      </w:r>
      <w:r w:rsidR="000829F9">
        <w:rPr>
          <w:b/>
        </w:rPr>
        <w:t xml:space="preserve">Idle/Inactive mode </w:t>
      </w:r>
      <w:r w:rsidRPr="00AE7633">
        <w:rPr>
          <w:b/>
        </w:rPr>
        <w:t>power consumption for Rel-16 UEs.</w:t>
      </w:r>
    </w:p>
    <w:p w14:paraId="347C106D" w14:textId="0AADE7B7" w:rsidR="00EE347D" w:rsidRDefault="00AE7633" w:rsidP="00AE7633">
      <w:pPr>
        <w:rPr>
          <w:lang w:val="en-US" w:eastAsia="ja-JP"/>
        </w:rPr>
      </w:pPr>
      <w:r>
        <w:rPr>
          <w:lang w:val="en-US" w:eastAsia="ja-JP"/>
        </w:rPr>
        <w:t>Based on these observations, we propose that:</w:t>
      </w:r>
    </w:p>
    <w:p w14:paraId="4C9F191E" w14:textId="417EAEB8" w:rsidR="00AE7633" w:rsidRPr="00AE7633" w:rsidRDefault="00AE7633" w:rsidP="00AE7633">
      <w:pPr>
        <w:rPr>
          <w:b/>
          <w:lang w:val="en-US" w:eastAsia="ja-JP"/>
        </w:rPr>
      </w:pPr>
      <w:r w:rsidRPr="00AE7633">
        <w:rPr>
          <w:b/>
          <w:lang w:val="en-US" w:eastAsia="ja-JP"/>
        </w:rPr>
        <w:t xml:space="preserve">Proposal: </w:t>
      </w:r>
      <w:r w:rsidR="00551866">
        <w:rPr>
          <w:b/>
          <w:lang w:val="en-US" w:eastAsia="ja-JP"/>
        </w:rPr>
        <w:t>The legacy behavior of single SMTC periodicity is kept in Rel-16.</w:t>
      </w:r>
    </w:p>
    <w:p w14:paraId="0028100E" w14:textId="0FDA9CF8" w:rsidR="00B5419A" w:rsidRDefault="00B5419A" w:rsidP="00981ED4">
      <w:pPr>
        <w:rPr>
          <w:b/>
          <w:lang w:val="en-US"/>
        </w:rPr>
      </w:pP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10CB1B7B" w14:textId="1E4CF5CB" w:rsidR="00551866" w:rsidRDefault="00551866" w:rsidP="00551866">
      <w:pPr>
        <w:rPr>
          <w:lang w:val="en-US"/>
        </w:rPr>
      </w:pPr>
      <w:r>
        <w:rPr>
          <w:lang w:val="en-US"/>
        </w:rPr>
        <w:t>In this contribution, we discussed the UE impact of configuring a second SMTC periodicity and propose the following:</w:t>
      </w:r>
    </w:p>
    <w:p w14:paraId="03663EEE" w14:textId="0FB1E17D" w:rsidR="00551866" w:rsidRDefault="00551866" w:rsidP="00551866">
      <w:pPr>
        <w:rPr>
          <w:b/>
          <w:lang w:val="en-US" w:eastAsia="ja-JP"/>
        </w:rPr>
      </w:pPr>
      <w:r w:rsidRPr="00152D7B">
        <w:rPr>
          <w:b/>
          <w:lang w:val="en-US" w:eastAsia="ja-JP"/>
        </w:rPr>
        <w:t>Observation 1:</w:t>
      </w:r>
      <w:r>
        <w:rPr>
          <w:b/>
          <w:lang w:val="en-US" w:eastAsia="ja-JP"/>
        </w:rPr>
        <w:t xml:space="preserve"> Configuring a longer SMTC 2 periodicity can result in reselection ping-pongs between regular and sleeper cells.</w:t>
      </w:r>
    </w:p>
    <w:p w14:paraId="5F266A96" w14:textId="466A9F18" w:rsidR="00551866" w:rsidRPr="00001FDA" w:rsidRDefault="00551866" w:rsidP="00551866">
      <w:pPr>
        <w:rPr>
          <w:b/>
          <w:lang w:val="en-US" w:eastAsia="ja-JP"/>
        </w:rPr>
      </w:pPr>
      <w:r w:rsidRPr="00001FDA">
        <w:rPr>
          <w:b/>
          <w:lang w:val="en-US" w:eastAsia="ja-JP"/>
        </w:rPr>
        <w:t>Observation 2:</w:t>
      </w:r>
      <w:r>
        <w:rPr>
          <w:b/>
          <w:lang w:val="en-US" w:eastAsia="ja-JP"/>
        </w:rPr>
        <w:t xml:space="preserve"> Configuring a shorter SMTC 2 periodicity will degrade the Idle/Inactive performance for legacy UEs.</w:t>
      </w:r>
    </w:p>
    <w:p w14:paraId="3D33EF68" w14:textId="7EBE5411" w:rsidR="00551866" w:rsidRPr="00AE7633" w:rsidRDefault="00551866" w:rsidP="00551866">
      <w:pPr>
        <w:rPr>
          <w:b/>
        </w:rPr>
      </w:pPr>
      <w:r w:rsidRPr="00AE7633">
        <w:rPr>
          <w:b/>
          <w:lang w:val="en-US" w:eastAsia="ja-JP"/>
        </w:rPr>
        <w:t xml:space="preserve">Observation 3: </w:t>
      </w:r>
      <w:r w:rsidRPr="00AE7633">
        <w:rPr>
          <w:b/>
        </w:rPr>
        <w:t xml:space="preserve">Longer SMTC 2 with an offset will increase the </w:t>
      </w:r>
      <w:r w:rsidR="000829F9">
        <w:rPr>
          <w:b/>
        </w:rPr>
        <w:t xml:space="preserve">Idle/Inactive mode </w:t>
      </w:r>
      <w:bookmarkStart w:id="0" w:name="_GoBack"/>
      <w:bookmarkEnd w:id="0"/>
      <w:r w:rsidRPr="00AE7633">
        <w:rPr>
          <w:b/>
        </w:rPr>
        <w:t>power consumption for Rel-16 UEs.</w:t>
      </w:r>
    </w:p>
    <w:p w14:paraId="64A24E9F" w14:textId="77777777" w:rsidR="00551866" w:rsidRPr="00AE7633" w:rsidRDefault="00551866" w:rsidP="00551866">
      <w:pPr>
        <w:rPr>
          <w:b/>
          <w:lang w:val="en-US" w:eastAsia="ja-JP"/>
        </w:rPr>
      </w:pPr>
      <w:r w:rsidRPr="00AE7633">
        <w:rPr>
          <w:b/>
          <w:lang w:val="en-US" w:eastAsia="ja-JP"/>
        </w:rPr>
        <w:t xml:space="preserve">Proposal: </w:t>
      </w:r>
      <w:r>
        <w:rPr>
          <w:b/>
          <w:lang w:val="en-US" w:eastAsia="ja-JP"/>
        </w:rPr>
        <w:t>The legacy behavior of single SMTC periodicity is kept in Rel-16.</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9B25AA8" w14:textId="79C54658" w:rsidR="00622518" w:rsidRDefault="00622518" w:rsidP="000D3D40">
      <w:pPr>
        <w:numPr>
          <w:ilvl w:val="0"/>
          <w:numId w:val="2"/>
        </w:numPr>
        <w:tabs>
          <w:tab w:val="left" w:pos="1080"/>
        </w:tabs>
        <w:rPr>
          <w:lang w:val="en-US" w:eastAsia="x-none"/>
        </w:rPr>
      </w:pPr>
      <w:bookmarkStart w:id="1" w:name="_Hlk859252"/>
      <w:r w:rsidRPr="00622518">
        <w:t>R2-1910674</w:t>
      </w:r>
      <w:r w:rsidR="00696011">
        <w:t xml:space="preserve">, </w:t>
      </w:r>
      <w:r w:rsidRPr="00622518">
        <w:t>Multiple SMTCs per frequency carrier in idle mode</w:t>
      </w:r>
      <w:r w:rsidRPr="00622518">
        <w:tab/>
      </w:r>
      <w:r w:rsidR="00696011">
        <w:t xml:space="preserve">, </w:t>
      </w:r>
      <w:r w:rsidRPr="00622518">
        <w:t>Orange</w:t>
      </w:r>
      <w:r w:rsidRPr="00622518">
        <w:rPr>
          <w:lang w:val="en-US"/>
        </w:rPr>
        <w:t xml:space="preserve"> </w:t>
      </w:r>
    </w:p>
    <w:p w14:paraId="42CD65F2" w14:textId="34A9A8BB" w:rsidR="00622518" w:rsidRDefault="00622518" w:rsidP="000D3D40">
      <w:pPr>
        <w:numPr>
          <w:ilvl w:val="0"/>
          <w:numId w:val="2"/>
        </w:numPr>
        <w:tabs>
          <w:tab w:val="left" w:pos="1080"/>
        </w:tabs>
        <w:rPr>
          <w:lang w:val="en-US" w:eastAsia="x-none"/>
        </w:rPr>
      </w:pPr>
      <w:r w:rsidRPr="00622518">
        <w:t>R2-1911</w:t>
      </w:r>
      <w:r>
        <w:t>840</w:t>
      </w:r>
      <w:r w:rsidR="00696011">
        <w:t xml:space="preserve">, </w:t>
      </w:r>
      <w:r>
        <w:t>LS on second SMTC periodicity in idle mode</w:t>
      </w:r>
      <w:r w:rsidR="00696011">
        <w:t>,</w:t>
      </w:r>
      <w:r>
        <w:tab/>
        <w:t>Orange</w:t>
      </w:r>
    </w:p>
    <w:p w14:paraId="5BE9C355" w14:textId="5133143B" w:rsidR="00345126" w:rsidRPr="00696011" w:rsidRDefault="00696011" w:rsidP="000D3D40">
      <w:pPr>
        <w:numPr>
          <w:ilvl w:val="0"/>
          <w:numId w:val="2"/>
        </w:numPr>
        <w:tabs>
          <w:tab w:val="left" w:pos="1080"/>
        </w:tabs>
        <w:rPr>
          <w:lang w:val="en-US" w:eastAsia="x-none"/>
        </w:rPr>
      </w:pPr>
      <w:r w:rsidRPr="00622518">
        <w:lastRenderedPageBreak/>
        <w:t>R2-191</w:t>
      </w:r>
      <w:r>
        <w:t>4338</w:t>
      </w:r>
      <w:r w:rsidR="000164E6">
        <w:rPr>
          <w:lang w:val="en-US"/>
        </w:rPr>
        <w:t xml:space="preserve">, </w:t>
      </w:r>
      <w:bookmarkEnd w:id="1"/>
      <w:r w:rsidRPr="00696011">
        <w:t>Reply LS on second SMTC periodicity in idle mode (R4-1912744; contact: Orange)</w:t>
      </w:r>
    </w:p>
    <w:sectPr w:rsidR="00345126" w:rsidRPr="00696011"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9C531" w14:textId="77777777" w:rsidR="00266756" w:rsidRDefault="00266756">
      <w:r>
        <w:separator/>
      </w:r>
    </w:p>
  </w:endnote>
  <w:endnote w:type="continuationSeparator" w:id="0">
    <w:p w14:paraId="0A1FF1E0" w14:textId="77777777" w:rsidR="00266756" w:rsidRDefault="0026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8501F" w14:textId="77777777" w:rsidR="00266756" w:rsidRDefault="00266756">
      <w:r>
        <w:separator/>
      </w:r>
    </w:p>
  </w:footnote>
  <w:footnote w:type="continuationSeparator" w:id="0">
    <w:p w14:paraId="5A735E5D" w14:textId="77777777" w:rsidR="00266756" w:rsidRDefault="00266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832A27"/>
    <w:multiLevelType w:val="hybridMultilevel"/>
    <w:tmpl w:val="AC4680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2A31935"/>
    <w:multiLevelType w:val="hybridMultilevel"/>
    <w:tmpl w:val="51D861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3A452D"/>
    <w:multiLevelType w:val="hybridMultilevel"/>
    <w:tmpl w:val="0BFC216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74014"/>
    <w:multiLevelType w:val="hybridMultilevel"/>
    <w:tmpl w:val="0D46AC4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7"/>
  </w:num>
  <w:num w:numId="2">
    <w:abstractNumId w:val="12"/>
  </w:num>
  <w:num w:numId="3">
    <w:abstractNumId w:val="14"/>
  </w:num>
  <w:num w:numId="4">
    <w:abstractNumId w:val="16"/>
  </w:num>
  <w:num w:numId="5">
    <w:abstractNumId w:val="11"/>
  </w:num>
  <w:num w:numId="6">
    <w:abstractNumId w:val="3"/>
  </w:num>
  <w:num w:numId="7">
    <w:abstractNumId w:val="0"/>
  </w:num>
  <w:num w:numId="8">
    <w:abstractNumId w:val="13"/>
  </w:num>
  <w:num w:numId="9">
    <w:abstractNumId w:val="4"/>
  </w:num>
  <w:num w:numId="10">
    <w:abstractNumId w:val="10"/>
  </w:num>
  <w:num w:numId="11">
    <w:abstractNumId w:val="18"/>
  </w:num>
  <w:num w:numId="12">
    <w:abstractNumId w:val="2"/>
  </w:num>
  <w:num w:numId="13">
    <w:abstractNumId w:val="9"/>
  </w:num>
  <w:num w:numId="14">
    <w:abstractNumId w:val="1"/>
  </w:num>
  <w:num w:numId="15">
    <w:abstractNumId w:val="8"/>
  </w:num>
  <w:num w:numId="16">
    <w:abstractNumId w:val="17"/>
  </w:num>
  <w:num w:numId="17">
    <w:abstractNumId w:val="5"/>
  </w:num>
  <w:num w:numId="18">
    <w:abstractNumId w:val="19"/>
  </w:num>
  <w:num w:numId="19">
    <w:abstractNumId w:val="6"/>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1FDA"/>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4E6"/>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9F9"/>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4D3"/>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3D40"/>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2D7B"/>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5D3E"/>
    <w:rsid w:val="001D6E97"/>
    <w:rsid w:val="001D791E"/>
    <w:rsid w:val="001D7BA7"/>
    <w:rsid w:val="001E1023"/>
    <w:rsid w:val="001E11D1"/>
    <w:rsid w:val="001E1C0D"/>
    <w:rsid w:val="001E22AF"/>
    <w:rsid w:val="001E2518"/>
    <w:rsid w:val="001E2ABF"/>
    <w:rsid w:val="001E2C3E"/>
    <w:rsid w:val="001E31EE"/>
    <w:rsid w:val="001E36A1"/>
    <w:rsid w:val="001E3907"/>
    <w:rsid w:val="001E3C6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8D"/>
    <w:rsid w:val="001F1E8A"/>
    <w:rsid w:val="001F2056"/>
    <w:rsid w:val="001F2C22"/>
    <w:rsid w:val="001F3907"/>
    <w:rsid w:val="001F3AB5"/>
    <w:rsid w:val="001F4191"/>
    <w:rsid w:val="001F43EF"/>
    <w:rsid w:val="001F463C"/>
    <w:rsid w:val="001F4B1C"/>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109"/>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756"/>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BDA"/>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D3B"/>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126"/>
    <w:rsid w:val="00345CDD"/>
    <w:rsid w:val="00345FDB"/>
    <w:rsid w:val="00345FF9"/>
    <w:rsid w:val="0034613F"/>
    <w:rsid w:val="00346628"/>
    <w:rsid w:val="0034670C"/>
    <w:rsid w:val="00346BAD"/>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2F7F"/>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C25"/>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68"/>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123"/>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7A5"/>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570"/>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5D"/>
    <w:rsid w:val="004C7277"/>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27F34"/>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866"/>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2E1"/>
    <w:rsid w:val="005C563D"/>
    <w:rsid w:val="005C5746"/>
    <w:rsid w:val="005C5B63"/>
    <w:rsid w:val="005C5E0C"/>
    <w:rsid w:val="005C5E4D"/>
    <w:rsid w:val="005C5F4D"/>
    <w:rsid w:val="005C6495"/>
    <w:rsid w:val="005C6EA5"/>
    <w:rsid w:val="005C7578"/>
    <w:rsid w:val="005C7902"/>
    <w:rsid w:val="005D12F9"/>
    <w:rsid w:val="005D1853"/>
    <w:rsid w:val="005D1A0F"/>
    <w:rsid w:val="005D2320"/>
    <w:rsid w:val="005D2787"/>
    <w:rsid w:val="005D2EFC"/>
    <w:rsid w:val="005D3511"/>
    <w:rsid w:val="005D3CB4"/>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18"/>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38E"/>
    <w:rsid w:val="0067240C"/>
    <w:rsid w:val="006724D8"/>
    <w:rsid w:val="0067269C"/>
    <w:rsid w:val="00672998"/>
    <w:rsid w:val="00672B3E"/>
    <w:rsid w:val="006731A0"/>
    <w:rsid w:val="00673C5C"/>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011"/>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5F1"/>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3C98"/>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67D03"/>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761"/>
    <w:rsid w:val="00880D92"/>
    <w:rsid w:val="00880F6C"/>
    <w:rsid w:val="00881166"/>
    <w:rsid w:val="00881AFE"/>
    <w:rsid w:val="00881D0A"/>
    <w:rsid w:val="008828EB"/>
    <w:rsid w:val="00882E2E"/>
    <w:rsid w:val="00883201"/>
    <w:rsid w:val="00883314"/>
    <w:rsid w:val="00883519"/>
    <w:rsid w:val="008838E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2B4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91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74F"/>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6E2D"/>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554"/>
    <w:rsid w:val="009A59F3"/>
    <w:rsid w:val="009A5FD3"/>
    <w:rsid w:val="009A6D4C"/>
    <w:rsid w:val="009A7566"/>
    <w:rsid w:val="009A7E3C"/>
    <w:rsid w:val="009B0165"/>
    <w:rsid w:val="009B15FC"/>
    <w:rsid w:val="009B17EC"/>
    <w:rsid w:val="009B23DD"/>
    <w:rsid w:val="009B27D6"/>
    <w:rsid w:val="009B2851"/>
    <w:rsid w:val="009B2DD8"/>
    <w:rsid w:val="009B3320"/>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1BCA"/>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A25"/>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2D2B"/>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633"/>
    <w:rsid w:val="00AE7DB5"/>
    <w:rsid w:val="00AF025E"/>
    <w:rsid w:val="00AF0D0A"/>
    <w:rsid w:val="00AF0F7D"/>
    <w:rsid w:val="00AF2A89"/>
    <w:rsid w:val="00AF37CB"/>
    <w:rsid w:val="00AF3988"/>
    <w:rsid w:val="00AF4307"/>
    <w:rsid w:val="00AF4983"/>
    <w:rsid w:val="00AF4EB8"/>
    <w:rsid w:val="00AF55E0"/>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1F29"/>
    <w:rsid w:val="00B2267D"/>
    <w:rsid w:val="00B22C12"/>
    <w:rsid w:val="00B22E28"/>
    <w:rsid w:val="00B23059"/>
    <w:rsid w:val="00B23B4D"/>
    <w:rsid w:val="00B23BFE"/>
    <w:rsid w:val="00B244BF"/>
    <w:rsid w:val="00B24817"/>
    <w:rsid w:val="00B2594D"/>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D06"/>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19A"/>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B73"/>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7DD"/>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1D9D"/>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23F"/>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15E7"/>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90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1DCA"/>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5F4"/>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08"/>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47D"/>
    <w:rsid w:val="00EE389E"/>
    <w:rsid w:val="00EE38E7"/>
    <w:rsid w:val="00EE3DA3"/>
    <w:rsid w:val="00EE3E5C"/>
    <w:rsid w:val="00EE4210"/>
    <w:rsid w:val="00EE5452"/>
    <w:rsid w:val="00EE5508"/>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9D2"/>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7F9"/>
    <w:rsid w:val="00FE4E88"/>
    <w:rsid w:val="00FE510C"/>
    <w:rsid w:val="00FE5D31"/>
    <w:rsid w:val="00FE5D7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customStyle="1" w:styleId="CRCoverPageZchn">
    <w:name w:val="CR Cover Page Zchn"/>
    <w:rsid w:val="004A77A5"/>
    <w:rPr>
      <w:rFonts w:ascii="Arial" w:hAnsi="Arial"/>
      <w:lang w:val="en-GB"/>
    </w:rPr>
  </w:style>
  <w:style w:type="character" w:styleId="UnresolvedMention">
    <w:name w:val="Unresolved Mention"/>
    <w:basedOn w:val="DefaultParagraphFont"/>
    <w:uiPriority w:val="99"/>
    <w:semiHidden/>
    <w:unhideWhenUsed/>
    <w:rsid w:val="006225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6261122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652876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601268">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2984415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602804">
      <w:bodyDiv w:val="1"/>
      <w:marLeft w:val="0"/>
      <w:marRight w:val="0"/>
      <w:marTop w:val="0"/>
      <w:marBottom w:val="0"/>
      <w:divBdr>
        <w:top w:val="none" w:sz="0" w:space="0" w:color="auto"/>
        <w:left w:val="none" w:sz="0" w:space="0" w:color="auto"/>
        <w:bottom w:val="none" w:sz="0" w:space="0" w:color="auto"/>
        <w:right w:val="none" w:sz="0" w:space="0" w:color="auto"/>
      </w:divBdr>
    </w:div>
    <w:div w:id="1834099338">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AB917-0DE9-4BD0-A0CE-121BC397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Ozcan Ozturk</cp:lastModifiedBy>
  <cp:revision>3</cp:revision>
  <cp:lastPrinted>2017-09-11T16:45:00Z</cp:lastPrinted>
  <dcterms:created xsi:type="dcterms:W3CDTF">2019-11-06T21:10:00Z</dcterms:created>
  <dcterms:modified xsi:type="dcterms:W3CDTF">2019-11-06T21:11:00Z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Further sync-up on two SMTC proposals</vt:lpwstr>
  </property>
  <property fmtid="{D5CDD505-2E9C-101B-9397-08002B2CF9AE}" pid="8" name="_AuthorEmail">
    <vt:lpwstr>vgheorgh@qti.qualcomm.com</vt:lpwstr>
  </property>
  <property fmtid="{D5CDD505-2E9C-101B-9397-08002B2CF9AE}" pid="9" name="_AuthorEmailDisplayName">
    <vt:lpwstr>Valentin Gheorghiu</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780243668</vt:i4>
  </property>
  <property fmtid="{D5CDD505-2E9C-101B-9397-08002B2CF9AE}" pid="12" name="_PreviousAdHocReviewCycleID">
    <vt:i4>-1627576967</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